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30A5A" w14:textId="50C7FEFB" w:rsidR="00CB5011" w:rsidRPr="00BA304B" w:rsidRDefault="00CB5011" w:rsidP="00512442">
      <w:pPr>
        <w:pStyle w:val="Ttulo1"/>
        <w:jc w:val="center"/>
      </w:pPr>
      <w:r w:rsidRPr="00223F38">
        <w:rPr>
          <w:b/>
          <w:bCs/>
          <w:i w:val="0"/>
          <w:iCs w:val="0"/>
        </w:rPr>
        <w:t>P</w:t>
      </w:r>
      <w:r w:rsidR="00223F38" w:rsidRPr="00223F38">
        <w:rPr>
          <w:b/>
          <w:bCs/>
          <w:i w:val="0"/>
          <w:iCs w:val="0"/>
        </w:rPr>
        <w:t>ROSPECTO</w:t>
      </w:r>
      <w:r w:rsidR="000334EA" w:rsidRPr="004C2CEC">
        <w:rPr>
          <w:b/>
          <w:i w:val="0"/>
        </w:rPr>
        <w:t xml:space="preserve"> DEL PROGRAMA</w:t>
      </w:r>
    </w:p>
    <w:p w14:paraId="2630D971" w14:textId="77777777" w:rsidR="00CB5011" w:rsidRPr="00112B9F" w:rsidRDefault="00CB5011" w:rsidP="00CB5011">
      <w:pPr>
        <w:pStyle w:val="Textoindependiente"/>
        <w:widowControl w:val="0"/>
        <w:spacing w:before="0"/>
        <w:ind w:right="0"/>
        <w:jc w:val="center"/>
        <w:rPr>
          <w:b w:val="0"/>
          <w:bCs w:val="0"/>
          <w:color w:val="000000"/>
          <w:lang w:val="es-AR"/>
        </w:rPr>
      </w:pPr>
    </w:p>
    <w:p w14:paraId="3B12871D" w14:textId="77777777" w:rsidR="00CB5011" w:rsidRPr="00112B9F" w:rsidRDefault="00CB5011" w:rsidP="00CB5011">
      <w:pPr>
        <w:pStyle w:val="Textoindependiente"/>
        <w:widowControl w:val="0"/>
        <w:spacing w:before="0"/>
        <w:ind w:right="0"/>
        <w:jc w:val="center"/>
        <w:rPr>
          <w:b w:val="0"/>
          <w:bCs w:val="0"/>
          <w:color w:val="000000"/>
          <w:lang w:val="es-AR"/>
        </w:rPr>
      </w:pPr>
      <w:r w:rsidRPr="00112B9F">
        <w:rPr>
          <w:b w:val="0"/>
          <w:bCs w:val="0"/>
          <w:noProof/>
          <w:color w:val="000000"/>
          <w:lang w:val="es-AR" w:eastAsia="es-AR"/>
        </w:rPr>
        <w:drawing>
          <wp:anchor distT="0" distB="0" distL="114300" distR="114300" simplePos="0" relativeHeight="251659264" behindDoc="0" locked="0" layoutInCell="1" allowOverlap="1" wp14:anchorId="6A06E639" wp14:editId="25BB007C">
            <wp:simplePos x="0" y="0"/>
            <wp:positionH relativeFrom="column">
              <wp:align>center</wp:align>
            </wp:positionH>
            <wp:positionV relativeFrom="paragraph">
              <wp:posOffset>2540</wp:posOffset>
            </wp:positionV>
            <wp:extent cx="1781175" cy="497205"/>
            <wp:effectExtent l="19050" t="0" r="9525" b="0"/>
            <wp:wrapNone/>
            <wp:docPr id="2" name="Imagen 2" descr="Inv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ap"/>
                    <pic:cNvPicPr>
                      <a:picLocks noChangeAspect="1" noChangeArrowheads="1"/>
                    </pic:cNvPicPr>
                  </pic:nvPicPr>
                  <pic:blipFill>
                    <a:blip r:embed="rId8" cstate="print"/>
                    <a:srcRect/>
                    <a:stretch>
                      <a:fillRect/>
                    </a:stretch>
                  </pic:blipFill>
                  <pic:spPr bwMode="auto">
                    <a:xfrm>
                      <a:off x="0" y="0"/>
                      <a:ext cx="1781175" cy="497205"/>
                    </a:xfrm>
                    <a:prstGeom prst="rect">
                      <a:avLst/>
                    </a:prstGeom>
                    <a:noFill/>
                  </pic:spPr>
                </pic:pic>
              </a:graphicData>
            </a:graphic>
          </wp:anchor>
        </w:drawing>
      </w:r>
    </w:p>
    <w:p w14:paraId="50D62CD0" w14:textId="5601E7CA" w:rsidR="00CB5011" w:rsidRPr="00112B9F" w:rsidRDefault="00CB5011" w:rsidP="00CB5011">
      <w:pPr>
        <w:pStyle w:val="Textoindependiente"/>
        <w:widowControl w:val="0"/>
        <w:spacing w:before="0"/>
        <w:ind w:right="0"/>
        <w:jc w:val="center"/>
        <w:rPr>
          <w:b w:val="0"/>
          <w:bCs w:val="0"/>
          <w:color w:val="000000"/>
          <w:lang w:val="es-AR"/>
        </w:rPr>
      </w:pPr>
    </w:p>
    <w:p w14:paraId="43821A21" w14:textId="6431ECA9" w:rsidR="00CB5011" w:rsidRPr="00112B9F" w:rsidRDefault="00CB5011" w:rsidP="00CB5011">
      <w:pPr>
        <w:pStyle w:val="Textoindependiente"/>
        <w:widowControl w:val="0"/>
        <w:spacing w:before="0"/>
        <w:ind w:right="0"/>
        <w:jc w:val="center"/>
        <w:rPr>
          <w:b w:val="0"/>
          <w:bCs w:val="0"/>
          <w:color w:val="000000"/>
          <w:lang w:val="es-AR"/>
        </w:rPr>
      </w:pPr>
    </w:p>
    <w:p w14:paraId="71313369" w14:textId="3DBD01E9" w:rsidR="00CB5011" w:rsidRPr="00112B9F" w:rsidRDefault="00CB5011" w:rsidP="00CB5011">
      <w:pPr>
        <w:pStyle w:val="Textoindependiente"/>
        <w:widowControl w:val="0"/>
        <w:spacing w:before="0"/>
        <w:ind w:right="0"/>
        <w:jc w:val="center"/>
        <w:rPr>
          <w:b w:val="0"/>
          <w:bCs w:val="0"/>
          <w:color w:val="000000"/>
          <w:lang w:val="es-AR"/>
        </w:rPr>
      </w:pPr>
    </w:p>
    <w:p w14:paraId="078E31AB" w14:textId="77777777" w:rsidR="00CB5011" w:rsidRPr="00112B9F" w:rsidRDefault="00CB5011" w:rsidP="00CB5011">
      <w:pPr>
        <w:pStyle w:val="Textoindependiente"/>
        <w:widowControl w:val="0"/>
        <w:spacing w:before="0"/>
        <w:ind w:right="0"/>
        <w:jc w:val="center"/>
        <w:rPr>
          <w:bCs w:val="0"/>
          <w:color w:val="000000"/>
          <w:lang w:val="es-AR"/>
        </w:rPr>
      </w:pPr>
    </w:p>
    <w:p w14:paraId="75141D99" w14:textId="77777777" w:rsidR="00CB5011" w:rsidRPr="00112B9F" w:rsidRDefault="00CB5011" w:rsidP="00CB5011">
      <w:pPr>
        <w:pStyle w:val="Textoindependiente"/>
        <w:widowControl w:val="0"/>
        <w:spacing w:before="0"/>
        <w:ind w:right="0"/>
        <w:jc w:val="center"/>
        <w:rPr>
          <w:bCs w:val="0"/>
          <w:color w:val="000000"/>
          <w:lang w:val="es-AR"/>
        </w:rPr>
      </w:pPr>
      <w:r w:rsidRPr="00112B9F">
        <w:rPr>
          <w:bCs w:val="0"/>
          <w:color w:val="000000"/>
          <w:lang w:val="es-AR"/>
        </w:rPr>
        <w:t>INVAP S.E.</w:t>
      </w:r>
    </w:p>
    <w:p w14:paraId="1FC0646E" w14:textId="77777777" w:rsidR="00CB5011" w:rsidRPr="00112B9F" w:rsidRDefault="00CB5011" w:rsidP="00CB5011">
      <w:pPr>
        <w:pStyle w:val="Textoindependiente"/>
        <w:widowControl w:val="0"/>
        <w:spacing w:before="0"/>
        <w:ind w:right="0"/>
        <w:jc w:val="center"/>
        <w:rPr>
          <w:b w:val="0"/>
          <w:bCs w:val="0"/>
          <w:color w:val="000000"/>
          <w:lang w:val="es-AR"/>
        </w:rPr>
      </w:pPr>
    </w:p>
    <w:p w14:paraId="66EF3913" w14:textId="22260D5F" w:rsidR="00FB3B77" w:rsidRDefault="00CB5011" w:rsidP="00CB5011">
      <w:pPr>
        <w:pStyle w:val="Textoindependiente"/>
        <w:widowControl w:val="0"/>
        <w:spacing w:before="0"/>
        <w:ind w:right="0"/>
        <w:jc w:val="center"/>
        <w:rPr>
          <w:color w:val="000000"/>
          <w:lang w:val="es-AR"/>
        </w:rPr>
      </w:pPr>
      <w:r w:rsidRPr="00112B9F">
        <w:rPr>
          <w:color w:val="000000"/>
          <w:lang w:val="es-AR"/>
        </w:rPr>
        <w:t xml:space="preserve">Programa Global de Emisión de Obligaciones Negociables a Corto, Mediano y/o Largo Plazo por un </w:t>
      </w:r>
      <w:r w:rsidR="000334EA" w:rsidRPr="00112B9F">
        <w:rPr>
          <w:color w:val="000000"/>
          <w:lang w:val="es-AR"/>
        </w:rPr>
        <w:t>monto máximo en circulación de hasta</w:t>
      </w:r>
      <w:r w:rsidRPr="00112B9F">
        <w:rPr>
          <w:color w:val="000000"/>
          <w:lang w:val="es-AR"/>
        </w:rPr>
        <w:t xml:space="preserve"> U$S50.000.000 </w:t>
      </w:r>
    </w:p>
    <w:p w14:paraId="32D98E87" w14:textId="28DBB8F3" w:rsidR="00CB5011" w:rsidRPr="00112B9F" w:rsidRDefault="00CB5011" w:rsidP="00CB5011">
      <w:pPr>
        <w:pStyle w:val="Textoindependiente"/>
        <w:widowControl w:val="0"/>
        <w:spacing w:before="0"/>
        <w:ind w:right="0"/>
        <w:jc w:val="center"/>
        <w:rPr>
          <w:color w:val="000000"/>
          <w:lang w:val="es-AR"/>
        </w:rPr>
      </w:pPr>
      <w:r w:rsidRPr="00112B9F">
        <w:rPr>
          <w:color w:val="000000"/>
          <w:lang w:val="es-AR"/>
        </w:rPr>
        <w:t>(o su equivalente en otras monedas</w:t>
      </w:r>
      <w:r w:rsidR="00B55AD4" w:rsidRPr="00112B9F">
        <w:rPr>
          <w:color w:val="000000"/>
          <w:lang w:val="es-AR"/>
        </w:rPr>
        <w:t xml:space="preserve"> y/o unidades de valor</w:t>
      </w:r>
      <w:r w:rsidRPr="00112B9F">
        <w:rPr>
          <w:color w:val="000000"/>
          <w:lang w:val="es-AR"/>
        </w:rPr>
        <w:t>).</w:t>
      </w:r>
    </w:p>
    <w:p w14:paraId="59EBA7A1" w14:textId="238DBEE6" w:rsidR="000334EA" w:rsidRPr="007213A1" w:rsidRDefault="000334EA" w:rsidP="000334EA">
      <w:pPr>
        <w:pStyle w:val="Textoindependiente"/>
        <w:widowControl w:val="0"/>
        <w:suppressLineNumbers/>
        <w:suppressAutoHyphens/>
        <w:rPr>
          <w:b w:val="0"/>
          <w:color w:val="auto"/>
        </w:rPr>
      </w:pPr>
      <w:r w:rsidRPr="007213A1">
        <w:rPr>
          <w:b w:val="0"/>
          <w:color w:val="auto"/>
        </w:rPr>
        <w:t>El presente prospecto (el “</w:t>
      </w:r>
      <w:r w:rsidRPr="007213A1">
        <w:rPr>
          <w:b w:val="0"/>
          <w:color w:val="auto"/>
          <w:u w:val="single"/>
        </w:rPr>
        <w:t>Prospecto</w:t>
      </w:r>
      <w:r w:rsidRPr="007213A1">
        <w:rPr>
          <w:b w:val="0"/>
          <w:color w:val="auto"/>
        </w:rPr>
        <w:t>”) contiene información financiera y económica correspondiente al ejercicio finalizado el 30 de junio de 2019 expuesta en forma comparativa con el ejercicio finalizado el 30 de junio de 2018</w:t>
      </w:r>
      <w:r w:rsidR="00B55AD4" w:rsidRPr="007213A1">
        <w:rPr>
          <w:b w:val="0"/>
          <w:color w:val="auto"/>
        </w:rPr>
        <w:t>. Asimismo</w:t>
      </w:r>
      <w:r w:rsidR="008F16FC">
        <w:rPr>
          <w:b w:val="0"/>
          <w:color w:val="auto"/>
        </w:rPr>
        <w:t>,</w:t>
      </w:r>
      <w:r w:rsidR="00B55AD4" w:rsidRPr="007213A1">
        <w:rPr>
          <w:b w:val="0"/>
          <w:color w:val="auto"/>
        </w:rPr>
        <w:t xml:space="preserve"> se expone la información financiera y económica correspondiente al</w:t>
      </w:r>
      <w:r w:rsidRPr="007213A1">
        <w:rPr>
          <w:b w:val="0"/>
          <w:color w:val="auto"/>
        </w:rPr>
        <w:t xml:space="preserve"> ejercicio finalizado el 30 de junio de 2017</w:t>
      </w:r>
      <w:r w:rsidR="008F16FC">
        <w:rPr>
          <w:b w:val="0"/>
          <w:color w:val="auto"/>
        </w:rPr>
        <w:t>. Por último, se expone la información financiera y económica correspondiente al período intermedio finalizado el 30 de septiembre de 2019, en forma comparativa con el ejercicio finalizado el 30 de junio de 2019,</w:t>
      </w:r>
      <w:r w:rsidR="008F16FC" w:rsidRPr="007213A1">
        <w:rPr>
          <w:b w:val="0"/>
          <w:color w:val="auto"/>
        </w:rPr>
        <w:t xml:space="preserve"> </w:t>
      </w:r>
      <w:r w:rsidRPr="007213A1">
        <w:rPr>
          <w:b w:val="0"/>
          <w:color w:val="auto"/>
        </w:rPr>
        <w:t xml:space="preserve">todo ello conforme seguidamente se explicará en la sección </w:t>
      </w:r>
      <w:r w:rsidRPr="007213A1">
        <w:rPr>
          <w:b w:val="0"/>
          <w:i/>
          <w:color w:val="auto"/>
        </w:rPr>
        <w:t xml:space="preserve">“Antecedentes Financieros” </w:t>
      </w:r>
      <w:r w:rsidRPr="007213A1">
        <w:rPr>
          <w:b w:val="0"/>
          <w:iCs/>
          <w:color w:val="auto"/>
        </w:rPr>
        <w:t>del presente Prospecto</w:t>
      </w:r>
      <w:r w:rsidRPr="007213A1">
        <w:rPr>
          <w:b w:val="0"/>
          <w:color w:val="auto"/>
        </w:rPr>
        <w:t>. La totalidad de los Estados Contables mencionados son incorporados al presente por referencia.</w:t>
      </w:r>
    </w:p>
    <w:p w14:paraId="408AAACC" w14:textId="4C55D7FF" w:rsidR="000334EA" w:rsidRPr="007213A1" w:rsidRDefault="000334EA" w:rsidP="000334EA">
      <w:pPr>
        <w:pStyle w:val="Textoindependiente"/>
        <w:widowControl w:val="0"/>
        <w:suppressLineNumbers/>
        <w:suppressAutoHyphens/>
        <w:rPr>
          <w:b w:val="0"/>
          <w:color w:val="auto"/>
        </w:rPr>
      </w:pPr>
      <w:r w:rsidRPr="007213A1">
        <w:rPr>
          <w:b w:val="0"/>
          <w:color w:val="auto"/>
        </w:rPr>
        <w:t>Bajo el programa global de emisión de obligaciones negociables a corto, mediano y/o largo plazo por un monto máximo en circulación de hasta US$ 50.000.000 (Dólares Estadounidenses cincuenta millones) (o su equivalente en otras monedas</w:t>
      </w:r>
      <w:r w:rsidR="00650E29" w:rsidRPr="007213A1">
        <w:rPr>
          <w:b w:val="0"/>
          <w:color w:val="auto"/>
        </w:rPr>
        <w:t xml:space="preserve"> y/o unidades de valor</w:t>
      </w:r>
      <w:r w:rsidRPr="007213A1">
        <w:rPr>
          <w:b w:val="0"/>
          <w:color w:val="auto"/>
        </w:rPr>
        <w:t>) (el “</w:t>
      </w:r>
      <w:r w:rsidRPr="007213A1">
        <w:rPr>
          <w:b w:val="0"/>
          <w:color w:val="auto"/>
          <w:u w:val="single"/>
        </w:rPr>
        <w:t>Programa</w:t>
      </w:r>
      <w:r w:rsidRPr="007213A1">
        <w:rPr>
          <w:b w:val="0"/>
          <w:color w:val="auto"/>
        </w:rPr>
        <w:t xml:space="preserve">”), INVAP S.E., CUIT 30-58558124-7, con sede social en Avenida Comandante Luis Piedrabuena 4950, (R8403CPV), San Carlos de Bariloche, Provincia de Río Negro, República Argentina, Teléfono: </w:t>
      </w:r>
      <w:bookmarkStart w:id="0" w:name="_Hlk27726367"/>
      <w:r w:rsidRPr="007213A1">
        <w:rPr>
          <w:b w:val="0"/>
          <w:color w:val="auto"/>
        </w:rPr>
        <w:t>(</w:t>
      </w:r>
      <w:r w:rsidRPr="007213A1">
        <w:rPr>
          <w:b w:val="0"/>
          <w:color w:val="000000"/>
          <w:lang w:val="es-AR"/>
        </w:rPr>
        <w:t>54-0294) 4409300</w:t>
      </w:r>
      <w:bookmarkEnd w:id="0"/>
      <w:r w:rsidRPr="007213A1">
        <w:rPr>
          <w:b w:val="0"/>
          <w:color w:val="auto"/>
        </w:rPr>
        <w:t xml:space="preserve">, Fax: </w:t>
      </w:r>
      <w:r w:rsidRPr="007213A1">
        <w:rPr>
          <w:b w:val="0"/>
          <w:bCs w:val="0"/>
          <w:color w:val="000000"/>
          <w:lang w:val="es-AR"/>
        </w:rPr>
        <w:t>(54-0294) 4409336</w:t>
      </w:r>
      <w:r w:rsidRPr="007213A1">
        <w:rPr>
          <w:b w:val="0"/>
          <w:color w:val="auto"/>
        </w:rPr>
        <w:t xml:space="preserve">, </w:t>
      </w:r>
      <w:r w:rsidRPr="007213A1">
        <w:rPr>
          <w:b w:val="0"/>
          <w:i/>
          <w:iCs/>
          <w:color w:val="auto"/>
        </w:rPr>
        <w:t>sitio web</w:t>
      </w:r>
      <w:r w:rsidRPr="007213A1">
        <w:rPr>
          <w:b w:val="0"/>
          <w:color w:val="auto"/>
        </w:rPr>
        <w:t xml:space="preserve">: </w:t>
      </w:r>
      <w:hyperlink r:id="rId9" w:history="1">
        <w:r w:rsidRPr="007213A1">
          <w:rPr>
            <w:rStyle w:val="Hipervnculo"/>
          </w:rPr>
          <w:t>www.invap.com.ar</w:t>
        </w:r>
      </w:hyperlink>
      <w:r w:rsidRPr="007213A1">
        <w:rPr>
          <w:b w:val="0"/>
          <w:color w:val="auto"/>
        </w:rPr>
        <w:t xml:space="preserve"> (la “</w:t>
      </w:r>
      <w:r w:rsidRPr="007213A1">
        <w:rPr>
          <w:b w:val="0"/>
          <w:color w:val="auto"/>
          <w:u w:val="single"/>
        </w:rPr>
        <w:t>Página Web de la Emisora</w:t>
      </w:r>
      <w:r w:rsidRPr="007213A1">
        <w:rPr>
          <w:b w:val="0"/>
          <w:color w:val="auto"/>
        </w:rPr>
        <w:t xml:space="preserve">”), </w:t>
      </w:r>
      <w:r w:rsidRPr="007213A1">
        <w:rPr>
          <w:b w:val="0"/>
          <w:i/>
          <w:iCs/>
          <w:color w:val="auto"/>
        </w:rPr>
        <w:t>email</w:t>
      </w:r>
      <w:r w:rsidRPr="007213A1">
        <w:rPr>
          <w:b w:val="0"/>
          <w:color w:val="auto"/>
        </w:rPr>
        <w:t xml:space="preserve">: </w:t>
      </w:r>
      <w:hyperlink r:id="rId10" w:history="1">
        <w:r w:rsidRPr="00112B9F">
          <w:rPr>
            <w:rStyle w:val="Hipervnculo"/>
            <w:b w:val="0"/>
            <w:bCs w:val="0"/>
            <w:color w:val="auto"/>
            <w:u w:val="none"/>
          </w:rPr>
          <w:t>info</w:t>
        </w:r>
      </w:hyperlink>
      <w:r w:rsidRPr="00112B9F">
        <w:rPr>
          <w:rStyle w:val="Hipervnculo"/>
          <w:b w:val="0"/>
          <w:bCs w:val="0"/>
          <w:color w:val="auto"/>
          <w:u w:val="none"/>
        </w:rPr>
        <w:t>@invap.com.ar</w:t>
      </w:r>
      <w:r w:rsidRPr="007213A1">
        <w:rPr>
          <w:b w:val="0"/>
          <w:color w:val="auto"/>
        </w:rPr>
        <w:t xml:space="preserve"> (en adelante, la “</w:t>
      </w:r>
      <w:r w:rsidRPr="007213A1">
        <w:rPr>
          <w:b w:val="0"/>
          <w:color w:val="auto"/>
          <w:u w:val="single"/>
        </w:rPr>
        <w:t>Sociedad</w:t>
      </w:r>
      <w:r w:rsidRPr="007213A1">
        <w:rPr>
          <w:b w:val="0"/>
          <w:color w:val="auto"/>
        </w:rPr>
        <w:t>”, la “</w:t>
      </w:r>
      <w:r w:rsidRPr="007213A1">
        <w:rPr>
          <w:b w:val="0"/>
          <w:color w:val="auto"/>
          <w:u w:val="single"/>
        </w:rPr>
        <w:t>Emisora</w:t>
      </w:r>
      <w:r w:rsidRPr="007213A1">
        <w:rPr>
          <w:b w:val="0"/>
          <w:color w:val="auto"/>
        </w:rPr>
        <w:t>”, la “</w:t>
      </w:r>
      <w:r w:rsidRPr="007213A1">
        <w:rPr>
          <w:b w:val="0"/>
          <w:color w:val="auto"/>
          <w:u w:val="single"/>
        </w:rPr>
        <w:t>Compañía</w:t>
      </w:r>
      <w:r w:rsidRPr="007213A1">
        <w:rPr>
          <w:b w:val="0"/>
          <w:color w:val="auto"/>
        </w:rPr>
        <w:t>” o “</w:t>
      </w:r>
      <w:r w:rsidRPr="007213A1">
        <w:rPr>
          <w:b w:val="0"/>
          <w:color w:val="auto"/>
          <w:u w:val="single"/>
        </w:rPr>
        <w:t>INVAP</w:t>
      </w:r>
      <w:r w:rsidRPr="007213A1">
        <w:rPr>
          <w:b w:val="0"/>
          <w:color w:val="auto"/>
        </w:rPr>
        <w:t>”, en forma indistinta) podrá, conforme con la Ley N°23.576 (incluyendo sus modificatorias y demás normas vigentes, la “</w:t>
      </w:r>
      <w:r w:rsidRPr="007213A1">
        <w:rPr>
          <w:b w:val="0"/>
          <w:color w:val="auto"/>
          <w:u w:val="single"/>
        </w:rPr>
        <w:t>Ley de Obligaciones Negociables</w:t>
      </w:r>
      <w:r w:rsidRPr="007213A1">
        <w:rPr>
          <w:b w:val="0"/>
          <w:color w:val="auto"/>
        </w:rPr>
        <w:t>” o “</w:t>
      </w:r>
      <w:r w:rsidRPr="007213A1">
        <w:rPr>
          <w:b w:val="0"/>
          <w:color w:val="auto"/>
          <w:u w:val="single"/>
        </w:rPr>
        <w:t>LON</w:t>
      </w:r>
      <w:r w:rsidRPr="007213A1">
        <w:rPr>
          <w:b w:val="0"/>
          <w:color w:val="auto"/>
        </w:rPr>
        <w:t>”), emitir obligaciones negociables simples, a corto, mediano y/o largo plazo, no convertibles en acciones, (las “</w:t>
      </w:r>
      <w:r w:rsidRPr="007213A1">
        <w:rPr>
          <w:b w:val="0"/>
          <w:color w:val="auto"/>
          <w:u w:val="single"/>
        </w:rPr>
        <w:t>Obligaciones Negociables</w:t>
      </w:r>
      <w:r w:rsidRPr="007213A1">
        <w:rPr>
          <w:b w:val="0"/>
          <w:color w:val="auto"/>
        </w:rPr>
        <w:t>” o las “</w:t>
      </w:r>
      <w:r w:rsidRPr="007213A1">
        <w:rPr>
          <w:b w:val="0"/>
          <w:color w:val="auto"/>
          <w:u w:val="single"/>
        </w:rPr>
        <w:t>ON</w:t>
      </w:r>
      <w:r w:rsidRPr="007213A1">
        <w:rPr>
          <w:b w:val="0"/>
          <w:color w:val="auto"/>
        </w:rPr>
        <w:t>” en forma indistinta), con garantía común sobre el patrimonio de la Emisora o con garantía especial, subordinadas o no, denominadas en la moneda de curso legal en la Argentina (“</w:t>
      </w:r>
      <w:r w:rsidRPr="007213A1">
        <w:rPr>
          <w:b w:val="0"/>
          <w:color w:val="auto"/>
          <w:u w:val="single"/>
        </w:rPr>
        <w:t>Pesos</w:t>
      </w:r>
      <w:r w:rsidRPr="007213A1">
        <w:rPr>
          <w:b w:val="0"/>
          <w:color w:val="auto"/>
        </w:rPr>
        <w:t>” o “</w:t>
      </w:r>
      <w:r w:rsidRPr="007213A1">
        <w:rPr>
          <w:b w:val="0"/>
          <w:color w:val="auto"/>
          <w:u w:val="single"/>
        </w:rPr>
        <w:t>Pesos Argentinos</w:t>
      </w:r>
      <w:r w:rsidRPr="007213A1">
        <w:rPr>
          <w:b w:val="0"/>
          <w:color w:val="auto"/>
        </w:rPr>
        <w:t>” indistintamente) o en la moneda de curso legal en Estados Unidos (“</w:t>
      </w:r>
      <w:r w:rsidRPr="007213A1">
        <w:rPr>
          <w:b w:val="0"/>
          <w:color w:val="auto"/>
          <w:u w:val="single"/>
        </w:rPr>
        <w:t>Dólares</w:t>
      </w:r>
      <w:r w:rsidRPr="007213A1">
        <w:rPr>
          <w:b w:val="0"/>
          <w:color w:val="auto"/>
        </w:rPr>
        <w:t>” o “</w:t>
      </w:r>
      <w:r w:rsidRPr="007213A1">
        <w:rPr>
          <w:b w:val="0"/>
          <w:color w:val="auto"/>
          <w:u w:val="single"/>
        </w:rPr>
        <w:t>Dólares Estadounidenses</w:t>
      </w:r>
      <w:r w:rsidRPr="007213A1">
        <w:rPr>
          <w:b w:val="0"/>
          <w:color w:val="auto"/>
        </w:rPr>
        <w:t>” indistintamente) o, a opción de la Emisora, en las otras monedas que pudieran especificarse en el suplemento de precio aplicable (cada uno de ellos, un “</w:t>
      </w:r>
      <w:r w:rsidRPr="007213A1">
        <w:rPr>
          <w:b w:val="0"/>
          <w:color w:val="auto"/>
          <w:u w:val="single"/>
        </w:rPr>
        <w:t>Suplemento de Precio</w:t>
      </w:r>
      <w:r w:rsidRPr="007213A1">
        <w:rPr>
          <w:b w:val="0"/>
          <w:color w:val="auto"/>
        </w:rPr>
        <w:t>”).</w:t>
      </w:r>
    </w:p>
    <w:p w14:paraId="22C72FC0" w14:textId="77777777" w:rsidR="00CB5011" w:rsidRPr="007213A1" w:rsidRDefault="00CB5011" w:rsidP="00CB5011">
      <w:pPr>
        <w:pStyle w:val="Textoindependiente"/>
        <w:widowControl w:val="0"/>
        <w:spacing w:before="0"/>
        <w:ind w:right="0"/>
        <w:rPr>
          <w:b w:val="0"/>
          <w:color w:val="000000"/>
        </w:rPr>
      </w:pPr>
    </w:p>
    <w:p w14:paraId="4E7F91D8" w14:textId="369A41D8" w:rsidR="00CB5011" w:rsidRPr="007213A1" w:rsidRDefault="000334EA" w:rsidP="00CB5011">
      <w:pPr>
        <w:pStyle w:val="Textoindependiente"/>
        <w:widowControl w:val="0"/>
        <w:spacing w:before="0"/>
        <w:ind w:right="0"/>
        <w:rPr>
          <w:color w:val="000000"/>
          <w:lang w:val="es-AR"/>
        </w:rPr>
      </w:pPr>
      <w:r w:rsidRPr="007213A1">
        <w:rPr>
          <w:color w:val="000000"/>
          <w:lang w:val="es-AR"/>
        </w:rPr>
        <w:t>La oferta pública de las Obligaciones Negociables emitidas bajo el Programa ha sido autorizada por Resolución N° 16.216 de la Comisión Nacional de Valores (la “</w:t>
      </w:r>
      <w:r w:rsidRPr="007213A1">
        <w:rPr>
          <w:color w:val="000000"/>
          <w:u w:val="single"/>
          <w:lang w:val="es-AR"/>
        </w:rPr>
        <w:t>CNV</w:t>
      </w:r>
      <w:r w:rsidRPr="007213A1">
        <w:rPr>
          <w:color w:val="000000"/>
          <w:lang w:val="es-AR"/>
        </w:rPr>
        <w:t xml:space="preserve">”) de fecha 21 de octubre de </w:t>
      </w:r>
      <w:r w:rsidRPr="007213A1">
        <w:rPr>
          <w:color w:val="auto"/>
          <w:lang w:val="es-AR"/>
        </w:rPr>
        <w:t>2009. El aumento del monto máximo del Programa (a U$S50.000.000) y la</w:t>
      </w:r>
      <w:r w:rsidR="00B55AD4" w:rsidRPr="007213A1">
        <w:rPr>
          <w:color w:val="auto"/>
          <w:lang w:val="es-AR"/>
        </w:rPr>
        <w:t xml:space="preserve"> </w:t>
      </w:r>
      <w:r w:rsidR="00B55AD4" w:rsidRPr="00157673">
        <w:rPr>
          <w:color w:val="auto"/>
          <w:lang w:val="es-AR"/>
        </w:rPr>
        <w:t>primer</w:t>
      </w:r>
      <w:r w:rsidR="00C93779">
        <w:rPr>
          <w:color w:val="auto"/>
          <w:lang w:val="es-AR"/>
        </w:rPr>
        <w:t>a</w:t>
      </w:r>
      <w:r w:rsidRPr="007213A1">
        <w:rPr>
          <w:color w:val="auto"/>
          <w:lang w:val="es-AR"/>
        </w:rPr>
        <w:t xml:space="preserve"> prórroga de la vigencia del mismo han sido autorizados por la Resolución Nº 17.546 de fecha 4 de noviembre de 2014 de la CNV</w:t>
      </w:r>
      <w:r w:rsidR="00B55AD4" w:rsidRPr="007213A1">
        <w:rPr>
          <w:color w:val="auto"/>
          <w:lang w:val="es-AR"/>
        </w:rPr>
        <w:t xml:space="preserve">. La última prórroga de la vigencia del Programa ha sido autorizada mediante </w:t>
      </w:r>
      <w:r w:rsidR="007D7465" w:rsidRPr="007213A1">
        <w:rPr>
          <w:color w:val="auto"/>
          <w:lang w:val="es-AR"/>
        </w:rPr>
        <w:t xml:space="preserve">Disposición de la Gerencia de Emisoras </w:t>
      </w:r>
      <w:r w:rsidRPr="007213A1">
        <w:rPr>
          <w:color w:val="auto"/>
          <w:lang w:val="es-AR"/>
        </w:rPr>
        <w:t xml:space="preserve">N° </w:t>
      </w:r>
      <w:r w:rsidR="00F72F31">
        <w:rPr>
          <w:color w:val="auto"/>
          <w:lang w:val="es-AR"/>
        </w:rPr>
        <w:t>DI-2019-87-APN-GE#CNV</w:t>
      </w:r>
      <w:r w:rsidR="00F72F31" w:rsidRPr="007213A1">
        <w:rPr>
          <w:color w:val="auto"/>
          <w:lang w:val="es-AR"/>
        </w:rPr>
        <w:t xml:space="preserve">, </w:t>
      </w:r>
      <w:r w:rsidRPr="007213A1">
        <w:rPr>
          <w:color w:val="auto"/>
          <w:lang w:val="es-AR"/>
        </w:rPr>
        <w:t xml:space="preserve">de fecha </w:t>
      </w:r>
      <w:r w:rsidR="00F72F31">
        <w:rPr>
          <w:color w:val="auto"/>
          <w:lang w:val="es-AR"/>
        </w:rPr>
        <w:t>20 de diciembre de 2019</w:t>
      </w:r>
      <w:r w:rsidR="00F72F31" w:rsidRPr="007213A1">
        <w:rPr>
          <w:color w:val="auto"/>
          <w:lang w:val="es-AR"/>
        </w:rPr>
        <w:t xml:space="preserve"> </w:t>
      </w:r>
      <w:r w:rsidRPr="007213A1">
        <w:rPr>
          <w:color w:val="auto"/>
          <w:lang w:val="es-AR"/>
        </w:rPr>
        <w:t>de 2019</w:t>
      </w:r>
      <w:r w:rsidRPr="007213A1">
        <w:rPr>
          <w:smallCaps/>
          <w:color w:val="auto"/>
          <w:lang w:val="es-AR"/>
        </w:rPr>
        <w:t xml:space="preserve">. </w:t>
      </w:r>
      <w:r w:rsidRPr="007213A1">
        <w:rPr>
          <w:color w:val="auto"/>
          <w:lang w:val="es-AR"/>
        </w:rPr>
        <w:t>Esta</w:t>
      </w:r>
      <w:r w:rsidR="007D7465" w:rsidRPr="007213A1">
        <w:rPr>
          <w:color w:val="auto"/>
          <w:lang w:val="es-AR"/>
        </w:rPr>
        <w:t>s</w:t>
      </w:r>
      <w:r w:rsidRPr="007213A1">
        <w:rPr>
          <w:color w:val="auto"/>
          <w:lang w:val="es-AR"/>
        </w:rPr>
        <w:t xml:space="preserve"> autorizaci</w:t>
      </w:r>
      <w:r w:rsidR="007D7465" w:rsidRPr="007213A1">
        <w:rPr>
          <w:color w:val="auto"/>
          <w:lang w:val="es-AR"/>
        </w:rPr>
        <w:t>o</w:t>
      </w:r>
      <w:r w:rsidRPr="007213A1">
        <w:rPr>
          <w:color w:val="auto"/>
          <w:lang w:val="es-AR"/>
        </w:rPr>
        <w:t>n</w:t>
      </w:r>
      <w:r w:rsidR="007D7465" w:rsidRPr="007213A1">
        <w:rPr>
          <w:color w:val="auto"/>
          <w:lang w:val="es-AR"/>
        </w:rPr>
        <w:t>es</w:t>
      </w:r>
      <w:r w:rsidRPr="007213A1">
        <w:rPr>
          <w:color w:val="auto"/>
          <w:lang w:val="es-AR"/>
        </w:rPr>
        <w:t xml:space="preserve"> sólo significa</w:t>
      </w:r>
      <w:r w:rsidR="007D7465" w:rsidRPr="007213A1">
        <w:rPr>
          <w:color w:val="auto"/>
          <w:lang w:val="es-AR"/>
        </w:rPr>
        <w:t>n</w:t>
      </w:r>
      <w:r w:rsidRPr="007213A1">
        <w:rPr>
          <w:color w:val="auto"/>
          <w:lang w:val="es-AR"/>
        </w:rPr>
        <w:t xml:space="preserve"> que se ha cumplido con los requisitos establecidos en materia de información. </w:t>
      </w:r>
      <w:r w:rsidRPr="007213A1">
        <w:rPr>
          <w:color w:val="auto"/>
        </w:rPr>
        <w:t xml:space="preserve">La duración del Programa de Obligaciones Negociables será de cinco años, o cualquier plazo mayor que se autorice conforme con las normas aplicables, contados a partir de la fecha de autorización de este Programa y de la oferta pública por parte de la CNV, teniendo en cuenta la prórroga del plazo del Programa, el plazo de cinco años se contará </w:t>
      </w:r>
      <w:r w:rsidRPr="00112B9F">
        <w:rPr>
          <w:color w:val="auto"/>
        </w:rPr>
        <w:t>a partir de la fecha de autorización por parte de la CNV</w:t>
      </w:r>
      <w:r w:rsidRPr="007213A1">
        <w:rPr>
          <w:color w:val="auto"/>
        </w:rPr>
        <w:t xml:space="preserve">. </w:t>
      </w:r>
      <w:r w:rsidRPr="007213A1">
        <w:rPr>
          <w:color w:val="auto"/>
          <w:lang w:val="es-AR"/>
        </w:rPr>
        <w:t>La CNV no ha emitido juicio sobre los datos contenidos en el Prospecto. La veracidad de la información contable, financiera y económica, así como de toda otra información</w:t>
      </w:r>
      <w:r w:rsidRPr="007213A1">
        <w:rPr>
          <w:color w:val="000000"/>
          <w:lang w:val="es-AR"/>
        </w:rPr>
        <w:t xml:space="preserve"> suministrada en el presente Prospecto es exclusiva responsabilidad del directorio </w:t>
      </w:r>
      <w:r w:rsidR="006C678A" w:rsidRPr="007213A1">
        <w:rPr>
          <w:color w:val="000000"/>
          <w:lang w:val="es-AR"/>
        </w:rPr>
        <w:t>de la Emisora</w:t>
      </w:r>
      <w:r w:rsidRPr="007213A1">
        <w:rPr>
          <w:color w:val="000000"/>
          <w:lang w:val="es-AR"/>
        </w:rPr>
        <w:t xml:space="preserve"> (el “</w:t>
      </w:r>
      <w:r w:rsidRPr="007213A1">
        <w:rPr>
          <w:color w:val="000000"/>
          <w:u w:val="single"/>
          <w:lang w:val="es-AR"/>
        </w:rPr>
        <w:t>Directorio</w:t>
      </w:r>
      <w:r w:rsidRPr="007213A1">
        <w:rPr>
          <w:color w:val="000000"/>
          <w:lang w:val="es-AR"/>
        </w:rPr>
        <w:t>”) y, en lo que les atañe, del órgano de fiscalización de la Sociedad y de los auditores en cuanto a sus respectivos informes sobre los estados financieros que se acompañan y demás responsables contemplados en los artículos 119 y 120 de la Ley Nº 26.831. El Directorio de la Sociedad manifiesta, con carácter de declaración jurada, que el presente Prospecto contiene a la fecha de su publicación información veraz y suficiente sobre todo hecho relevante que pueda afectar la situación patrimonial, económica y financiera de la Sociedad y de toda aquella que deba ser de conocimiento del público inversor con relación a</w:t>
      </w:r>
      <w:r w:rsidR="006571B4">
        <w:rPr>
          <w:color w:val="000000"/>
          <w:lang w:val="es-AR"/>
        </w:rPr>
        <w:t>l</w:t>
      </w:r>
      <w:r w:rsidRPr="007213A1">
        <w:rPr>
          <w:color w:val="000000"/>
          <w:lang w:val="es-AR"/>
        </w:rPr>
        <w:t xml:space="preserve"> presente, conforme las normas vigentes.</w:t>
      </w:r>
    </w:p>
    <w:p w14:paraId="7D3632E8" w14:textId="77777777" w:rsidR="00783F8F" w:rsidRPr="00450196" w:rsidRDefault="00783F8F" w:rsidP="00512442">
      <w:pPr>
        <w:autoSpaceDE w:val="0"/>
        <w:autoSpaceDN w:val="0"/>
        <w:adjustRightInd w:val="0"/>
        <w:jc w:val="both"/>
        <w:rPr>
          <w:color w:val="000000"/>
          <w:lang w:val="es-AR"/>
        </w:rPr>
      </w:pPr>
    </w:p>
    <w:p w14:paraId="32677E37" w14:textId="69C9C923" w:rsidR="000334EA" w:rsidRPr="007213A1" w:rsidRDefault="00CB5011" w:rsidP="000334EA">
      <w:pPr>
        <w:autoSpaceDE w:val="0"/>
        <w:autoSpaceDN w:val="0"/>
        <w:adjustRightInd w:val="0"/>
        <w:jc w:val="both"/>
        <w:rPr>
          <w:rFonts w:eastAsia="Calibri"/>
          <w:sz w:val="20"/>
          <w:szCs w:val="20"/>
          <w:lang w:val="es-MX"/>
        </w:rPr>
      </w:pPr>
      <w:r w:rsidRPr="007213A1">
        <w:rPr>
          <w:color w:val="000000"/>
          <w:sz w:val="20"/>
          <w:szCs w:val="20"/>
          <w:lang w:val="es-AR"/>
        </w:rPr>
        <w:lastRenderedPageBreak/>
        <w:t>El monto de capital máximo de todas las Obligaciones Negociables periódicamente en circulación no superará U$S50.000.000 (o su equivalente en otras monedas</w:t>
      </w:r>
      <w:r w:rsidR="00650E29" w:rsidRPr="007213A1">
        <w:rPr>
          <w:color w:val="000000"/>
          <w:sz w:val="20"/>
          <w:szCs w:val="20"/>
          <w:lang w:val="es-AR"/>
        </w:rPr>
        <w:t xml:space="preserve"> y/o unidades de valor</w:t>
      </w:r>
      <w:r w:rsidRPr="007213A1">
        <w:rPr>
          <w:color w:val="000000"/>
          <w:sz w:val="20"/>
          <w:szCs w:val="20"/>
          <w:lang w:val="es-AR"/>
        </w:rPr>
        <w:t>), sujeto a cualquier aumento debidamente autorizado. A los fines del cómputo del monto total del Programa, el tipo de cambio a aplicar será el precio del dólar “vendedor” informado por el Banco de la Nación Argentina (el “</w:t>
      </w:r>
      <w:r w:rsidRPr="007213A1">
        <w:rPr>
          <w:color w:val="000000"/>
          <w:sz w:val="20"/>
          <w:szCs w:val="20"/>
          <w:u w:val="single"/>
          <w:lang w:val="es-AR"/>
        </w:rPr>
        <w:t>Banco Nación</w:t>
      </w:r>
      <w:r w:rsidRPr="007213A1">
        <w:rPr>
          <w:color w:val="000000"/>
          <w:sz w:val="20"/>
          <w:szCs w:val="20"/>
          <w:lang w:val="es-AR"/>
        </w:rPr>
        <w:t>”) en la sección Cotización de Divisas. Las Obligaciones Negociables tendrán los plazos de vencimiento y los plazos y formas de amortización que se fijen en el correspondiente Suplemento de Precio, respetando los plazos mínimos y máximos que resulten aplicables de acuerdo con las normas vigentes contados a partir de su fecha de emisión original.</w:t>
      </w:r>
      <w:r w:rsidRPr="00112B9F">
        <w:rPr>
          <w:color w:val="000000"/>
          <w:sz w:val="20"/>
          <w:szCs w:val="20"/>
          <w:lang w:val="es-AR"/>
        </w:rPr>
        <w:t xml:space="preserve"> </w:t>
      </w:r>
      <w:r w:rsidR="000334EA" w:rsidRPr="007213A1">
        <w:rPr>
          <w:rFonts w:eastAsia="Calibri"/>
          <w:sz w:val="20"/>
          <w:szCs w:val="20"/>
          <w:lang w:val="es-MX"/>
        </w:rPr>
        <w:t>Cada emisión de las Obligaciones Negociables consistirá en una clase (la “</w:t>
      </w:r>
      <w:r w:rsidR="000334EA" w:rsidRPr="007213A1">
        <w:rPr>
          <w:rFonts w:eastAsia="Calibri"/>
          <w:sz w:val="20"/>
          <w:szCs w:val="20"/>
          <w:u w:val="single"/>
          <w:lang w:val="es-MX"/>
        </w:rPr>
        <w:t>Clase</w:t>
      </w:r>
      <w:r w:rsidR="000334EA" w:rsidRPr="007213A1">
        <w:rPr>
          <w:rFonts w:eastAsia="Calibri"/>
          <w:sz w:val="20"/>
          <w:szCs w:val="20"/>
          <w:lang w:val="es-MX"/>
        </w:rPr>
        <w:t>”), que a su vez podrá ser emitida en diferentes series con términos y condiciones específicos diferentes entre las Obligaciones Negociables de las distintas series (las “</w:t>
      </w:r>
      <w:r w:rsidR="000334EA" w:rsidRPr="007213A1">
        <w:rPr>
          <w:rFonts w:eastAsia="Calibri"/>
          <w:sz w:val="20"/>
          <w:szCs w:val="20"/>
          <w:u w:val="single"/>
          <w:lang w:val="es-MX"/>
        </w:rPr>
        <w:t>Series</w:t>
      </w:r>
      <w:r w:rsidR="000334EA" w:rsidRPr="007213A1">
        <w:rPr>
          <w:rFonts w:eastAsia="Calibri"/>
          <w:sz w:val="20"/>
          <w:szCs w:val="20"/>
          <w:lang w:val="es-MX"/>
        </w:rPr>
        <w:t>”). Las condiciones específicas de cada Clase y/o Serie de las Obligaciones Negociables ofrecidas bajo el Programa se establecerán en el Suplemento de Precio aplicable, el cual identificará, entre otras cuestiones, en cada caso, el monto de capital total ofrecido, la tasa de interés y la oportunidad de pago de los intereses, si los hubiere, las denominaciones mínimas de negociación autorizadas, la moneda de denominación, el vencimiento, preferencia, prima (si la hubiere), cualesquier condiciones para su rescate, la garantía aplicable (en su caso), la forma de las Obligaciones Negociables, el precio de oferta inicial y cualesquier otras condiciones que pudieren resultar de aplicación respecto de la oferta y venta de dicha Clase y/o Serie de Obligaciones Negociables.</w:t>
      </w:r>
    </w:p>
    <w:p w14:paraId="4761C7F1" w14:textId="77777777" w:rsidR="000334EA" w:rsidRPr="007213A1" w:rsidRDefault="000334EA" w:rsidP="000334EA">
      <w:pPr>
        <w:autoSpaceDE w:val="0"/>
        <w:autoSpaceDN w:val="0"/>
        <w:adjustRightInd w:val="0"/>
        <w:jc w:val="both"/>
        <w:rPr>
          <w:rFonts w:eastAsia="Calibri"/>
          <w:sz w:val="20"/>
          <w:szCs w:val="20"/>
          <w:lang w:val="es-MX"/>
        </w:rPr>
      </w:pPr>
    </w:p>
    <w:p w14:paraId="0D4038BA" w14:textId="77777777" w:rsidR="000334EA" w:rsidRPr="007213A1" w:rsidRDefault="000334EA" w:rsidP="000334EA">
      <w:pPr>
        <w:widowControl w:val="0"/>
        <w:suppressLineNumbers/>
        <w:suppressAutoHyphens/>
        <w:jc w:val="both"/>
        <w:rPr>
          <w:rFonts w:eastAsia="Calibri"/>
          <w:bCs/>
          <w:sz w:val="20"/>
          <w:szCs w:val="20"/>
          <w:lang w:val="es-MX"/>
        </w:rPr>
      </w:pPr>
      <w:r w:rsidRPr="007213A1">
        <w:rPr>
          <w:rFonts w:eastAsia="Calibri"/>
          <w:bCs/>
          <w:sz w:val="20"/>
          <w:szCs w:val="20"/>
          <w:lang w:val="es-MX"/>
        </w:rPr>
        <w:t>Las Obligaciones Negociables constituyen “</w:t>
      </w:r>
      <w:r w:rsidRPr="007213A1">
        <w:rPr>
          <w:rFonts w:eastAsia="Calibri"/>
          <w:bCs/>
          <w:i/>
          <w:sz w:val="20"/>
          <w:szCs w:val="20"/>
          <w:lang w:val="es-MX"/>
        </w:rPr>
        <w:t>Obligaciones Negociables</w:t>
      </w:r>
      <w:r w:rsidRPr="007213A1">
        <w:rPr>
          <w:rFonts w:eastAsia="Calibri"/>
          <w:bCs/>
          <w:sz w:val="20"/>
          <w:szCs w:val="20"/>
          <w:lang w:val="es-MX"/>
        </w:rPr>
        <w:t xml:space="preserve">” bajo la Ley </w:t>
      </w:r>
      <w:r w:rsidRPr="007213A1">
        <w:rPr>
          <w:rFonts w:eastAsia="Calibri"/>
          <w:sz w:val="20"/>
          <w:szCs w:val="20"/>
          <w:lang w:val="es-MX"/>
        </w:rPr>
        <w:t>de Obligaciones Negociables</w:t>
      </w:r>
      <w:r w:rsidRPr="007213A1">
        <w:rPr>
          <w:rFonts w:eastAsia="Calibri"/>
          <w:bCs/>
          <w:sz w:val="20"/>
          <w:szCs w:val="20"/>
          <w:lang w:val="es-MX"/>
        </w:rPr>
        <w:t>, y dan derecho a los beneficios, y estarán sujetas a los requisitos de procedimiento establecidos en la misma y en las normas aplicables de la CNV conforme Resolución General N°622/13 (N.T. 2013) y modificatorias (las “</w:t>
      </w:r>
      <w:r w:rsidRPr="007213A1">
        <w:rPr>
          <w:rFonts w:eastAsia="Calibri"/>
          <w:bCs/>
          <w:sz w:val="20"/>
          <w:szCs w:val="20"/>
          <w:u w:val="single"/>
          <w:lang w:val="es-MX"/>
        </w:rPr>
        <w:t>Normas de la CNV</w:t>
      </w:r>
      <w:r w:rsidRPr="007213A1">
        <w:rPr>
          <w:rFonts w:eastAsia="Calibri"/>
          <w:bCs/>
          <w:sz w:val="20"/>
          <w:szCs w:val="20"/>
          <w:lang w:val="es-MX"/>
        </w:rPr>
        <w:t>”) y en la Ley de Mercado de Capitales.</w:t>
      </w:r>
    </w:p>
    <w:p w14:paraId="73CCF8AE" w14:textId="77777777" w:rsidR="00CB5011" w:rsidRPr="007213A1" w:rsidRDefault="00CB5011" w:rsidP="00CB5011">
      <w:pPr>
        <w:pStyle w:val="Textoindependiente"/>
        <w:widowControl w:val="0"/>
        <w:spacing w:before="0"/>
        <w:ind w:right="0"/>
        <w:rPr>
          <w:b w:val="0"/>
          <w:bCs w:val="0"/>
          <w:color w:val="000000"/>
          <w:lang w:val="es-MX"/>
        </w:rPr>
      </w:pPr>
    </w:p>
    <w:p w14:paraId="196D257F" w14:textId="1757A64B" w:rsidR="00CB5011" w:rsidRPr="007213A1" w:rsidRDefault="000334EA" w:rsidP="000334EA">
      <w:pPr>
        <w:pStyle w:val="Textpara"/>
        <w:tabs>
          <w:tab w:val="clear" w:pos="9000"/>
        </w:tabs>
        <w:autoSpaceDE/>
        <w:autoSpaceDN/>
        <w:adjustRightInd/>
        <w:spacing w:after="0"/>
        <w:jc w:val="center"/>
        <w:rPr>
          <w:b/>
          <w:bCs/>
          <w:smallCaps/>
          <w:color w:val="000000"/>
          <w:lang w:val="es-AR"/>
        </w:rPr>
      </w:pPr>
      <w:r w:rsidRPr="007213A1">
        <w:rPr>
          <w:b/>
          <w:bCs/>
          <w:smallCaps/>
          <w:color w:val="000000"/>
          <w:lang w:val="es-AR"/>
        </w:rPr>
        <w:t xml:space="preserve">EL presente programa no cuenta con </w:t>
      </w:r>
      <w:r w:rsidR="000038D4" w:rsidRPr="007213A1">
        <w:rPr>
          <w:b/>
          <w:bCs/>
          <w:smallCaps/>
          <w:color w:val="000000"/>
          <w:lang w:val="es-AR"/>
        </w:rPr>
        <w:t>calificación</w:t>
      </w:r>
      <w:r w:rsidRPr="007213A1">
        <w:rPr>
          <w:b/>
          <w:bCs/>
          <w:smallCaps/>
          <w:color w:val="000000"/>
          <w:lang w:val="es-AR"/>
        </w:rPr>
        <w:t xml:space="preserve"> de riesgo</w:t>
      </w:r>
    </w:p>
    <w:p w14:paraId="0B443D66" w14:textId="77777777" w:rsidR="000334EA" w:rsidRPr="007213A1" w:rsidRDefault="000334EA" w:rsidP="000334EA">
      <w:pPr>
        <w:pStyle w:val="Textpara"/>
        <w:tabs>
          <w:tab w:val="clear" w:pos="9000"/>
        </w:tabs>
        <w:autoSpaceDE/>
        <w:autoSpaceDN/>
        <w:adjustRightInd/>
        <w:spacing w:after="0"/>
        <w:jc w:val="center"/>
        <w:rPr>
          <w:b/>
          <w:bCs/>
          <w:smallCaps/>
          <w:color w:val="000000"/>
          <w:lang w:val="es-AR"/>
        </w:rPr>
      </w:pPr>
    </w:p>
    <w:p w14:paraId="53F437BD" w14:textId="77777777" w:rsidR="000334EA" w:rsidRPr="007213A1" w:rsidRDefault="000334EA" w:rsidP="000334EA">
      <w:pPr>
        <w:suppressLineNumbers/>
        <w:suppressAutoHyphens/>
        <w:jc w:val="both"/>
        <w:rPr>
          <w:bCs/>
          <w:iCs/>
          <w:sz w:val="20"/>
          <w:szCs w:val="20"/>
          <w:lang w:val="es-MX"/>
        </w:rPr>
      </w:pPr>
      <w:r w:rsidRPr="007213A1">
        <w:rPr>
          <w:bCs/>
          <w:iCs/>
          <w:sz w:val="20"/>
          <w:szCs w:val="20"/>
          <w:lang w:val="es-MX"/>
        </w:rPr>
        <w:t xml:space="preserve">La Emisora podrá optar por calificar cada una de las Series y/o Clases de Obligaciones Negociables a emitirse bajo el Programa, conforme lo determine en cada oportunidad en el respectivo Suplemento de Precio. En ningún caso se deberá considerar que las calificaciones que se otorguen a una Serie y/o Clase son una recomendación de la Emisora, del Organizador o del Colocador (conforme se definen más adelante) para que se adquieran las Obligaciones Negociables. </w:t>
      </w:r>
    </w:p>
    <w:p w14:paraId="5B0B24A7" w14:textId="77777777" w:rsidR="000334EA" w:rsidRPr="007213A1" w:rsidRDefault="000334EA" w:rsidP="000334EA">
      <w:pPr>
        <w:pStyle w:val="Textpara"/>
        <w:tabs>
          <w:tab w:val="clear" w:pos="9000"/>
        </w:tabs>
        <w:autoSpaceDE/>
        <w:autoSpaceDN/>
        <w:adjustRightInd/>
        <w:spacing w:after="0"/>
        <w:rPr>
          <w:b/>
          <w:bCs/>
          <w:smallCaps/>
          <w:color w:val="000000"/>
          <w:lang w:val="es-MX"/>
        </w:rPr>
      </w:pPr>
    </w:p>
    <w:p w14:paraId="5589F016" w14:textId="77777777" w:rsidR="000334EA" w:rsidRPr="007213A1" w:rsidRDefault="000334EA" w:rsidP="000334EA">
      <w:pPr>
        <w:widowControl w:val="0"/>
        <w:suppressLineNumbers/>
        <w:suppressAutoHyphens/>
        <w:jc w:val="both"/>
        <w:rPr>
          <w:b/>
          <w:bCs/>
          <w:sz w:val="20"/>
          <w:szCs w:val="20"/>
          <w:lang w:val="es-MX"/>
        </w:rPr>
      </w:pPr>
      <w:r w:rsidRPr="007213A1">
        <w:rPr>
          <w:b/>
          <w:bCs/>
          <w:sz w:val="20"/>
          <w:szCs w:val="20"/>
          <w:lang w:val="es-MX"/>
        </w:rPr>
        <w:t xml:space="preserve">Para obtener un análisis de ciertos factores que deben tomarse en cuenta al adoptar la decisión de inversión en las Obligaciones Negociables, véase el Capítulo III </w:t>
      </w:r>
      <w:r w:rsidRPr="007213A1">
        <w:rPr>
          <w:b/>
          <w:bCs/>
          <w:i/>
          <w:sz w:val="20"/>
          <w:szCs w:val="20"/>
          <w:lang w:val="es-MX"/>
        </w:rPr>
        <w:t>“Factores de Riesgo”</w:t>
      </w:r>
      <w:r w:rsidRPr="007213A1">
        <w:rPr>
          <w:b/>
          <w:bCs/>
          <w:sz w:val="20"/>
          <w:szCs w:val="20"/>
          <w:lang w:val="es-MX"/>
        </w:rPr>
        <w:t>.</w:t>
      </w:r>
    </w:p>
    <w:p w14:paraId="27CC5888" w14:textId="77777777" w:rsidR="000334EA" w:rsidRPr="007213A1" w:rsidRDefault="000334EA" w:rsidP="000334EA">
      <w:pPr>
        <w:widowControl w:val="0"/>
        <w:suppressLineNumbers/>
        <w:suppressAutoHyphens/>
        <w:jc w:val="both"/>
        <w:rPr>
          <w:sz w:val="20"/>
          <w:szCs w:val="20"/>
          <w:lang w:val="es-MX"/>
        </w:rPr>
      </w:pPr>
    </w:p>
    <w:p w14:paraId="656D1965" w14:textId="56DCDE4C" w:rsidR="000334EA" w:rsidRPr="007213A1" w:rsidRDefault="000334EA" w:rsidP="000334EA">
      <w:pPr>
        <w:jc w:val="both"/>
        <w:rPr>
          <w:sz w:val="20"/>
          <w:szCs w:val="20"/>
          <w:lang w:val="es-MX"/>
        </w:rPr>
      </w:pPr>
      <w:r w:rsidRPr="007213A1">
        <w:rPr>
          <w:bCs/>
          <w:sz w:val="20"/>
          <w:szCs w:val="20"/>
          <w:lang w:val="es-MX"/>
        </w:rPr>
        <w:t>La creación del Programa ha sido aprobada en la Asamblea de Accionistas de la Emisora de fecha 19 de agosto de 2009</w:t>
      </w:r>
      <w:r w:rsidR="000038D4" w:rsidRPr="007213A1">
        <w:rPr>
          <w:bCs/>
          <w:sz w:val="20"/>
          <w:szCs w:val="20"/>
          <w:lang w:val="es-MX"/>
        </w:rPr>
        <w:t xml:space="preserve">. La </w:t>
      </w:r>
      <w:r w:rsidR="000038D4" w:rsidRPr="00157673">
        <w:rPr>
          <w:bCs/>
          <w:sz w:val="20"/>
          <w:szCs w:val="20"/>
          <w:lang w:val="es-MX"/>
        </w:rPr>
        <w:t>primer</w:t>
      </w:r>
      <w:r w:rsidR="00C93779">
        <w:rPr>
          <w:bCs/>
          <w:sz w:val="20"/>
          <w:szCs w:val="20"/>
          <w:lang w:val="es-MX"/>
        </w:rPr>
        <w:t>a</w:t>
      </w:r>
      <w:r w:rsidR="000038D4" w:rsidRPr="007213A1">
        <w:rPr>
          <w:bCs/>
          <w:sz w:val="20"/>
          <w:szCs w:val="20"/>
          <w:lang w:val="es-MX"/>
        </w:rPr>
        <w:t xml:space="preserve"> prórroga a la vigencia del Programa y el aumento del monto del mismo fueron decididos mediante Asamblea de Accionistas de fecha</w:t>
      </w:r>
      <w:r w:rsidR="00C93779">
        <w:rPr>
          <w:bCs/>
          <w:sz w:val="20"/>
          <w:szCs w:val="20"/>
          <w:lang w:val="es-MX"/>
        </w:rPr>
        <w:t xml:space="preserve"> 22 de septiembre de 2014</w:t>
      </w:r>
      <w:r w:rsidR="000038D4" w:rsidRPr="007213A1">
        <w:rPr>
          <w:bCs/>
          <w:sz w:val="20"/>
          <w:szCs w:val="20"/>
          <w:lang w:val="es-MX"/>
        </w:rPr>
        <w:t xml:space="preserve">. La última delegación de facultades de la Asamblea de Accionistas en el Directorio de la Sociedad fue resuelta en fecha </w:t>
      </w:r>
      <w:r w:rsidR="00671FA3">
        <w:rPr>
          <w:bCs/>
          <w:sz w:val="20"/>
          <w:szCs w:val="20"/>
          <w:lang w:val="es-MX"/>
        </w:rPr>
        <w:t>26 de septiembre</w:t>
      </w:r>
      <w:r w:rsidR="00C5653F">
        <w:rPr>
          <w:bCs/>
          <w:sz w:val="20"/>
          <w:szCs w:val="20"/>
          <w:lang w:val="es-MX"/>
        </w:rPr>
        <w:t xml:space="preserve"> de</w:t>
      </w:r>
      <w:r w:rsidR="00671FA3">
        <w:rPr>
          <w:bCs/>
          <w:sz w:val="20"/>
          <w:szCs w:val="20"/>
          <w:lang w:val="es-MX"/>
        </w:rPr>
        <w:t xml:space="preserve"> 2018</w:t>
      </w:r>
      <w:r w:rsidR="00DF3CA0" w:rsidRPr="007213A1">
        <w:rPr>
          <w:bCs/>
          <w:sz w:val="20"/>
          <w:szCs w:val="20"/>
          <w:lang w:val="es-MX"/>
        </w:rPr>
        <w:t xml:space="preserve">. </w:t>
      </w:r>
      <w:r w:rsidR="000038D4" w:rsidRPr="007213A1">
        <w:rPr>
          <w:bCs/>
          <w:sz w:val="20"/>
          <w:szCs w:val="20"/>
          <w:lang w:val="es-MX"/>
        </w:rPr>
        <w:t>La</w:t>
      </w:r>
      <w:r w:rsidR="00C5653F">
        <w:rPr>
          <w:bCs/>
          <w:sz w:val="20"/>
          <w:szCs w:val="20"/>
          <w:lang w:val="es-MX"/>
        </w:rPr>
        <w:t>s</w:t>
      </w:r>
      <w:r w:rsidR="000038D4" w:rsidRPr="007213A1">
        <w:rPr>
          <w:bCs/>
          <w:sz w:val="20"/>
          <w:szCs w:val="20"/>
          <w:lang w:val="es-MX"/>
        </w:rPr>
        <w:t xml:space="preserve"> prórroga</w:t>
      </w:r>
      <w:r w:rsidR="00C5653F">
        <w:rPr>
          <w:bCs/>
          <w:sz w:val="20"/>
          <w:szCs w:val="20"/>
          <w:lang w:val="es-MX"/>
        </w:rPr>
        <w:t>s</w:t>
      </w:r>
      <w:r w:rsidR="000038D4" w:rsidRPr="007213A1">
        <w:rPr>
          <w:bCs/>
          <w:sz w:val="20"/>
          <w:szCs w:val="20"/>
          <w:lang w:val="es-MX"/>
        </w:rPr>
        <w:t xml:space="preserve"> de la vigencia del Programa y la modificación de ciertos términos y condiciones</w:t>
      </w:r>
      <w:r w:rsidR="00DF3CA0" w:rsidRPr="007213A1">
        <w:rPr>
          <w:bCs/>
          <w:sz w:val="20"/>
          <w:szCs w:val="20"/>
          <w:lang w:val="es-MX"/>
        </w:rPr>
        <w:t xml:space="preserve"> fue</w:t>
      </w:r>
      <w:r w:rsidR="00C5653F">
        <w:rPr>
          <w:bCs/>
          <w:sz w:val="20"/>
          <w:szCs w:val="20"/>
          <w:lang w:val="es-MX"/>
        </w:rPr>
        <w:t>ron</w:t>
      </w:r>
      <w:r w:rsidR="00DF3CA0" w:rsidRPr="007213A1">
        <w:rPr>
          <w:bCs/>
          <w:sz w:val="20"/>
          <w:szCs w:val="20"/>
          <w:lang w:val="es-MX"/>
        </w:rPr>
        <w:t xml:space="preserve"> resuelta</w:t>
      </w:r>
      <w:r w:rsidR="00C5653F">
        <w:rPr>
          <w:bCs/>
          <w:sz w:val="20"/>
          <w:szCs w:val="20"/>
          <w:lang w:val="es-MX"/>
        </w:rPr>
        <w:t>s</w:t>
      </w:r>
      <w:r w:rsidR="00DF3CA0" w:rsidRPr="007213A1">
        <w:rPr>
          <w:bCs/>
          <w:sz w:val="20"/>
          <w:szCs w:val="20"/>
          <w:lang w:val="es-MX"/>
        </w:rPr>
        <w:t xml:space="preserve"> en la</w:t>
      </w:r>
      <w:r w:rsidR="00C5653F">
        <w:rPr>
          <w:bCs/>
          <w:sz w:val="20"/>
          <w:szCs w:val="20"/>
          <w:lang w:val="es-MX"/>
        </w:rPr>
        <w:t>s</w:t>
      </w:r>
      <w:r w:rsidR="00DF3CA0" w:rsidRPr="007213A1">
        <w:rPr>
          <w:bCs/>
          <w:sz w:val="20"/>
          <w:szCs w:val="20"/>
          <w:lang w:val="es-MX"/>
        </w:rPr>
        <w:t xml:space="preserve"> Asamblea</w:t>
      </w:r>
      <w:r w:rsidR="00C5653F">
        <w:rPr>
          <w:bCs/>
          <w:sz w:val="20"/>
          <w:szCs w:val="20"/>
          <w:lang w:val="es-MX"/>
        </w:rPr>
        <w:t>s</w:t>
      </w:r>
      <w:r w:rsidR="00DF3CA0" w:rsidRPr="007213A1">
        <w:rPr>
          <w:bCs/>
          <w:sz w:val="20"/>
          <w:szCs w:val="20"/>
          <w:lang w:val="es-MX"/>
        </w:rPr>
        <w:t xml:space="preserve"> de Accionistas de la Sociedad de fecha</w:t>
      </w:r>
      <w:r w:rsidR="00C5653F">
        <w:rPr>
          <w:bCs/>
          <w:sz w:val="20"/>
          <w:szCs w:val="20"/>
          <w:lang w:val="es-MX"/>
        </w:rPr>
        <w:t>s</w:t>
      </w:r>
      <w:r w:rsidR="00DF3CA0" w:rsidRPr="007213A1">
        <w:rPr>
          <w:bCs/>
          <w:sz w:val="20"/>
          <w:szCs w:val="20"/>
          <w:lang w:val="es-MX"/>
        </w:rPr>
        <w:t xml:space="preserve"> </w:t>
      </w:r>
      <w:r w:rsidR="00671FA3">
        <w:rPr>
          <w:bCs/>
          <w:sz w:val="20"/>
          <w:szCs w:val="20"/>
          <w:lang w:val="es-MX"/>
        </w:rPr>
        <w:t>22 de septiembre de 2014</w:t>
      </w:r>
      <w:r w:rsidR="00C5653F">
        <w:rPr>
          <w:bCs/>
          <w:sz w:val="20"/>
          <w:szCs w:val="20"/>
          <w:lang w:val="es-MX"/>
        </w:rPr>
        <w:t xml:space="preserve"> y </w:t>
      </w:r>
      <w:r w:rsidR="0015043B">
        <w:rPr>
          <w:bCs/>
          <w:sz w:val="20"/>
          <w:szCs w:val="20"/>
          <w:lang w:val="es-MX"/>
        </w:rPr>
        <w:t>29</w:t>
      </w:r>
      <w:r w:rsidR="0015043B" w:rsidRPr="00A61C89">
        <w:rPr>
          <w:bCs/>
          <w:sz w:val="20"/>
          <w:szCs w:val="20"/>
          <w:lang w:val="es-MX"/>
        </w:rPr>
        <w:t xml:space="preserve"> </w:t>
      </w:r>
      <w:r w:rsidR="00C5653F" w:rsidRPr="00A61C89">
        <w:rPr>
          <w:bCs/>
          <w:sz w:val="20"/>
          <w:szCs w:val="20"/>
          <w:lang w:val="es-MX"/>
        </w:rPr>
        <w:t xml:space="preserve">de </w:t>
      </w:r>
      <w:r w:rsidR="00C5653F">
        <w:rPr>
          <w:bCs/>
          <w:sz w:val="20"/>
          <w:szCs w:val="20"/>
          <w:lang w:val="es-MX"/>
        </w:rPr>
        <w:t xml:space="preserve">octubre de </w:t>
      </w:r>
      <w:r w:rsidR="00C5653F" w:rsidRPr="00A61C89">
        <w:rPr>
          <w:bCs/>
          <w:sz w:val="20"/>
          <w:szCs w:val="20"/>
          <w:lang w:val="es-MX"/>
        </w:rPr>
        <w:t>2019</w:t>
      </w:r>
      <w:r w:rsidRPr="007213A1">
        <w:rPr>
          <w:bCs/>
          <w:sz w:val="20"/>
          <w:szCs w:val="20"/>
          <w:lang w:val="es-MX"/>
        </w:rPr>
        <w:t xml:space="preserve">. </w:t>
      </w:r>
      <w:r w:rsidRPr="007213A1">
        <w:rPr>
          <w:sz w:val="20"/>
          <w:szCs w:val="20"/>
          <w:lang w:val="es-MX"/>
        </w:rPr>
        <w:t>L</w:t>
      </w:r>
      <w:r w:rsidR="00C5653F">
        <w:rPr>
          <w:sz w:val="20"/>
          <w:szCs w:val="20"/>
          <w:lang w:val="es-MX"/>
        </w:rPr>
        <w:t xml:space="preserve">os términos y condiciones del Programa fueron aprobados </w:t>
      </w:r>
      <w:r w:rsidRPr="007213A1">
        <w:rPr>
          <w:sz w:val="20"/>
          <w:szCs w:val="20"/>
          <w:lang w:val="es-MX"/>
        </w:rPr>
        <w:t>mediante Acta de Directorio de la Sociedad de fech</w:t>
      </w:r>
      <w:r w:rsidR="00D86D66">
        <w:rPr>
          <w:sz w:val="20"/>
          <w:szCs w:val="20"/>
          <w:lang w:val="es-MX"/>
        </w:rPr>
        <w:t xml:space="preserve">a </w:t>
      </w:r>
      <w:r w:rsidR="00214904">
        <w:rPr>
          <w:sz w:val="20"/>
          <w:lang w:val="es-MX"/>
        </w:rPr>
        <w:t>7</w:t>
      </w:r>
      <w:r w:rsidR="00214904" w:rsidRPr="004C2CEC">
        <w:rPr>
          <w:sz w:val="20"/>
          <w:lang w:val="es-AR"/>
        </w:rPr>
        <w:t xml:space="preserve"> </w:t>
      </w:r>
      <w:r w:rsidR="003D5F53" w:rsidRPr="004C2CEC">
        <w:rPr>
          <w:sz w:val="20"/>
          <w:lang w:val="es-AR"/>
        </w:rPr>
        <w:t xml:space="preserve">de </w:t>
      </w:r>
      <w:r w:rsidR="00350935">
        <w:rPr>
          <w:sz w:val="20"/>
          <w:szCs w:val="20"/>
          <w:lang w:val="es-AR"/>
        </w:rPr>
        <w:t>noviembre</w:t>
      </w:r>
      <w:r w:rsidR="00671FA3">
        <w:rPr>
          <w:sz w:val="20"/>
          <w:szCs w:val="20"/>
          <w:lang w:val="es-MX"/>
        </w:rPr>
        <w:t xml:space="preserve"> de 2019</w:t>
      </w:r>
      <w:r w:rsidR="00671FA3" w:rsidRPr="007213A1">
        <w:rPr>
          <w:sz w:val="20"/>
          <w:szCs w:val="20"/>
          <w:lang w:val="es-MX"/>
        </w:rPr>
        <w:t>.</w:t>
      </w:r>
    </w:p>
    <w:p w14:paraId="2574162E" w14:textId="77777777" w:rsidR="000334EA" w:rsidRPr="007213A1" w:rsidRDefault="000334EA" w:rsidP="000334EA">
      <w:pPr>
        <w:widowControl w:val="0"/>
        <w:jc w:val="both"/>
        <w:rPr>
          <w:sz w:val="20"/>
          <w:szCs w:val="20"/>
          <w:lang w:val="es-MX"/>
        </w:rPr>
      </w:pPr>
    </w:p>
    <w:p w14:paraId="7183980F" w14:textId="77777777" w:rsidR="000334EA" w:rsidRPr="007213A1" w:rsidRDefault="000334EA" w:rsidP="000334EA">
      <w:pPr>
        <w:widowControl w:val="0"/>
        <w:jc w:val="both"/>
        <w:rPr>
          <w:sz w:val="20"/>
          <w:szCs w:val="20"/>
          <w:lang w:val="es-MX"/>
        </w:rPr>
      </w:pPr>
      <w:r w:rsidRPr="007213A1">
        <w:rPr>
          <w:sz w:val="20"/>
          <w:szCs w:val="20"/>
          <w:lang w:val="es-MX"/>
        </w:rPr>
        <w:t>La oferta pública en Argentina de cada Serie y/o Clase de las Obligaciones Negociables será considerada incluida en la autorización antes mencionada para el Programa, siempre que sean cumplidos los recaudos exigidos por la CNV.</w:t>
      </w:r>
    </w:p>
    <w:p w14:paraId="606D5DE0" w14:textId="77777777" w:rsidR="000334EA" w:rsidRPr="007213A1" w:rsidRDefault="000334EA" w:rsidP="000334EA">
      <w:pPr>
        <w:widowControl w:val="0"/>
        <w:jc w:val="both"/>
        <w:rPr>
          <w:sz w:val="20"/>
          <w:szCs w:val="20"/>
          <w:lang w:val="es-MX"/>
        </w:rPr>
      </w:pPr>
    </w:p>
    <w:p w14:paraId="5EB73FE7" w14:textId="0173E77D" w:rsidR="000334EA" w:rsidRPr="007213A1" w:rsidRDefault="000334EA" w:rsidP="000334EA">
      <w:pPr>
        <w:widowControl w:val="0"/>
        <w:jc w:val="both"/>
        <w:rPr>
          <w:bCs/>
          <w:sz w:val="20"/>
          <w:szCs w:val="20"/>
          <w:lang w:val="es-MX"/>
        </w:rPr>
      </w:pPr>
      <w:r w:rsidRPr="007213A1">
        <w:rPr>
          <w:bCs/>
          <w:sz w:val="20"/>
          <w:szCs w:val="20"/>
          <w:lang w:val="es-MX"/>
        </w:rPr>
        <w:t>Las Obligaciones Negociables a emitirse bajo el Programa podrán listarse y negociarse en Bolsas y Mercados Argentinos S.A. (“</w:t>
      </w:r>
      <w:r w:rsidRPr="007213A1">
        <w:rPr>
          <w:bCs/>
          <w:sz w:val="20"/>
          <w:szCs w:val="20"/>
          <w:u w:val="single"/>
          <w:lang w:val="es-MX"/>
        </w:rPr>
        <w:t>ByMA</w:t>
      </w:r>
      <w:r w:rsidRPr="007213A1">
        <w:rPr>
          <w:bCs/>
          <w:sz w:val="20"/>
          <w:szCs w:val="20"/>
          <w:lang w:val="es-MX"/>
        </w:rPr>
        <w:t>”), en el Mercado Abierto Electrónico S.A. (el “</w:t>
      </w:r>
      <w:r w:rsidRPr="007213A1">
        <w:rPr>
          <w:bCs/>
          <w:sz w:val="20"/>
          <w:szCs w:val="20"/>
          <w:u w:val="single"/>
          <w:lang w:val="es-MX"/>
        </w:rPr>
        <w:t>MAE</w:t>
      </w:r>
      <w:r w:rsidRPr="007213A1">
        <w:rPr>
          <w:bCs/>
          <w:sz w:val="20"/>
          <w:szCs w:val="20"/>
          <w:lang w:val="es-MX"/>
        </w:rPr>
        <w:t>”) y/o en cualquier otro mercado autorizado del país y/o del exterior conforme se determine en el Suplemento de Precio aplicable, siempre que los respectivos organismos otorguen la autorización correspondiente. Las Obligaciones Negociables, si así se especificara en el Suplemento de Precio aplicable, se depositarán en Caja de Valores S.A. (“</w:t>
      </w:r>
      <w:r w:rsidRPr="007213A1">
        <w:rPr>
          <w:bCs/>
          <w:sz w:val="20"/>
          <w:szCs w:val="20"/>
          <w:u w:val="single"/>
          <w:lang w:val="es-MX"/>
        </w:rPr>
        <w:t>Caja de Valores</w:t>
      </w:r>
      <w:r w:rsidRPr="007213A1">
        <w:rPr>
          <w:bCs/>
          <w:sz w:val="20"/>
          <w:szCs w:val="20"/>
          <w:lang w:val="es-MX"/>
        </w:rPr>
        <w:t>”) o en cualquier otro sistema de depósito colectivo. La Emisora podrá ofrecer las Obligaciones Negociables emitidas en virtud del Programa a través de colocadores, o agentes habilitados (</w:t>
      </w:r>
      <w:r w:rsidR="00DF3CA0" w:rsidRPr="007213A1">
        <w:rPr>
          <w:bCs/>
          <w:sz w:val="20"/>
          <w:szCs w:val="20"/>
          <w:lang w:val="es-MX"/>
        </w:rPr>
        <w:t xml:space="preserve">cada uno, </w:t>
      </w:r>
      <w:r w:rsidRPr="007213A1">
        <w:rPr>
          <w:bCs/>
          <w:sz w:val="20"/>
          <w:szCs w:val="20"/>
          <w:lang w:val="es-MX"/>
        </w:rPr>
        <w:t>un “</w:t>
      </w:r>
      <w:r w:rsidRPr="007213A1">
        <w:rPr>
          <w:bCs/>
          <w:sz w:val="20"/>
          <w:szCs w:val="20"/>
          <w:u w:val="single"/>
          <w:lang w:val="es-MX"/>
        </w:rPr>
        <w:t>Colocador</w:t>
      </w:r>
      <w:r w:rsidRPr="007213A1">
        <w:rPr>
          <w:bCs/>
          <w:sz w:val="20"/>
          <w:szCs w:val="20"/>
          <w:lang w:val="es-MX"/>
        </w:rPr>
        <w:t>”) y agentes organizadores de tales emisiones (</w:t>
      </w:r>
      <w:r w:rsidR="00DF3CA0" w:rsidRPr="007213A1">
        <w:rPr>
          <w:bCs/>
          <w:sz w:val="20"/>
          <w:szCs w:val="20"/>
          <w:lang w:val="es-MX"/>
        </w:rPr>
        <w:t>cada uno,</w:t>
      </w:r>
      <w:r w:rsidRPr="007213A1">
        <w:rPr>
          <w:bCs/>
          <w:sz w:val="20"/>
          <w:szCs w:val="20"/>
          <w:lang w:val="es-MX"/>
        </w:rPr>
        <w:t xml:space="preserve"> un “</w:t>
      </w:r>
      <w:r w:rsidRPr="007213A1">
        <w:rPr>
          <w:bCs/>
          <w:sz w:val="20"/>
          <w:szCs w:val="20"/>
          <w:u w:val="single"/>
          <w:lang w:val="es-MX"/>
        </w:rPr>
        <w:t>Organizador</w:t>
      </w:r>
      <w:r w:rsidRPr="007213A1">
        <w:rPr>
          <w:bCs/>
          <w:sz w:val="20"/>
          <w:szCs w:val="20"/>
          <w:lang w:val="es-MX"/>
        </w:rPr>
        <w:t>”) que la Emisora designe oportunamente y conforme se indique en el Suplemento de Precio correspondiente.</w:t>
      </w:r>
    </w:p>
    <w:p w14:paraId="371B5F7A" w14:textId="77777777" w:rsidR="000334EA" w:rsidRPr="007213A1" w:rsidRDefault="000334EA" w:rsidP="000334EA">
      <w:pPr>
        <w:widowControl w:val="0"/>
        <w:jc w:val="both"/>
        <w:rPr>
          <w:bCs/>
          <w:sz w:val="20"/>
          <w:szCs w:val="20"/>
          <w:lang w:val="es-MX"/>
        </w:rPr>
      </w:pPr>
    </w:p>
    <w:p w14:paraId="302AAE01" w14:textId="77777777" w:rsidR="000334EA" w:rsidRPr="007213A1" w:rsidRDefault="000334EA" w:rsidP="000334EA">
      <w:pPr>
        <w:widowControl w:val="0"/>
        <w:jc w:val="both"/>
        <w:rPr>
          <w:bCs/>
          <w:sz w:val="20"/>
          <w:szCs w:val="20"/>
          <w:lang w:val="es-MX"/>
        </w:rPr>
      </w:pPr>
      <w:r w:rsidRPr="007213A1">
        <w:rPr>
          <w:bCs/>
          <w:sz w:val="20"/>
          <w:szCs w:val="20"/>
          <w:lang w:val="es-MX"/>
        </w:rPr>
        <w:t xml:space="preserve">El presente Prospecto no podrá utilizarse para ofrecer las Obligaciones Negociables emitidas en virtud del </w:t>
      </w:r>
      <w:r w:rsidRPr="007213A1">
        <w:rPr>
          <w:bCs/>
          <w:sz w:val="20"/>
          <w:szCs w:val="20"/>
          <w:lang w:val="es-MX"/>
        </w:rPr>
        <w:lastRenderedPageBreak/>
        <w:t>Programa, a menos que estuviera acompañado por el correspondiente Suplemento de Precio. La Emisora se reserva el derecho de retirar, cancelar o modificar cualquier oferta de Obligaciones Negociables prevista en el presente Prospecto o en los Suplementos de Precio aplicable previa comunicación al público inversor a través de:</w:t>
      </w:r>
      <w:r w:rsidRPr="007213A1">
        <w:rPr>
          <w:sz w:val="20"/>
          <w:szCs w:val="20"/>
          <w:lang w:val="es-MX"/>
        </w:rPr>
        <w:t xml:space="preserve"> la </w:t>
      </w:r>
      <w:r w:rsidRPr="007213A1">
        <w:rPr>
          <w:bCs/>
          <w:sz w:val="20"/>
          <w:szCs w:val="20"/>
          <w:lang w:val="es-MX"/>
        </w:rPr>
        <w:t xml:space="preserve">página </w:t>
      </w:r>
      <w:r w:rsidRPr="007213A1">
        <w:rPr>
          <w:bCs/>
          <w:i/>
          <w:iCs/>
          <w:sz w:val="20"/>
          <w:szCs w:val="20"/>
          <w:lang w:val="es-MX"/>
        </w:rPr>
        <w:t>web</w:t>
      </w:r>
      <w:r w:rsidRPr="007213A1">
        <w:rPr>
          <w:bCs/>
          <w:sz w:val="20"/>
          <w:szCs w:val="20"/>
          <w:lang w:val="es-MX"/>
        </w:rPr>
        <w:t xml:space="preserve"> de la CNV </w:t>
      </w:r>
      <w:hyperlink r:id="rId11" w:history="1">
        <w:r w:rsidRPr="007213A1">
          <w:rPr>
            <w:rStyle w:val="Hipervnculo"/>
            <w:sz w:val="20"/>
            <w:szCs w:val="20"/>
            <w:lang w:val="es-MX"/>
          </w:rPr>
          <w:t>www.cnv.gov.ar</w:t>
        </w:r>
      </w:hyperlink>
      <w:r w:rsidRPr="007213A1">
        <w:rPr>
          <w:bCs/>
          <w:sz w:val="20"/>
          <w:szCs w:val="20"/>
          <w:lang w:val="es-MX"/>
        </w:rPr>
        <w:t xml:space="preserve"> (la “</w:t>
      </w:r>
      <w:r w:rsidRPr="007213A1">
        <w:rPr>
          <w:bCs/>
          <w:sz w:val="20"/>
          <w:szCs w:val="20"/>
          <w:u w:val="single"/>
          <w:lang w:val="es-MX"/>
        </w:rPr>
        <w:t>Página Web de la CNV</w:t>
      </w:r>
      <w:r w:rsidRPr="007213A1">
        <w:rPr>
          <w:bCs/>
          <w:sz w:val="20"/>
          <w:szCs w:val="20"/>
          <w:lang w:val="es-MX"/>
        </w:rPr>
        <w:t xml:space="preserve">”), bajo el ítem </w:t>
      </w:r>
      <w:r w:rsidRPr="007213A1">
        <w:rPr>
          <w:bCs/>
          <w:i/>
          <w:sz w:val="20"/>
          <w:szCs w:val="20"/>
          <w:lang w:val="es-MX"/>
        </w:rPr>
        <w:t>“Empresas – Invap S.E.(Investigación Aplicada Sociedad del Estado)”</w:t>
      </w:r>
      <w:r w:rsidRPr="007213A1">
        <w:rPr>
          <w:sz w:val="20"/>
          <w:szCs w:val="20"/>
          <w:lang w:val="es-MX"/>
        </w:rPr>
        <w:t xml:space="preserve">, los sistemas informativos de los mercados donde sean listadas y/o negociadas las Obligaciones Negociables, </w:t>
      </w:r>
      <w:r w:rsidRPr="007213A1">
        <w:rPr>
          <w:bCs/>
          <w:sz w:val="20"/>
          <w:szCs w:val="20"/>
          <w:lang w:val="es-MX"/>
        </w:rPr>
        <w:t xml:space="preserve">la página web de la Emisora: </w:t>
      </w:r>
      <w:r w:rsidRPr="007213A1">
        <w:rPr>
          <w:sz w:val="20"/>
          <w:szCs w:val="20"/>
          <w:lang w:val="es-MX"/>
        </w:rPr>
        <w:t>www.invap.com.ar</w:t>
      </w:r>
      <w:r w:rsidRPr="007213A1">
        <w:rPr>
          <w:bCs/>
          <w:sz w:val="20"/>
          <w:szCs w:val="20"/>
          <w:lang w:val="es-MX"/>
        </w:rPr>
        <w:t xml:space="preserve"> </w:t>
      </w:r>
      <w:r w:rsidRPr="007213A1">
        <w:rPr>
          <w:sz w:val="20"/>
          <w:szCs w:val="20"/>
          <w:lang w:val="es-MX"/>
        </w:rPr>
        <w:t>y/o de aquel otro modo que se indique en el Suplemento de Precio aplicable.</w:t>
      </w:r>
      <w:r w:rsidRPr="007213A1">
        <w:rPr>
          <w:bCs/>
          <w:sz w:val="20"/>
          <w:szCs w:val="20"/>
          <w:lang w:val="es-MX"/>
        </w:rPr>
        <w:t xml:space="preserve"> </w:t>
      </w:r>
    </w:p>
    <w:p w14:paraId="7062184E" w14:textId="77777777" w:rsidR="000334EA" w:rsidRPr="007213A1" w:rsidRDefault="000334EA" w:rsidP="000334EA">
      <w:pPr>
        <w:suppressLineNumbers/>
        <w:suppressAutoHyphens/>
        <w:jc w:val="both"/>
        <w:rPr>
          <w:bCs/>
          <w:iCs/>
          <w:sz w:val="20"/>
          <w:szCs w:val="20"/>
          <w:lang w:val="es-MX"/>
        </w:rPr>
      </w:pPr>
    </w:p>
    <w:p w14:paraId="7E4B4E29" w14:textId="0A587CB7" w:rsidR="000334EA" w:rsidRPr="007213A1" w:rsidRDefault="000334EA" w:rsidP="000334EA">
      <w:pPr>
        <w:widowControl w:val="0"/>
        <w:jc w:val="both"/>
        <w:rPr>
          <w:b/>
          <w:bCs/>
          <w:sz w:val="20"/>
          <w:szCs w:val="20"/>
          <w:lang w:val="es-MX"/>
        </w:rPr>
      </w:pPr>
      <w:r w:rsidRPr="007213A1">
        <w:rPr>
          <w:b/>
          <w:bCs/>
          <w:sz w:val="20"/>
          <w:szCs w:val="20"/>
          <w:lang w:val="es-MX"/>
        </w:rPr>
        <w:t xml:space="preserve">LA EMISORA DECLARA BAJO JURAMENTO QUE SUS BENEFICIARIOS FINALES, Y LAS PERSONAS HUMANAS O JURÍDICAS QUE TIENEN PARTICIPACIÓN </w:t>
      </w:r>
      <w:r w:rsidR="00BE10B6" w:rsidRPr="007213A1">
        <w:rPr>
          <w:b/>
          <w:bCs/>
          <w:sz w:val="20"/>
          <w:szCs w:val="20"/>
          <w:lang w:val="es-MX"/>
        </w:rPr>
        <w:t xml:space="preserve">ACCIONARIA DE AL MENOS 20% </w:t>
      </w:r>
      <w:r w:rsidRPr="007213A1">
        <w:rPr>
          <w:b/>
          <w:bCs/>
          <w:sz w:val="20"/>
          <w:szCs w:val="20"/>
          <w:lang w:val="es-MX"/>
        </w:rPr>
        <w:t xml:space="preserve">EN SU CAPITAL O DE LOS DERECHOS A VOTO, O QUE POR OTROS MEDIOS EJERCEN EL CONTROL FINAL, DIRECTO O INDIRECTO </w:t>
      </w:r>
      <w:r w:rsidR="001C7D00" w:rsidRPr="007213A1">
        <w:rPr>
          <w:b/>
          <w:bCs/>
          <w:sz w:val="20"/>
          <w:szCs w:val="20"/>
          <w:lang w:val="es-MX"/>
        </w:rPr>
        <w:t>SO</w:t>
      </w:r>
      <w:r w:rsidR="001C7D00">
        <w:rPr>
          <w:b/>
          <w:bCs/>
          <w:sz w:val="20"/>
          <w:szCs w:val="20"/>
          <w:lang w:val="es-MX"/>
        </w:rPr>
        <w:t>BR</w:t>
      </w:r>
      <w:r w:rsidR="001C7D00" w:rsidRPr="007213A1">
        <w:rPr>
          <w:b/>
          <w:bCs/>
          <w:sz w:val="20"/>
          <w:szCs w:val="20"/>
          <w:lang w:val="es-MX"/>
        </w:rPr>
        <w:t xml:space="preserve">E </w:t>
      </w:r>
      <w:r w:rsidRPr="007213A1">
        <w:rPr>
          <w:b/>
          <w:bCs/>
          <w:sz w:val="20"/>
          <w:szCs w:val="20"/>
          <w:lang w:val="es-MX"/>
        </w:rPr>
        <w:t xml:space="preserve">EL MISMO, NO REGISTRAN CONDENAS POR DELITOS DE LAVADO DE ACTIVOS Y/O FINANCIAMIENTO DEL TERRORISMO NI FIGURAN EN LAS LISTAS DE TERRORISTAS Y ORGANIZACIONES TERRORISTAS EMITIDAS POR EL CONSEJO DE SEGURIDAD DE LAS NACIONES UNIDAS. </w:t>
      </w:r>
    </w:p>
    <w:p w14:paraId="2A027567" w14:textId="77777777" w:rsidR="000334EA" w:rsidRPr="007213A1" w:rsidRDefault="000334EA" w:rsidP="000334EA">
      <w:pPr>
        <w:pStyle w:val="Textpara"/>
        <w:tabs>
          <w:tab w:val="clear" w:pos="9000"/>
        </w:tabs>
        <w:autoSpaceDE/>
        <w:autoSpaceDN/>
        <w:adjustRightInd/>
        <w:spacing w:after="0"/>
        <w:rPr>
          <w:b/>
          <w:bCs/>
          <w:smallCaps/>
          <w:color w:val="000000"/>
          <w:lang w:val="es-MX"/>
        </w:rPr>
      </w:pPr>
    </w:p>
    <w:p w14:paraId="3B5EC9A8" w14:textId="7248F9D9" w:rsidR="000334EA" w:rsidRPr="007213A1" w:rsidRDefault="000334EA" w:rsidP="000334EA">
      <w:pPr>
        <w:widowControl w:val="0"/>
        <w:jc w:val="both"/>
        <w:rPr>
          <w:b/>
          <w:sz w:val="20"/>
          <w:szCs w:val="20"/>
          <w:lang w:val="es-MX"/>
        </w:rPr>
      </w:pPr>
      <w:r w:rsidRPr="007213A1">
        <w:rPr>
          <w:b/>
          <w:bCs/>
          <w:sz w:val="20"/>
          <w:szCs w:val="20"/>
          <w:lang w:val="es-MX"/>
        </w:rPr>
        <w:t xml:space="preserve">El Prospecto y los estados contables de la Emisora se encuentran a disposición del público inversor en su sede social sita en Avenida Comandante Luis Piedrabuena 4950, San Carlos de Bariloche, provincia de Río Negro, en la Página Web de la CNV, </w:t>
      </w:r>
      <w:r w:rsidRPr="007213A1">
        <w:rPr>
          <w:b/>
          <w:bCs/>
          <w:sz w:val="20"/>
          <w:szCs w:val="20"/>
          <w:lang w:val="es-ES"/>
        </w:rPr>
        <w:t xml:space="preserve">bajo el ítem </w:t>
      </w:r>
      <w:r w:rsidRPr="007213A1">
        <w:rPr>
          <w:b/>
          <w:bCs/>
          <w:i/>
          <w:sz w:val="20"/>
          <w:szCs w:val="20"/>
          <w:lang w:val="es-ES"/>
        </w:rPr>
        <w:t>“Empresas – INVAP S.E. (Investigación Aplicada Sociedad del Estado</w:t>
      </w:r>
      <w:r w:rsidR="00FB3B77">
        <w:rPr>
          <w:b/>
          <w:bCs/>
          <w:i/>
          <w:sz w:val="20"/>
          <w:szCs w:val="20"/>
          <w:lang w:val="es-ES"/>
        </w:rPr>
        <w:t>)</w:t>
      </w:r>
      <w:r w:rsidRPr="007213A1">
        <w:rPr>
          <w:b/>
          <w:bCs/>
          <w:i/>
          <w:sz w:val="20"/>
          <w:szCs w:val="20"/>
          <w:lang w:val="es-ES"/>
        </w:rPr>
        <w:t>”</w:t>
      </w:r>
      <w:r w:rsidRPr="007213A1">
        <w:rPr>
          <w:b/>
          <w:bCs/>
          <w:sz w:val="20"/>
          <w:szCs w:val="20"/>
          <w:lang w:val="es-ES"/>
        </w:rPr>
        <w:t xml:space="preserve"> </w:t>
      </w:r>
      <w:r w:rsidRPr="007213A1">
        <w:rPr>
          <w:b/>
          <w:bCs/>
          <w:sz w:val="20"/>
          <w:szCs w:val="20"/>
          <w:lang w:val="es-MX"/>
        </w:rPr>
        <w:t xml:space="preserve">y en la </w:t>
      </w:r>
      <w:r w:rsidRPr="007213A1">
        <w:rPr>
          <w:b/>
          <w:sz w:val="20"/>
          <w:szCs w:val="20"/>
          <w:lang w:val="es-MX"/>
        </w:rPr>
        <w:t>Página Web de la Emisora.</w:t>
      </w:r>
    </w:p>
    <w:p w14:paraId="3E6B18AF" w14:textId="77777777" w:rsidR="000334EA" w:rsidRPr="007213A1" w:rsidRDefault="000334EA" w:rsidP="000334EA">
      <w:pPr>
        <w:pStyle w:val="Textpara"/>
        <w:tabs>
          <w:tab w:val="clear" w:pos="9000"/>
        </w:tabs>
        <w:autoSpaceDE/>
        <w:autoSpaceDN/>
        <w:adjustRightInd/>
        <w:spacing w:after="0"/>
        <w:rPr>
          <w:b/>
          <w:bCs/>
          <w:smallCaps/>
          <w:color w:val="000000"/>
          <w:lang w:val="es-MX"/>
        </w:rPr>
      </w:pPr>
    </w:p>
    <w:p w14:paraId="2D9EC592" w14:textId="77777777" w:rsidR="000334EA" w:rsidRPr="007213A1" w:rsidRDefault="000334EA" w:rsidP="000334EA">
      <w:pPr>
        <w:widowControl w:val="0"/>
        <w:jc w:val="both"/>
        <w:rPr>
          <w:bCs/>
          <w:sz w:val="20"/>
          <w:szCs w:val="20"/>
          <w:lang w:val="es-MX"/>
        </w:rPr>
      </w:pPr>
      <w:r w:rsidRPr="007213A1">
        <w:rPr>
          <w:bCs/>
          <w:sz w:val="20"/>
          <w:szCs w:val="20"/>
          <w:lang w:val="es-MX"/>
        </w:rPr>
        <w:t>Los Colocadores se proponen realizar las actividades de colocación de las Obligaciones Negociables en la República Argentina en el marco de la Ley de Mercado de Capitales y en particular, de acuerdo con el texto ordenado de las Normas de la CNV, cualquier otra ley y/o reglamentación aplicable, realizando sus mejores esfuerzos para lograr una efectiva colocación por oferta pública de las Obligaciones Negociables llevando a cabo, entre otros: (i) contactos personales con potenciales inversores; (ii) envío de correos electrónicos a potenciales inversores con material de difusión, de ser el caso; (iii) publicaciones y avisos en medios de difusión de reconocido prestigio; (iv) conferencias telefónicas con potenciales inversores; (v) distribución física y/o electrónica de material de difusión, incluyendo el prospecto, suplementos de precio (a aquellos inversores que lo soliciten) e información contenida en dichos documentos; (vi) reuniones informativas colectivas (“</w:t>
      </w:r>
      <w:r w:rsidRPr="007213A1">
        <w:rPr>
          <w:bCs/>
          <w:i/>
          <w:sz w:val="20"/>
          <w:szCs w:val="20"/>
          <w:lang w:val="es-MX"/>
        </w:rPr>
        <w:t xml:space="preserve">road </w:t>
      </w:r>
      <w:r w:rsidRPr="007213A1">
        <w:rPr>
          <w:bCs/>
          <w:i/>
          <w:iCs/>
          <w:sz w:val="20"/>
          <w:szCs w:val="20"/>
          <w:lang w:val="es-MX"/>
        </w:rPr>
        <w:t>shows</w:t>
      </w:r>
      <w:r w:rsidRPr="007213A1">
        <w:rPr>
          <w:bCs/>
          <w:sz w:val="20"/>
          <w:szCs w:val="20"/>
          <w:lang w:val="es-MX"/>
        </w:rPr>
        <w:t>”) y/o individuales (“</w:t>
      </w:r>
      <w:r w:rsidRPr="007213A1">
        <w:rPr>
          <w:bCs/>
          <w:i/>
          <w:iCs/>
          <w:sz w:val="20"/>
          <w:szCs w:val="20"/>
          <w:lang w:val="es-MX"/>
        </w:rPr>
        <w:t>one on one</w:t>
      </w:r>
      <w:r w:rsidRPr="007213A1">
        <w:rPr>
          <w:bCs/>
          <w:sz w:val="20"/>
          <w:szCs w:val="20"/>
          <w:lang w:val="es-MX"/>
        </w:rPr>
        <w:t>”) con potenciales inversores, y/o cualquier otro método que en el futuro establezca la normativa aplicable, todo lo cual se realizará de conformidad con la normativa vigente y conforme con lo que se disponga en el Suplemento de Precio aplicable.</w:t>
      </w:r>
    </w:p>
    <w:p w14:paraId="3F0E3D44" w14:textId="77777777" w:rsidR="000334EA" w:rsidRPr="007213A1" w:rsidRDefault="000334EA" w:rsidP="000334EA">
      <w:pPr>
        <w:widowControl w:val="0"/>
        <w:jc w:val="both"/>
        <w:rPr>
          <w:bCs/>
          <w:sz w:val="20"/>
          <w:szCs w:val="20"/>
          <w:lang w:val="es-MX"/>
        </w:rPr>
      </w:pPr>
    </w:p>
    <w:p w14:paraId="205141A2" w14:textId="68495417" w:rsidR="000334EA" w:rsidRPr="007213A1" w:rsidRDefault="000334EA" w:rsidP="000334EA">
      <w:pPr>
        <w:widowControl w:val="0"/>
        <w:jc w:val="center"/>
        <w:rPr>
          <w:bCs/>
          <w:sz w:val="20"/>
          <w:szCs w:val="20"/>
          <w:lang w:val="es-MX"/>
        </w:rPr>
      </w:pPr>
      <w:r w:rsidRPr="007213A1">
        <w:rPr>
          <w:bCs/>
          <w:sz w:val="20"/>
          <w:szCs w:val="20"/>
          <w:lang w:val="es-MX"/>
        </w:rPr>
        <w:t xml:space="preserve">La fecha del presente Prospecto </w:t>
      </w:r>
      <w:r w:rsidR="007A2F55" w:rsidRPr="007213A1">
        <w:rPr>
          <w:bCs/>
          <w:sz w:val="20"/>
          <w:szCs w:val="20"/>
          <w:lang w:val="es-MX"/>
        </w:rPr>
        <w:t>es</w:t>
      </w:r>
      <w:r w:rsidR="007A2F55">
        <w:rPr>
          <w:bCs/>
          <w:sz w:val="20"/>
          <w:szCs w:val="20"/>
          <w:lang w:val="es-MX"/>
        </w:rPr>
        <w:t xml:space="preserve"> 7 </w:t>
      </w:r>
      <w:r w:rsidR="0072280C">
        <w:rPr>
          <w:bCs/>
          <w:sz w:val="20"/>
          <w:szCs w:val="20"/>
          <w:lang w:val="es-MX"/>
        </w:rPr>
        <w:t xml:space="preserve">de </w:t>
      </w:r>
      <w:r w:rsidR="00783F8F">
        <w:rPr>
          <w:bCs/>
          <w:sz w:val="20"/>
          <w:szCs w:val="20"/>
          <w:lang w:val="es-MX"/>
        </w:rPr>
        <w:t xml:space="preserve">enero </w:t>
      </w:r>
      <w:r w:rsidR="00C5653F">
        <w:rPr>
          <w:bCs/>
          <w:sz w:val="20"/>
          <w:szCs w:val="20"/>
          <w:lang w:val="es-MX"/>
        </w:rPr>
        <w:t xml:space="preserve">de </w:t>
      </w:r>
      <w:r w:rsidR="00783F8F">
        <w:rPr>
          <w:bCs/>
          <w:sz w:val="20"/>
          <w:szCs w:val="20"/>
          <w:lang w:val="es-MX"/>
        </w:rPr>
        <w:t>2020</w:t>
      </w:r>
    </w:p>
    <w:p w14:paraId="684F94DA" w14:textId="77777777" w:rsidR="000334EA" w:rsidRPr="007213A1" w:rsidRDefault="000334EA" w:rsidP="000334EA">
      <w:pPr>
        <w:rPr>
          <w:bCs/>
          <w:sz w:val="20"/>
          <w:szCs w:val="20"/>
          <w:lang w:val="es-MX"/>
        </w:rPr>
      </w:pPr>
      <w:r w:rsidRPr="007213A1">
        <w:rPr>
          <w:bCs/>
          <w:sz w:val="20"/>
          <w:szCs w:val="20"/>
          <w:lang w:val="es-MX"/>
        </w:rPr>
        <w:br w:type="page"/>
      </w:r>
    </w:p>
    <w:p w14:paraId="500E6774" w14:textId="77777777" w:rsidR="000334EA" w:rsidRPr="007213A1" w:rsidRDefault="000334EA" w:rsidP="000334EA">
      <w:pPr>
        <w:widowControl w:val="0"/>
        <w:tabs>
          <w:tab w:val="left" w:pos="380"/>
        </w:tabs>
        <w:jc w:val="center"/>
        <w:rPr>
          <w:b/>
          <w:smallCaps/>
          <w:sz w:val="20"/>
          <w:szCs w:val="20"/>
          <w:lang w:val="es-AR"/>
        </w:rPr>
      </w:pPr>
      <w:r w:rsidRPr="007213A1">
        <w:rPr>
          <w:b/>
          <w:smallCaps/>
          <w:sz w:val="20"/>
          <w:szCs w:val="20"/>
          <w:lang w:val="es-AR"/>
        </w:rPr>
        <w:t>Consideraciones Previas</w:t>
      </w:r>
    </w:p>
    <w:p w14:paraId="53A3BB6F" w14:textId="77777777" w:rsidR="000334EA" w:rsidRPr="007213A1" w:rsidRDefault="000334EA" w:rsidP="000334EA">
      <w:pPr>
        <w:widowControl w:val="0"/>
        <w:suppressLineNumbers/>
        <w:suppressAutoHyphens/>
        <w:ind w:firstLine="360"/>
        <w:jc w:val="center"/>
        <w:rPr>
          <w:rFonts w:eastAsia="Calibri"/>
          <w:b/>
          <w:bCs/>
          <w:sz w:val="20"/>
          <w:szCs w:val="20"/>
          <w:lang w:val="es-MX"/>
        </w:rPr>
      </w:pPr>
    </w:p>
    <w:p w14:paraId="4B5A798D" w14:textId="5C87B1C4" w:rsidR="000334EA" w:rsidRPr="007213A1" w:rsidRDefault="000334EA" w:rsidP="000334EA">
      <w:pPr>
        <w:widowControl w:val="0"/>
        <w:tabs>
          <w:tab w:val="left" w:pos="380"/>
        </w:tabs>
        <w:jc w:val="both"/>
        <w:rPr>
          <w:b/>
          <w:smallCaps/>
          <w:sz w:val="20"/>
          <w:szCs w:val="20"/>
          <w:lang w:val="es-AR"/>
        </w:rPr>
      </w:pPr>
      <w:r w:rsidRPr="007213A1">
        <w:rPr>
          <w:b/>
          <w:smallCaps/>
          <w:sz w:val="20"/>
          <w:szCs w:val="20"/>
          <w:lang w:val="es-AR"/>
        </w:rPr>
        <w:t xml:space="preserve">Conforme lo dispuesto en la Sección II del Capítulo VI de la Ley de Mercado de Capitales, los emisores de valores, junto con los integrantes de los órganos de administración y de fiscalización (éstos últimos en materia de su competencia), y en su caso los oferentes de los valores con relación a la información vinculada a los mismos, y las personas que firmen el prospecto de una emisión de valores negociables, serán responsables de toda la información incluida en los prospectos por ellos registrados ante la CNV. </w:t>
      </w:r>
      <w:r w:rsidR="00590E64" w:rsidRPr="007213A1">
        <w:rPr>
          <w:b/>
          <w:smallCaps/>
          <w:sz w:val="20"/>
          <w:szCs w:val="20"/>
          <w:lang w:val="es-AR"/>
        </w:rPr>
        <w:t xml:space="preserve">Los Organizadores y/o Colocadores que participen en la </w:t>
      </w:r>
      <w:r w:rsidRPr="007213A1">
        <w:rPr>
          <w:b/>
          <w:smallCaps/>
          <w:sz w:val="20"/>
          <w:szCs w:val="20"/>
          <w:lang w:val="es-AR"/>
        </w:rPr>
        <w:t xml:space="preserve">venta o compra de valores negociables deberán revisar diligentemente la información contenida en los </w:t>
      </w:r>
      <w:r w:rsidR="00590E64" w:rsidRPr="007213A1">
        <w:rPr>
          <w:b/>
          <w:smallCaps/>
          <w:sz w:val="20"/>
          <w:szCs w:val="20"/>
          <w:lang w:val="es-AR"/>
        </w:rPr>
        <w:t xml:space="preserve">documentos </w:t>
      </w:r>
      <w:r w:rsidRPr="007213A1">
        <w:rPr>
          <w:b/>
          <w:smallCaps/>
          <w:sz w:val="20"/>
          <w:szCs w:val="20"/>
          <w:lang w:val="es-AR"/>
        </w:rPr>
        <w:t>de la oferta. Los expertos o terceros que opinen sobre ciertas partes del prospecto sólo serán responsables por la parte de dicha información sobre la que han emitido opinión.</w:t>
      </w:r>
    </w:p>
    <w:p w14:paraId="68F5E319" w14:textId="77777777" w:rsidR="000334EA" w:rsidRPr="007213A1" w:rsidRDefault="000334EA" w:rsidP="000334EA">
      <w:pPr>
        <w:widowControl w:val="0"/>
        <w:suppressLineNumbers/>
        <w:tabs>
          <w:tab w:val="left" w:pos="5115"/>
        </w:tabs>
        <w:suppressAutoHyphens/>
        <w:jc w:val="both"/>
        <w:rPr>
          <w:rFonts w:eastAsia="Calibri"/>
          <w:bCs/>
          <w:sz w:val="20"/>
          <w:szCs w:val="20"/>
          <w:lang w:val="es-MX"/>
        </w:rPr>
      </w:pPr>
    </w:p>
    <w:p w14:paraId="3C161DDC" w14:textId="77777777" w:rsidR="000334EA" w:rsidRPr="007213A1" w:rsidRDefault="000334EA" w:rsidP="000334EA">
      <w:pPr>
        <w:widowControl w:val="0"/>
        <w:tabs>
          <w:tab w:val="left" w:pos="380"/>
        </w:tabs>
        <w:jc w:val="both"/>
        <w:rPr>
          <w:b/>
          <w:smallCaps/>
          <w:sz w:val="20"/>
          <w:szCs w:val="20"/>
          <w:lang w:val="es-AR"/>
        </w:rPr>
      </w:pPr>
      <w:r w:rsidRPr="007213A1">
        <w:rPr>
          <w:b/>
          <w:smallCaps/>
          <w:sz w:val="20"/>
          <w:szCs w:val="20"/>
          <w:lang w:val="es-AR"/>
        </w:rPr>
        <w:t>Los Directores y Síndicos de la Sociedad son ilimitada y solidariamente responsables por los perjuicios que la violación de las disposiciones de la Ley de Obligaciones Negociables produzca a los obligacionistas, ello atento a lo dispuesto en el artículo 34 de la Ley de Obligaciones Negociables.</w:t>
      </w:r>
    </w:p>
    <w:p w14:paraId="37844A5A" w14:textId="77777777" w:rsidR="000334EA" w:rsidRPr="007213A1" w:rsidRDefault="000334EA" w:rsidP="000334EA">
      <w:pPr>
        <w:spacing w:line="240" w:lineRule="exact"/>
        <w:jc w:val="both"/>
        <w:rPr>
          <w:rFonts w:eastAsia="Calibri"/>
          <w:sz w:val="20"/>
          <w:szCs w:val="20"/>
          <w:lang w:val="es-MX"/>
        </w:rPr>
      </w:pPr>
    </w:p>
    <w:p w14:paraId="540230EC" w14:textId="473BCBC0" w:rsidR="000334EA" w:rsidRPr="007213A1" w:rsidRDefault="000334EA" w:rsidP="000334EA">
      <w:pPr>
        <w:spacing w:line="240" w:lineRule="exact"/>
        <w:jc w:val="both"/>
        <w:rPr>
          <w:rFonts w:eastAsia="Calibri"/>
          <w:sz w:val="20"/>
          <w:szCs w:val="20"/>
          <w:lang w:val="es-MX"/>
        </w:rPr>
      </w:pPr>
      <w:r w:rsidRPr="007213A1">
        <w:rPr>
          <w:rFonts w:eastAsia="Calibri"/>
          <w:sz w:val="20"/>
          <w:szCs w:val="20"/>
          <w:lang w:val="es-MX"/>
        </w:rPr>
        <w:t xml:space="preserve">Al tomar una decisión de inversión respecto de las Obligaciones Negociables, el público inversor deberá basarse en su propio análisis de la Emisora y de los términos de la presente oferta pública, incluyendo los méritos y riesgos involucrados. Al recibir este Prospecto, usted reconoce que (a) no ha empleado al Colocador u otras personas vinculadas al mismo en relación con su investigación de la veracidad de la información contenida en este Prospecto para tomar su decisión de inversión y que (b) nadie ha sido autorizado a dar información o para hacer declaración alguna referida a la Compañía o a las Obligaciones Negociables distintas de las contenidas en el presente Prospecto y que, si se hicieran, la información o declaración emitida no sería considerada como autorizada por la Compañía, el Organizador o el Colocador. </w:t>
      </w:r>
    </w:p>
    <w:p w14:paraId="731BBD00" w14:textId="77777777" w:rsidR="000334EA" w:rsidRPr="007213A1" w:rsidRDefault="000334EA" w:rsidP="000334EA">
      <w:pPr>
        <w:spacing w:line="240" w:lineRule="exact"/>
        <w:jc w:val="both"/>
        <w:rPr>
          <w:rFonts w:eastAsia="Calibri"/>
          <w:bCs/>
          <w:sz w:val="20"/>
          <w:szCs w:val="20"/>
          <w:lang w:val="es-MX"/>
        </w:rPr>
      </w:pPr>
      <w:r w:rsidRPr="007213A1">
        <w:rPr>
          <w:rFonts w:eastAsia="Calibri"/>
          <w:bCs/>
          <w:sz w:val="20"/>
          <w:szCs w:val="20"/>
          <w:lang w:val="es-MX"/>
        </w:rPr>
        <w:t>La Emisora no emitirá Obligaciones Negociables al portador, en tanto sean de aplicación las disposiciones de la Ley Nº 24.587 (la “</w:t>
      </w:r>
      <w:r w:rsidRPr="007213A1">
        <w:rPr>
          <w:rFonts w:eastAsia="Calibri"/>
          <w:bCs/>
          <w:sz w:val="20"/>
          <w:szCs w:val="20"/>
          <w:u w:val="single"/>
          <w:lang w:val="es-MX"/>
        </w:rPr>
        <w:t>Ley de Nominatividad</w:t>
      </w:r>
      <w:r w:rsidRPr="007213A1">
        <w:rPr>
          <w:rFonts w:eastAsia="Calibri"/>
          <w:bCs/>
          <w:sz w:val="20"/>
          <w:szCs w:val="20"/>
          <w:lang w:val="es-MX"/>
        </w:rPr>
        <w:t>”), que prohíbe emitir títulos bajo dicha forma a las empresas privadas argentinas.</w:t>
      </w:r>
    </w:p>
    <w:p w14:paraId="0A2E9F17" w14:textId="77777777" w:rsidR="000334EA" w:rsidRPr="007213A1" w:rsidRDefault="000334EA" w:rsidP="000334EA">
      <w:pPr>
        <w:jc w:val="both"/>
        <w:rPr>
          <w:rFonts w:eastAsia="Calibri"/>
          <w:bCs/>
          <w:sz w:val="20"/>
          <w:szCs w:val="20"/>
          <w:lang w:val="es-MX"/>
        </w:rPr>
      </w:pPr>
    </w:p>
    <w:p w14:paraId="3999F306" w14:textId="77777777" w:rsidR="000334EA" w:rsidRPr="007213A1" w:rsidRDefault="000334EA" w:rsidP="000334EA">
      <w:pPr>
        <w:jc w:val="both"/>
        <w:rPr>
          <w:rFonts w:eastAsia="Calibri"/>
          <w:sz w:val="20"/>
          <w:szCs w:val="20"/>
          <w:lang w:val="es-MX"/>
        </w:rPr>
      </w:pPr>
      <w:r w:rsidRPr="007213A1">
        <w:rPr>
          <w:rFonts w:eastAsia="Calibri"/>
          <w:sz w:val="20"/>
          <w:szCs w:val="20"/>
          <w:lang w:val="es-MX"/>
        </w:rPr>
        <w:t xml:space="preserve">En relación con la emisión de las Obligaciones Negociables, los Organizadores y Colocadores que participen en su colocación y distribución por cuenta propia o por cuenta de la Sociedad o titular de las Obligaciones Negociables, podrán realizar operaciones destinadas a estabilizar el precio de mercado de las Obligaciones Negociables conforme con el artículo 12 de la Sección IV, Capítulo IV, Título VI de las Normas de la CNV, una vez que las Obligaciones Negociables ingresen en la negociación secundaria y únicamente a través de los sistemas informáticos de negociación bajo segmentos que aseguren la prioridad precio tiempo y por interferencia de ofertas, garantizados por el mercado. Las operaciones de estabilización deben cumplir con las siguientes condiciones: </w:t>
      </w:r>
    </w:p>
    <w:p w14:paraId="620CF376" w14:textId="77777777" w:rsidR="000334EA" w:rsidRPr="007213A1" w:rsidRDefault="000334EA" w:rsidP="000334EA">
      <w:pPr>
        <w:jc w:val="both"/>
        <w:rPr>
          <w:rFonts w:eastAsia="Calibri"/>
          <w:sz w:val="20"/>
          <w:szCs w:val="20"/>
          <w:lang w:val="es-MX"/>
        </w:rPr>
      </w:pPr>
    </w:p>
    <w:p w14:paraId="25E4DE3F" w14:textId="77777777" w:rsidR="000334EA" w:rsidRPr="007213A1" w:rsidRDefault="000334EA" w:rsidP="000334EA">
      <w:pPr>
        <w:numPr>
          <w:ilvl w:val="0"/>
          <w:numId w:val="30"/>
        </w:numPr>
        <w:contextualSpacing/>
        <w:jc w:val="both"/>
        <w:rPr>
          <w:sz w:val="20"/>
          <w:szCs w:val="20"/>
          <w:lang w:val="es-AR" w:eastAsia="es-ES"/>
        </w:rPr>
      </w:pPr>
      <w:r w:rsidRPr="007213A1">
        <w:rPr>
          <w:sz w:val="20"/>
          <w:szCs w:val="20"/>
          <w:lang w:val="es-AR" w:eastAsia="es-ES"/>
        </w:rPr>
        <w:t>No pueden exceder el plazo de los primeros 30 días corridos posteriores al primer día en el cual se inició la negociación secundaria de las Obligaciones Negociables en el Mercado;</w:t>
      </w:r>
    </w:p>
    <w:p w14:paraId="582ECB56" w14:textId="77777777" w:rsidR="000334EA" w:rsidRPr="007213A1" w:rsidRDefault="000334EA" w:rsidP="000334EA">
      <w:pPr>
        <w:numPr>
          <w:ilvl w:val="0"/>
          <w:numId w:val="30"/>
        </w:numPr>
        <w:contextualSpacing/>
        <w:jc w:val="both"/>
        <w:rPr>
          <w:sz w:val="20"/>
          <w:szCs w:val="20"/>
          <w:lang w:val="es-AR" w:eastAsia="es-ES"/>
        </w:rPr>
      </w:pPr>
      <w:r w:rsidRPr="007213A1">
        <w:rPr>
          <w:sz w:val="20"/>
          <w:szCs w:val="20"/>
          <w:lang w:val="es-AR" w:eastAsia="es-ES"/>
        </w:rPr>
        <w:t>El Suplemento de Precio correspondiente debe incluir una advertencia en la que se describa la posibilidad de realizar operaciones de estabilización, su duración y sus condiciones;</w:t>
      </w:r>
    </w:p>
    <w:p w14:paraId="163B81C7" w14:textId="77777777" w:rsidR="000334EA" w:rsidRPr="007213A1" w:rsidRDefault="000334EA" w:rsidP="000334EA">
      <w:pPr>
        <w:numPr>
          <w:ilvl w:val="0"/>
          <w:numId w:val="30"/>
        </w:numPr>
        <w:contextualSpacing/>
        <w:jc w:val="both"/>
        <w:rPr>
          <w:sz w:val="20"/>
          <w:szCs w:val="20"/>
          <w:lang w:val="es-AR" w:eastAsia="es-ES"/>
        </w:rPr>
      </w:pPr>
      <w:r w:rsidRPr="007213A1">
        <w:rPr>
          <w:sz w:val="20"/>
          <w:szCs w:val="20"/>
          <w:lang w:val="es-AR" w:eastAsia="es-ES"/>
        </w:rPr>
        <w:t xml:space="preserve">Las operaciones podrán ser realizadas por agentes que hayan participado en la organización y coordinación de la colocación y distribución de la emisión en cuestión; </w:t>
      </w:r>
    </w:p>
    <w:p w14:paraId="03EE797A" w14:textId="77777777" w:rsidR="000334EA" w:rsidRPr="007213A1" w:rsidRDefault="000334EA" w:rsidP="000334EA">
      <w:pPr>
        <w:numPr>
          <w:ilvl w:val="0"/>
          <w:numId w:val="30"/>
        </w:numPr>
        <w:contextualSpacing/>
        <w:jc w:val="both"/>
        <w:rPr>
          <w:sz w:val="20"/>
          <w:szCs w:val="20"/>
          <w:lang w:val="es-AR" w:eastAsia="es-ES"/>
        </w:rPr>
      </w:pPr>
      <w:r w:rsidRPr="007213A1">
        <w:rPr>
          <w:sz w:val="20"/>
          <w:szCs w:val="20"/>
          <w:lang w:val="es-AR" w:eastAsia="es-ES"/>
        </w:rPr>
        <w:t>Las operaciones de estabilización deben ser realizadas con el fin de evitar o moderar alteraciones bruscas en el precio al cual se negocien las Obligaciones Negociables;</w:t>
      </w:r>
    </w:p>
    <w:p w14:paraId="6EB6EA0D" w14:textId="77777777" w:rsidR="000334EA" w:rsidRPr="007213A1" w:rsidRDefault="000334EA" w:rsidP="000334EA">
      <w:pPr>
        <w:numPr>
          <w:ilvl w:val="0"/>
          <w:numId w:val="30"/>
        </w:numPr>
        <w:contextualSpacing/>
        <w:jc w:val="both"/>
        <w:rPr>
          <w:sz w:val="20"/>
          <w:szCs w:val="20"/>
          <w:lang w:val="es-AR" w:eastAsia="es-ES"/>
        </w:rPr>
      </w:pPr>
      <w:r w:rsidRPr="007213A1">
        <w:rPr>
          <w:sz w:val="20"/>
          <w:szCs w:val="20"/>
          <w:lang w:val="es-AR" w:eastAsia="es-ES"/>
        </w:rPr>
        <w:t>Ninguna de las operaciones de estabilización llevadas a cabo dentro del plazo autorizado se realizará a precios más altos que los negociados en los mercados autorizados en operaciones celebradas entre partes no relacionadas con la organización, colocación y distribución;</w:t>
      </w:r>
    </w:p>
    <w:p w14:paraId="7A3DDF6B" w14:textId="77777777" w:rsidR="000334EA" w:rsidRPr="007213A1" w:rsidRDefault="000334EA" w:rsidP="000334EA">
      <w:pPr>
        <w:numPr>
          <w:ilvl w:val="0"/>
          <w:numId w:val="30"/>
        </w:numPr>
        <w:contextualSpacing/>
        <w:jc w:val="both"/>
        <w:rPr>
          <w:sz w:val="20"/>
          <w:szCs w:val="20"/>
          <w:lang w:val="es-ES" w:eastAsia="es-ES"/>
        </w:rPr>
      </w:pPr>
      <w:r w:rsidRPr="007213A1">
        <w:rPr>
          <w:sz w:val="20"/>
          <w:szCs w:val="20"/>
          <w:lang w:val="es-AR" w:eastAsia="es-ES"/>
        </w:rPr>
        <w:t xml:space="preserve">Los agentes que realicen operaciones en los términos antes indicados, deberán informar a los mercados la individualización de las mismas. </w:t>
      </w:r>
    </w:p>
    <w:p w14:paraId="32B0FEE3" w14:textId="4BE95F47" w:rsidR="00FB3B77" w:rsidRDefault="000334EA" w:rsidP="000334EA">
      <w:pPr>
        <w:numPr>
          <w:ilvl w:val="0"/>
          <w:numId w:val="30"/>
        </w:numPr>
        <w:contextualSpacing/>
        <w:jc w:val="both"/>
        <w:rPr>
          <w:sz w:val="20"/>
          <w:szCs w:val="20"/>
          <w:lang w:val="es-AR" w:eastAsia="es-ES"/>
        </w:rPr>
      </w:pPr>
      <w:r w:rsidRPr="007213A1">
        <w:rPr>
          <w:sz w:val="20"/>
          <w:szCs w:val="20"/>
          <w:lang w:val="es-AR" w:eastAsia="es-ES"/>
        </w:rPr>
        <w:t xml:space="preserve">Los mercados deberán hacer públicas las operaciones de estabilización, ya fuere en cada operación individual o al cierre diario de las operaciones. </w:t>
      </w:r>
      <w:r w:rsidR="00FB3B77">
        <w:rPr>
          <w:sz w:val="20"/>
          <w:szCs w:val="20"/>
          <w:lang w:val="es-AR" w:eastAsia="es-ES"/>
        </w:rPr>
        <w:br w:type="page"/>
      </w:r>
    </w:p>
    <w:p w14:paraId="698821E7" w14:textId="62886035" w:rsidR="000334EA" w:rsidRPr="007213A1" w:rsidRDefault="000334EA" w:rsidP="000334EA">
      <w:pPr>
        <w:widowControl w:val="0"/>
        <w:jc w:val="center"/>
        <w:rPr>
          <w:b/>
          <w:smallCaps/>
          <w:sz w:val="20"/>
          <w:szCs w:val="20"/>
          <w:lang w:val="es-AR"/>
        </w:rPr>
      </w:pPr>
      <w:r w:rsidRPr="007213A1">
        <w:rPr>
          <w:b/>
          <w:smallCaps/>
          <w:sz w:val="20"/>
          <w:szCs w:val="20"/>
          <w:lang w:val="es-AR"/>
        </w:rPr>
        <w:t>Información sobre Prevención del Lavado de Activos y Financiación del Terrorismo</w:t>
      </w:r>
    </w:p>
    <w:p w14:paraId="1EEF4C9D" w14:textId="77777777" w:rsidR="00EE173A" w:rsidRPr="00A61C89" w:rsidRDefault="00EE173A" w:rsidP="00EE173A">
      <w:pPr>
        <w:pStyle w:val="Textoindependiente"/>
        <w:rPr>
          <w:b w:val="0"/>
          <w:bCs w:val="0"/>
          <w:color w:val="000000" w:themeColor="text1"/>
          <w:lang w:val="es-AR"/>
        </w:rPr>
      </w:pPr>
      <w:r w:rsidRPr="00A61C89">
        <w:rPr>
          <w:b w:val="0"/>
          <w:bCs w:val="0"/>
          <w:color w:val="000000" w:themeColor="text1"/>
          <w:lang w:val="es-AR"/>
        </w:rPr>
        <w:t xml:space="preserve">El sistema argentino de prevención del lavado de activos y contra el financiamiento del terrorismo </w:t>
      </w:r>
      <w:r w:rsidRPr="00A61C89">
        <w:rPr>
          <w:b w:val="0"/>
          <w:bCs w:val="0"/>
          <w:iCs/>
          <w:color w:val="000000" w:themeColor="text1"/>
          <w:lang w:val="es-AR"/>
        </w:rPr>
        <w:t>(“</w:t>
      </w:r>
      <w:r w:rsidRPr="00A61C89">
        <w:rPr>
          <w:b w:val="0"/>
          <w:bCs w:val="0"/>
          <w:color w:val="000000" w:themeColor="text1"/>
          <w:u w:val="single"/>
          <w:lang w:val="es-AR"/>
        </w:rPr>
        <w:t>PLAFT</w:t>
      </w:r>
      <w:r w:rsidRPr="00A61C89">
        <w:rPr>
          <w:b w:val="0"/>
          <w:bCs w:val="0"/>
          <w:color w:val="000000" w:themeColor="text1"/>
          <w:lang w:val="es-AR"/>
        </w:rPr>
        <w:t xml:space="preserve">”) se encuentra vinculado con el proceso de adopción de los estándares normativos internacionales y las Recomendaciones del Grupo de Acción Financiera </w:t>
      </w:r>
      <w:r w:rsidRPr="00A61C89">
        <w:rPr>
          <w:b w:val="0"/>
          <w:bCs w:val="0"/>
          <w:iCs/>
          <w:color w:val="000000" w:themeColor="text1"/>
          <w:lang w:val="es-AR"/>
        </w:rPr>
        <w:t>Internacional (“</w:t>
      </w:r>
      <w:r w:rsidRPr="00A61C89">
        <w:rPr>
          <w:b w:val="0"/>
          <w:bCs w:val="0"/>
          <w:color w:val="000000" w:themeColor="text1"/>
          <w:u w:val="single"/>
          <w:lang w:val="es-AR"/>
        </w:rPr>
        <w:t>GAFI</w:t>
      </w:r>
      <w:r w:rsidRPr="00A61C89">
        <w:rPr>
          <w:b w:val="0"/>
          <w:bCs w:val="0"/>
          <w:color w:val="000000" w:themeColor="text1"/>
          <w:lang w:val="es-AR"/>
        </w:rPr>
        <w:t>”). En este sentido, en el año 2000, el Congreso argentino aprobó la Ley No. 25.246 – modificada y complementada</w:t>
      </w:r>
      <w:r w:rsidRPr="00A61C89">
        <w:rPr>
          <w:b w:val="0"/>
          <w:bCs w:val="0"/>
          <w:iCs/>
          <w:color w:val="000000" w:themeColor="text1"/>
          <w:lang w:val="es-AR"/>
        </w:rPr>
        <w:t>, entre otras,</w:t>
      </w:r>
      <w:r w:rsidRPr="00A61C89">
        <w:rPr>
          <w:b w:val="0"/>
          <w:bCs w:val="0"/>
          <w:color w:val="000000" w:themeColor="text1"/>
          <w:lang w:val="es-AR"/>
        </w:rPr>
        <w:t xml:space="preserve"> por las Leyes No. 26.087, 26.119, 26.268, 26.683, 26.831, 26.860, 27.260</w:t>
      </w:r>
      <w:r w:rsidRPr="00A61C89">
        <w:rPr>
          <w:b w:val="0"/>
          <w:bCs w:val="0"/>
          <w:iCs/>
          <w:color w:val="000000" w:themeColor="text1"/>
          <w:lang w:val="es-AR"/>
        </w:rPr>
        <w:t>,</w:t>
      </w:r>
      <w:r w:rsidRPr="00A61C89">
        <w:rPr>
          <w:b w:val="0"/>
          <w:bCs w:val="0"/>
          <w:color w:val="000000" w:themeColor="text1"/>
          <w:lang w:val="es-AR"/>
        </w:rPr>
        <w:t xml:space="preserve"> 27.304</w:t>
      </w:r>
      <w:r w:rsidRPr="00A61C89">
        <w:rPr>
          <w:b w:val="0"/>
          <w:bCs w:val="0"/>
          <w:iCs/>
          <w:color w:val="000000" w:themeColor="text1"/>
          <w:lang w:val="es-AR"/>
        </w:rPr>
        <w:t>,</w:t>
      </w:r>
      <w:r w:rsidRPr="00A61C89">
        <w:rPr>
          <w:b w:val="0"/>
          <w:bCs w:val="0"/>
          <w:color w:val="000000" w:themeColor="text1"/>
          <w:lang w:val="es-AR"/>
        </w:rPr>
        <w:t xml:space="preserve"> 27.440, 27.</w:t>
      </w:r>
      <w:r w:rsidRPr="00A61C89">
        <w:rPr>
          <w:b w:val="0"/>
          <w:bCs w:val="0"/>
          <w:iCs/>
          <w:color w:val="000000" w:themeColor="text1"/>
          <w:lang w:val="es-AR"/>
        </w:rPr>
        <w:t>446,</w:t>
      </w:r>
      <w:r w:rsidRPr="00A61C89">
        <w:rPr>
          <w:b w:val="0"/>
          <w:bCs w:val="0"/>
          <w:color w:val="000000" w:themeColor="text1"/>
          <w:lang w:val="es-AR"/>
        </w:rPr>
        <w:t xml:space="preserve"> 27.508y </w:t>
      </w:r>
      <w:r w:rsidRPr="00A61C89">
        <w:rPr>
          <w:b w:val="0"/>
          <w:bCs w:val="0"/>
          <w:iCs/>
          <w:color w:val="000000" w:themeColor="text1"/>
          <w:lang w:val="es-AR"/>
        </w:rPr>
        <w:t xml:space="preserve">Decreto DNU </w:t>
      </w:r>
      <w:r w:rsidRPr="00A61C89">
        <w:rPr>
          <w:b w:val="0"/>
          <w:bCs w:val="0"/>
          <w:color w:val="000000" w:themeColor="text1"/>
          <w:lang w:val="es-AR"/>
        </w:rPr>
        <w:t>27</w:t>
      </w:r>
      <w:r w:rsidRPr="00A61C89">
        <w:rPr>
          <w:b w:val="0"/>
          <w:bCs w:val="0"/>
          <w:iCs/>
          <w:color w:val="000000" w:themeColor="text1"/>
          <w:lang w:val="es-AR"/>
        </w:rPr>
        <w:t>/2018</w:t>
      </w:r>
      <w:r w:rsidRPr="00A61C89">
        <w:rPr>
          <w:b w:val="0"/>
          <w:bCs w:val="0"/>
          <w:color w:val="000000" w:themeColor="text1"/>
          <w:lang w:val="es-AR"/>
        </w:rPr>
        <w:t xml:space="preserve"> – (la “</w:t>
      </w:r>
      <w:r w:rsidRPr="00A61C89">
        <w:rPr>
          <w:b w:val="0"/>
          <w:bCs w:val="0"/>
          <w:color w:val="000000" w:themeColor="text1"/>
          <w:u w:val="single"/>
          <w:lang w:val="es-AR"/>
        </w:rPr>
        <w:t>Ley Antilavado</w:t>
      </w:r>
      <w:r w:rsidRPr="00A61C89">
        <w:rPr>
          <w:b w:val="0"/>
          <w:bCs w:val="0"/>
          <w:color w:val="000000" w:themeColor="text1"/>
          <w:lang w:val="es-AR"/>
        </w:rPr>
        <w:t>”). La Ley Antilavado se encuentra actualmente reglamentada por el Decreto No. 290/2007 (modificado</w:t>
      </w:r>
      <w:r w:rsidRPr="00A61C89">
        <w:rPr>
          <w:b w:val="0"/>
          <w:bCs w:val="0"/>
          <w:iCs/>
          <w:color w:val="000000" w:themeColor="text1"/>
          <w:lang w:val="es-AR"/>
        </w:rPr>
        <w:t>, entre otros,</w:t>
      </w:r>
      <w:r w:rsidRPr="00A61C89">
        <w:rPr>
          <w:b w:val="0"/>
          <w:bCs w:val="0"/>
          <w:color w:val="000000" w:themeColor="text1"/>
          <w:lang w:val="es-AR"/>
        </w:rPr>
        <w:t xml:space="preserve"> por el Decreto No. 1936/2010, modificado a su vez por los Decretos N° 146/2016 y 360/2016</w:t>
      </w:r>
      <w:r w:rsidRPr="00A61C89">
        <w:rPr>
          <w:b w:val="0"/>
          <w:bCs w:val="0"/>
          <w:iCs/>
          <w:color w:val="000000" w:themeColor="text1"/>
          <w:lang w:val="es-AR"/>
        </w:rPr>
        <w:t>, entre otros</w:t>
      </w:r>
      <w:r w:rsidRPr="00A61C89">
        <w:rPr>
          <w:b w:val="0"/>
          <w:bCs w:val="0"/>
          <w:color w:val="000000" w:themeColor="text1"/>
          <w:lang w:val="es-AR"/>
        </w:rPr>
        <w:t xml:space="preserve">). La República Argentina también ha aprobado y ratificado, entre otras, a la Convención de las Naciones Unidas contra el tráfico ilícito de estupefacientes y sustancias sicotrópicas o Convención de Viena de 1988 (Ley No. 24.072), la Convención de las Naciones Unidas contra la delincuencia organizada transnacional o Convención de Palermo de 2001 (Ley No. 25.632), la Convención de las Naciones Unidas contra la corrupción o Convención de Mérida de 2003 (Ley No. 26.097), la Convención Interamericana contra la corrupción (Ley No. 24.759), la Convención Interamericana contra el Terrorismo (Ley No. 26.023) y la Convención Internacional de las Naciones Unidas para la Supresión de la Financiación del Terrorismo (Ley No. 26.024); aprobación de las Resoluciones No. 1267 (1999) y 1373 (2001) del Consejo de Seguridad de las Naciones Unidas </w:t>
      </w:r>
      <w:r w:rsidRPr="00A61C89">
        <w:rPr>
          <w:b w:val="0"/>
          <w:bCs w:val="0"/>
          <w:iCs/>
          <w:color w:val="000000" w:themeColor="text1"/>
          <w:lang w:val="es-AR"/>
        </w:rPr>
        <w:t>(“</w:t>
      </w:r>
      <w:r w:rsidRPr="00A61C89">
        <w:rPr>
          <w:b w:val="0"/>
          <w:bCs w:val="0"/>
          <w:color w:val="000000" w:themeColor="text1"/>
          <w:u w:val="single"/>
          <w:lang w:val="es-AR"/>
        </w:rPr>
        <w:t>CSNU</w:t>
      </w:r>
      <w:r w:rsidRPr="00A61C89">
        <w:rPr>
          <w:b w:val="0"/>
          <w:bCs w:val="0"/>
          <w:color w:val="000000" w:themeColor="text1"/>
          <w:lang w:val="es-AR"/>
        </w:rPr>
        <w:t>”) por los Decretos No. 253/2000 y 1235/2001 respectivamente, como así también la publicidad de las Resoluciones del CSNU dispuesta por el Decreto No. 1521/2004 y modificatorios</w:t>
      </w:r>
      <w:r w:rsidRPr="00A61C89">
        <w:rPr>
          <w:b w:val="0"/>
          <w:bCs w:val="0"/>
          <w:iCs/>
          <w:color w:val="000000" w:themeColor="text1"/>
          <w:lang w:val="es-AR"/>
        </w:rPr>
        <w:t>.</w:t>
      </w:r>
    </w:p>
    <w:p w14:paraId="054AFE92" w14:textId="57685A96" w:rsidR="00EE173A" w:rsidRPr="00A61C89" w:rsidRDefault="00EE173A" w:rsidP="00EE173A">
      <w:pPr>
        <w:pStyle w:val="Textoindependiente"/>
        <w:rPr>
          <w:b w:val="0"/>
          <w:bCs w:val="0"/>
          <w:color w:val="000000" w:themeColor="text1"/>
          <w:lang w:val="es-AR"/>
        </w:rPr>
      </w:pPr>
      <w:r w:rsidRPr="00A61C89">
        <w:rPr>
          <w:b w:val="0"/>
          <w:bCs w:val="0"/>
          <w:color w:val="000000" w:themeColor="text1"/>
          <w:lang w:val="es-AR"/>
        </w:rPr>
        <w:t xml:space="preserve">La Ley Antilavado crea la Unidad de Información Financiera </w:t>
      </w:r>
      <w:r w:rsidRPr="00A61C89">
        <w:rPr>
          <w:b w:val="0"/>
          <w:bCs w:val="0"/>
          <w:iCs/>
          <w:color w:val="000000" w:themeColor="text1"/>
          <w:lang w:val="es-AR"/>
        </w:rPr>
        <w:t>(“</w:t>
      </w:r>
      <w:r w:rsidRPr="00A61C89">
        <w:rPr>
          <w:b w:val="0"/>
          <w:bCs w:val="0"/>
          <w:color w:val="000000" w:themeColor="text1"/>
          <w:u w:val="single"/>
          <w:lang w:val="es-AR"/>
        </w:rPr>
        <w:t>UIF</w:t>
      </w:r>
      <w:r w:rsidRPr="00A61C89">
        <w:rPr>
          <w:b w:val="0"/>
          <w:bCs w:val="0"/>
          <w:color w:val="000000" w:themeColor="text1"/>
          <w:lang w:val="es-AR"/>
        </w:rPr>
        <w:t xml:space="preserve">”), organismo que funciona con autonomía y autarquía financiera dentro de la órbita del Ministerio de Hacienda de la Nación, luego de la modificación operada por Ley N° 27.260 y </w:t>
      </w:r>
      <w:r w:rsidRPr="00A61C89">
        <w:rPr>
          <w:b w:val="0"/>
          <w:bCs w:val="0"/>
          <w:iCs/>
          <w:color w:val="000000" w:themeColor="text1"/>
          <w:lang w:val="es-AR"/>
        </w:rPr>
        <w:t>de los Decretos</w:t>
      </w:r>
      <w:r w:rsidRPr="00A61C89">
        <w:rPr>
          <w:b w:val="0"/>
          <w:bCs w:val="0"/>
          <w:color w:val="000000" w:themeColor="text1"/>
          <w:lang w:val="es-AR"/>
        </w:rPr>
        <w:t xml:space="preserve"> N° 32/2017 y </w:t>
      </w:r>
      <w:r w:rsidRPr="00A61C89">
        <w:rPr>
          <w:b w:val="0"/>
          <w:bCs w:val="0"/>
          <w:iCs/>
          <w:color w:val="000000" w:themeColor="text1"/>
          <w:lang w:val="es-AR"/>
        </w:rPr>
        <w:t>575</w:t>
      </w:r>
      <w:r w:rsidRPr="00A61C89">
        <w:rPr>
          <w:b w:val="0"/>
          <w:bCs w:val="0"/>
          <w:color w:val="000000" w:themeColor="text1"/>
          <w:lang w:val="es-AR"/>
        </w:rPr>
        <w:t>/2018 que tiene a su cargo el análisis, tratamiento y transmisión de información con el fin de prevenir e impedir el lavado de activos y la financiación del terrorismo.</w:t>
      </w:r>
    </w:p>
    <w:p w14:paraId="237C5803" w14:textId="0D2F2B38" w:rsidR="00EE173A" w:rsidRPr="00A61C89" w:rsidRDefault="00EE173A" w:rsidP="00EE173A">
      <w:pPr>
        <w:pStyle w:val="Textoindependiente"/>
        <w:rPr>
          <w:b w:val="0"/>
          <w:bCs w:val="0"/>
          <w:color w:val="000000" w:themeColor="text1"/>
          <w:lang w:val="es-AR"/>
        </w:rPr>
      </w:pPr>
      <w:r w:rsidRPr="00A61C89">
        <w:rPr>
          <w:b w:val="0"/>
          <w:bCs w:val="0"/>
          <w:color w:val="000000" w:themeColor="text1"/>
          <w:lang w:val="es-AR"/>
        </w:rPr>
        <w:t>Uno de los ejes centrales del régimen de prevención, represión y lucha contra dichos delitos que establece la Ley Antilavado consiste en la obligación de informar a la UIF, impuesta a determinados sujetos que –por su profesión, actividad o industria– el legislador ha considerado ocupan una posición clave para la detección de operaciones sospechosas de lavado de activos y/o financiación del terrorismo. Dichos sujetos (los “</w:t>
      </w:r>
      <w:r w:rsidRPr="00A61C89">
        <w:rPr>
          <w:b w:val="0"/>
          <w:bCs w:val="0"/>
          <w:color w:val="000000" w:themeColor="text1"/>
          <w:u w:val="single"/>
          <w:lang w:val="es-AR"/>
        </w:rPr>
        <w:t>Sujetos Obligados</w:t>
      </w:r>
      <w:r w:rsidRPr="00A61C89">
        <w:rPr>
          <w:b w:val="0"/>
          <w:bCs w:val="0"/>
          <w:color w:val="000000" w:themeColor="text1"/>
          <w:lang w:val="es-AR"/>
        </w:rPr>
        <w:t xml:space="preserve">”) son los enumerados taxativamente en el art. 20 de la Ley Antilavado. Esta nómina comprende, en base a las modificaciones introducidas por la Ley de Financiamiento Productivo, a </w:t>
      </w:r>
      <w:r w:rsidRPr="00A61C89">
        <w:rPr>
          <w:b w:val="0"/>
          <w:bCs w:val="0"/>
          <w:iCs/>
          <w:color w:val="000000" w:themeColor="text1"/>
          <w:lang w:val="es-AR"/>
        </w:rPr>
        <w:t>las “</w:t>
      </w:r>
      <w:r w:rsidRPr="00A61C89">
        <w:rPr>
          <w:b w:val="0"/>
          <w:bCs w:val="0"/>
          <w:i/>
          <w:iCs/>
          <w:color w:val="000000" w:themeColor="text1"/>
          <w:lang w:val="es-AR"/>
        </w:rPr>
        <w:t xml:space="preserve">entidades financieras sujetas al régimen de la Ley N.º 21.526 y modificatorias”, </w:t>
      </w:r>
      <w:r w:rsidRPr="00A61C89">
        <w:rPr>
          <w:b w:val="0"/>
          <w:bCs w:val="0"/>
          <w:iCs/>
          <w:color w:val="000000" w:themeColor="text1"/>
          <w:lang w:val="es-AR"/>
        </w:rPr>
        <w:t>a</w:t>
      </w:r>
      <w:r w:rsidRPr="00A61C89">
        <w:rPr>
          <w:b w:val="0"/>
          <w:bCs w:val="0"/>
          <w:i/>
          <w:iCs/>
          <w:color w:val="000000" w:themeColor="text1"/>
          <w:lang w:val="es-AR"/>
        </w:rPr>
        <w:t xml:space="preserve"> “personas</w:t>
      </w:r>
      <w:r w:rsidRPr="00A61C89">
        <w:rPr>
          <w:b w:val="0"/>
          <w:bCs w:val="0"/>
          <w:i/>
          <w:color w:val="000000" w:themeColor="text1"/>
          <w:lang w:val="es-AR"/>
        </w:rPr>
        <w:t xml:space="preserve"> humanas y/o jurídicas registradas ante la Comisión Nacional de Valores para actuar como intermediarios en mercados autorizados por la citada comisión y aquellos que actúen en la colocación de Fondos Comunes de Inversión o de otros productos de inversión colectiva autorizados por dicho organismo”</w:t>
      </w:r>
      <w:r w:rsidRPr="00A61C89">
        <w:rPr>
          <w:b w:val="0"/>
          <w:bCs w:val="0"/>
          <w:i/>
          <w:iCs/>
          <w:color w:val="000000" w:themeColor="text1"/>
          <w:lang w:val="es-AR"/>
        </w:rPr>
        <w:t>; y a “personas jurídicas autorizadas por la Comisión Nacional de Valores para actuar en el marco de sistemas de financiamiento colectivo a través del uso de portales web u otros medios análogos y demás personas jurídicas registradas en el citado organismo a cargo de la apertura del legajo e identificación del perfil del cliente para invertir en el ámbito del mercado de capitales</w:t>
      </w:r>
      <w:r w:rsidRPr="00A61C89">
        <w:rPr>
          <w:b w:val="0"/>
          <w:bCs w:val="0"/>
          <w:iCs/>
          <w:color w:val="000000" w:themeColor="text1"/>
          <w:lang w:val="es-AR"/>
        </w:rPr>
        <w:t>”</w:t>
      </w:r>
      <w:r w:rsidRPr="00A61C89">
        <w:rPr>
          <w:b w:val="0"/>
          <w:bCs w:val="0"/>
          <w:color w:val="000000" w:themeColor="text1"/>
          <w:lang w:val="es-AR"/>
        </w:rPr>
        <w:t xml:space="preserve"> </w:t>
      </w:r>
    </w:p>
    <w:p w14:paraId="549FEC9E" w14:textId="5C4AF1DC" w:rsidR="00EE173A" w:rsidRPr="00A61C89" w:rsidRDefault="00EE173A" w:rsidP="00EE173A">
      <w:pPr>
        <w:pStyle w:val="Textoindependiente"/>
        <w:rPr>
          <w:b w:val="0"/>
          <w:bCs w:val="0"/>
          <w:color w:val="000000" w:themeColor="text1"/>
          <w:lang w:val="es-AR"/>
        </w:rPr>
      </w:pPr>
      <w:r w:rsidRPr="00A61C89">
        <w:rPr>
          <w:b w:val="0"/>
          <w:bCs w:val="0"/>
          <w:color w:val="000000" w:themeColor="text1"/>
          <w:lang w:val="es-AR"/>
        </w:rPr>
        <w:t xml:space="preserve">Las obligaciones de los Sujetos Obligados se encuentran establecidas de manera general en los arts. 20 bis, 21, 21 bis y 22 de la Ley Antilavado, y se refieren básicamente al deber de </w:t>
      </w:r>
      <w:r w:rsidRPr="00A61C89">
        <w:rPr>
          <w:b w:val="0"/>
          <w:bCs w:val="0"/>
          <w:iCs/>
          <w:color w:val="000000" w:themeColor="text1"/>
          <w:lang w:val="es-AR"/>
        </w:rPr>
        <w:t xml:space="preserve">registrarse ante la UIF, </w:t>
      </w:r>
      <w:r w:rsidRPr="00A61C89">
        <w:rPr>
          <w:b w:val="0"/>
          <w:bCs w:val="0"/>
          <w:color w:val="000000" w:themeColor="text1"/>
          <w:lang w:val="es-AR"/>
        </w:rPr>
        <w:t>conocer a los clientes, reportar operaciones sospechosas a la UIF, designar un oficial de cumplimiento en la materia, establecer manuales de procedimiento y guardar secreto respecto de las actuaciones relativas al cumplimiento de la Ley Antilavado, entre otras. No obstante, dada la variedad de Sujetos Obligados, la Ley Antilavado dispone que la UIF debe establecer para cada uno de ellos modalidades y límites de cumplimiento específicos, en razón de las particularidades de su industria o profesión.</w:t>
      </w:r>
    </w:p>
    <w:p w14:paraId="64D50B44" w14:textId="77777777" w:rsidR="00EE173A" w:rsidRPr="00A61C89" w:rsidRDefault="00EE173A" w:rsidP="00EE173A">
      <w:pPr>
        <w:pStyle w:val="Textoindependiente"/>
        <w:rPr>
          <w:b w:val="0"/>
          <w:bCs w:val="0"/>
          <w:iCs/>
          <w:color w:val="000000" w:themeColor="text1"/>
          <w:lang w:val="es-AR"/>
        </w:rPr>
      </w:pPr>
      <w:r w:rsidRPr="00A61C89">
        <w:rPr>
          <w:b w:val="0"/>
          <w:bCs w:val="0"/>
          <w:color w:val="000000" w:themeColor="text1"/>
          <w:lang w:val="es-AR"/>
        </w:rPr>
        <w:t xml:space="preserve">Así, a través </w:t>
      </w:r>
      <w:r w:rsidRPr="00A61C89">
        <w:rPr>
          <w:b w:val="0"/>
          <w:bCs w:val="0"/>
          <w:iCs/>
          <w:color w:val="000000" w:themeColor="text1"/>
          <w:lang w:val="es-AR"/>
        </w:rPr>
        <w:t xml:space="preserve">del Texto Ordenado </w:t>
      </w:r>
      <w:r w:rsidRPr="00A61C89">
        <w:rPr>
          <w:b w:val="0"/>
          <w:bCs w:val="0"/>
          <w:color w:val="000000" w:themeColor="text1"/>
          <w:lang w:val="es-AR"/>
        </w:rPr>
        <w:t>de la Resolución UIF 30-E/2017</w:t>
      </w:r>
      <w:r w:rsidRPr="00A61C89">
        <w:rPr>
          <w:b w:val="0"/>
          <w:bCs w:val="0"/>
          <w:iCs/>
          <w:color w:val="000000" w:themeColor="text1"/>
          <w:lang w:val="es-AR"/>
        </w:rPr>
        <w:t>, que derogó y reemplazó a la Resolución UIF 121/2011</w:t>
      </w:r>
      <w:r w:rsidRPr="00A61C89">
        <w:rPr>
          <w:b w:val="0"/>
          <w:bCs w:val="0"/>
          <w:color w:val="000000" w:themeColor="text1"/>
          <w:lang w:val="es-AR"/>
        </w:rPr>
        <w:t xml:space="preserve">, se establecieron los lineamientos para la Gestión de Riesgos de Lavado de Activos y Financiación del Terrorismo (Lineamientos) que deberán observar en relación con este tema las entidades financieras. </w:t>
      </w:r>
      <w:r w:rsidRPr="00A61C89">
        <w:rPr>
          <w:b w:val="0"/>
          <w:bCs w:val="0"/>
          <w:iCs/>
          <w:color w:val="000000" w:themeColor="text1"/>
          <w:lang w:val="es-AR"/>
        </w:rPr>
        <w:t>Entre otras obligaciones, las entidades financieras deberán desarrollar una metodología de identificación de riesgo y evaluación para prevenir riesgos de acuerdo con su naturaleza y actividades. A su vez, se incorpora la figura del Oficial de Cumplimiento Corporativo que las Entidades podrán designar, siendo este responsable de velar por la implementación y observancia de los procedimientos y obligaciones establecidas en la referida Resolución.</w:t>
      </w:r>
    </w:p>
    <w:p w14:paraId="07ABA7CF" w14:textId="77777777" w:rsidR="00EE173A" w:rsidRPr="00A61C89" w:rsidRDefault="00EE173A" w:rsidP="00EE173A">
      <w:pPr>
        <w:pStyle w:val="Textoindependiente"/>
        <w:rPr>
          <w:b w:val="0"/>
          <w:bCs w:val="0"/>
          <w:color w:val="000000" w:themeColor="text1"/>
          <w:lang w:val="es-AR"/>
        </w:rPr>
      </w:pPr>
      <w:r w:rsidRPr="00A61C89">
        <w:rPr>
          <w:b w:val="0"/>
          <w:bCs w:val="0"/>
          <w:color w:val="000000" w:themeColor="text1"/>
          <w:lang w:val="es-AR"/>
        </w:rPr>
        <w:t xml:space="preserve">Del mismo modo, mediante </w:t>
      </w:r>
      <w:r w:rsidRPr="00A61C89">
        <w:rPr>
          <w:b w:val="0"/>
          <w:bCs w:val="0"/>
          <w:iCs/>
          <w:color w:val="000000" w:themeColor="text1"/>
          <w:lang w:val="es-AR"/>
        </w:rPr>
        <w:t xml:space="preserve">el Texto Ordenado de </w:t>
      </w:r>
      <w:r w:rsidRPr="00A61C89">
        <w:rPr>
          <w:b w:val="0"/>
          <w:bCs w:val="0"/>
          <w:color w:val="000000" w:themeColor="text1"/>
          <w:lang w:val="es-AR"/>
        </w:rPr>
        <w:t>la Resolución UIF 21</w:t>
      </w:r>
      <w:r w:rsidRPr="00A61C89">
        <w:rPr>
          <w:b w:val="0"/>
          <w:bCs w:val="0"/>
          <w:iCs/>
          <w:color w:val="000000" w:themeColor="text1"/>
          <w:lang w:val="es-AR"/>
        </w:rPr>
        <w:t>-E</w:t>
      </w:r>
      <w:r w:rsidRPr="00A61C89">
        <w:rPr>
          <w:b w:val="0"/>
          <w:bCs w:val="0"/>
          <w:color w:val="000000" w:themeColor="text1"/>
          <w:lang w:val="es-AR"/>
        </w:rPr>
        <w:t>/2018</w:t>
      </w:r>
      <w:r w:rsidRPr="00A61C89">
        <w:rPr>
          <w:b w:val="0"/>
          <w:bCs w:val="0"/>
          <w:iCs/>
          <w:color w:val="000000" w:themeColor="text1"/>
          <w:lang w:val="es-AR"/>
        </w:rPr>
        <w:t xml:space="preserve">, que derogó y reemplazó a la </w:t>
      </w:r>
      <w:r w:rsidRPr="00A61C89">
        <w:rPr>
          <w:b w:val="0"/>
          <w:bCs w:val="0"/>
          <w:color w:val="000000" w:themeColor="text1"/>
          <w:lang w:val="es-AR"/>
        </w:rPr>
        <w:t xml:space="preserve">Resolución UIF </w:t>
      </w:r>
      <w:r w:rsidRPr="00A61C89">
        <w:rPr>
          <w:b w:val="0"/>
          <w:bCs w:val="0"/>
          <w:iCs/>
          <w:color w:val="000000" w:themeColor="text1"/>
          <w:lang w:val="es-AR"/>
        </w:rPr>
        <w:t>229/2011,</w:t>
      </w:r>
      <w:r w:rsidRPr="00A61C89">
        <w:rPr>
          <w:b w:val="0"/>
          <w:bCs w:val="0"/>
          <w:color w:val="000000" w:themeColor="text1"/>
          <w:lang w:val="es-AR"/>
        </w:rPr>
        <w:t xml:space="preserve"> se reglamentaron las obligaciones de los agentes habilitados en la compra, alquiler o préstamo de </w:t>
      </w:r>
      <w:r w:rsidRPr="00A61C89">
        <w:rPr>
          <w:b w:val="0"/>
          <w:bCs w:val="0"/>
          <w:iCs/>
          <w:color w:val="000000" w:themeColor="text1"/>
          <w:lang w:val="es-AR"/>
        </w:rPr>
        <w:t xml:space="preserve">títulos </w:t>
      </w:r>
      <w:r w:rsidRPr="00A61C89">
        <w:rPr>
          <w:b w:val="0"/>
          <w:bCs w:val="0"/>
          <w:color w:val="000000" w:themeColor="text1"/>
          <w:lang w:val="es-AR"/>
        </w:rPr>
        <w:t xml:space="preserve">valores que operen bajo la órbita de bolsas de comercio y demás Sujetos Obligados vinculados al mercado de capitales citados supra. </w:t>
      </w:r>
      <w:r w:rsidRPr="00A61C89">
        <w:rPr>
          <w:b w:val="0"/>
          <w:bCs w:val="0"/>
          <w:iCs/>
          <w:color w:val="000000" w:themeColor="text1"/>
          <w:lang w:val="es-AR"/>
        </w:rPr>
        <w:t xml:space="preserve">El T.O. de la Resolución 21-E/2018 es aplicable a los incluidos en los incisos 4 y 5 del artículo 20 de la Ley Antilavado: Agentes de Negociación, Agentes de Liquidación y Compensación; las personas humanas y/o jurídicas registradas ante la </w:t>
      </w:r>
      <w:r w:rsidRPr="00A61C89">
        <w:rPr>
          <w:b w:val="0"/>
          <w:bCs w:val="0"/>
          <w:iCs/>
          <w:color w:val="000000" w:themeColor="text1"/>
          <w:u w:val="single"/>
          <w:lang w:val="es-AR"/>
        </w:rPr>
        <w:t>CNV</w:t>
      </w:r>
      <w:r w:rsidRPr="00A61C89">
        <w:rPr>
          <w:b w:val="0"/>
          <w:bCs w:val="0"/>
          <w:iCs/>
          <w:color w:val="000000" w:themeColor="text1"/>
          <w:lang w:val="es-AR"/>
        </w:rPr>
        <w:t xml:space="preserve"> que actúen en la colocación de Fondos Comunes de Inversión o de otros productos de inversión colectiva autorizados por dicho Organismo; Plataformas de Financiamiento Colectivo y Agentes Asesores Globales de Inversión.</w:t>
      </w:r>
    </w:p>
    <w:p w14:paraId="51892896" w14:textId="77777777" w:rsidR="00EE173A" w:rsidRPr="00A61C89" w:rsidRDefault="00EE173A" w:rsidP="00EE173A">
      <w:pPr>
        <w:pStyle w:val="Textoindependiente"/>
        <w:rPr>
          <w:b w:val="0"/>
          <w:bCs w:val="0"/>
          <w:color w:val="000000" w:themeColor="text1"/>
          <w:lang w:val="es-AR"/>
        </w:rPr>
      </w:pPr>
      <w:r w:rsidRPr="00A61C89">
        <w:rPr>
          <w:b w:val="0"/>
          <w:bCs w:val="0"/>
          <w:color w:val="000000" w:themeColor="text1"/>
          <w:lang w:val="es-AR"/>
        </w:rPr>
        <w:t xml:space="preserve">Asimismo, todos los Sujetos Obligados –o su mayoría, según el caso- se encuentran alcanzados por las Resoluciones 29/2013 (sobre prevención de la financiación del terrorismo), </w:t>
      </w:r>
      <w:r w:rsidRPr="00A61C89">
        <w:rPr>
          <w:b w:val="0"/>
          <w:bCs w:val="0"/>
          <w:iCs/>
          <w:color w:val="000000" w:themeColor="text1"/>
          <w:lang w:val="es-AR"/>
        </w:rPr>
        <w:t>134/2018 (</w:t>
      </w:r>
      <w:r w:rsidRPr="00A61C89">
        <w:rPr>
          <w:b w:val="0"/>
          <w:bCs w:val="0"/>
          <w:color w:val="000000" w:themeColor="text1"/>
          <w:lang w:val="es-AR"/>
        </w:rPr>
        <w:t xml:space="preserve">sobre Personas Expuestas Políticamente), 50/2011, 51/2011 y 460/2015 (sobre registración de Sujetos Obligados y oficiales de cumplimiento y reporte on-line de operaciones sospechosas) y 70/2011 (sobre reporte sistemático de operaciones), 3/2014 (sobre reporte de registración), 300/2014 (sobre reporte de monedas virtuales) y 92/2016 (vinculado al régimen de sinceramiento fiscal). </w:t>
      </w:r>
    </w:p>
    <w:p w14:paraId="130AD465" w14:textId="201B3413" w:rsidR="00BD26FE" w:rsidRPr="00A61C89" w:rsidRDefault="00BD26FE" w:rsidP="00BD26FE">
      <w:pPr>
        <w:pStyle w:val="Textoindependiente"/>
        <w:rPr>
          <w:b w:val="0"/>
          <w:bCs w:val="0"/>
          <w:color w:val="000000" w:themeColor="text1"/>
          <w:lang w:val="es-AR"/>
        </w:rPr>
      </w:pPr>
      <w:r w:rsidRPr="00A61C89">
        <w:rPr>
          <w:b w:val="0"/>
          <w:bCs w:val="0"/>
          <w:iCs/>
          <w:color w:val="000000" w:themeColor="text1"/>
          <w:lang w:val="es-AR"/>
        </w:rPr>
        <w:t>La Ley 27.446, que modificó recientemente la Ley Antilavado, define</w:t>
      </w:r>
      <w:r w:rsidRPr="00A61C89">
        <w:rPr>
          <w:b w:val="0"/>
          <w:bCs w:val="0"/>
          <w:color w:val="000000" w:themeColor="text1"/>
          <w:lang w:val="es-AR"/>
        </w:rPr>
        <w:t xml:space="preserve"> a los clientes de manera amplia, como todas aquellas personas </w:t>
      </w:r>
      <w:r w:rsidRPr="00A61C89">
        <w:rPr>
          <w:b w:val="0"/>
          <w:bCs w:val="0"/>
          <w:iCs/>
          <w:color w:val="000000" w:themeColor="text1"/>
          <w:lang w:val="es-AR"/>
        </w:rPr>
        <w:t>humanas,</w:t>
      </w:r>
      <w:r w:rsidRPr="00A61C89">
        <w:rPr>
          <w:b w:val="0"/>
          <w:bCs w:val="0"/>
          <w:color w:val="000000" w:themeColor="text1"/>
          <w:lang w:val="es-AR"/>
        </w:rPr>
        <w:t xml:space="preserve"> jurídicas</w:t>
      </w:r>
      <w:r w:rsidRPr="00A61C89">
        <w:rPr>
          <w:b w:val="0"/>
          <w:bCs w:val="0"/>
          <w:iCs/>
          <w:color w:val="000000" w:themeColor="text1"/>
          <w:lang w:val="es-AR"/>
        </w:rPr>
        <w:t>, patrimonios de afectación, u otras estructuras jurídicas, y quienes actúen por cuenta y orden de éstas;</w:t>
      </w:r>
      <w:r w:rsidRPr="00A61C89">
        <w:rPr>
          <w:b w:val="0"/>
          <w:bCs w:val="0"/>
          <w:color w:val="000000" w:themeColor="text1"/>
          <w:lang w:val="es-AR"/>
        </w:rPr>
        <w:t xml:space="preserve"> con </w:t>
      </w:r>
      <w:r w:rsidRPr="00A61C89">
        <w:rPr>
          <w:b w:val="0"/>
          <w:bCs w:val="0"/>
          <w:iCs/>
          <w:color w:val="000000" w:themeColor="text1"/>
          <w:lang w:val="es-AR"/>
        </w:rPr>
        <w:t>los cuales</w:t>
      </w:r>
      <w:r w:rsidRPr="00A61C89">
        <w:rPr>
          <w:b w:val="0"/>
          <w:bCs w:val="0"/>
          <w:color w:val="000000" w:themeColor="text1"/>
          <w:lang w:val="es-AR"/>
        </w:rPr>
        <w:t xml:space="preserve"> se </w:t>
      </w:r>
      <w:r w:rsidRPr="00A61C89">
        <w:rPr>
          <w:b w:val="0"/>
          <w:bCs w:val="0"/>
          <w:iCs/>
          <w:color w:val="000000" w:themeColor="text1"/>
          <w:lang w:val="es-AR"/>
        </w:rPr>
        <w:t>establezca</w:t>
      </w:r>
      <w:r w:rsidRPr="00A61C89">
        <w:rPr>
          <w:b w:val="0"/>
          <w:bCs w:val="0"/>
          <w:color w:val="000000" w:themeColor="text1"/>
          <w:lang w:val="es-AR"/>
        </w:rPr>
        <w:t xml:space="preserve">, de manera ocasional o permanente, una relación contractual de carácter financiero, </w:t>
      </w:r>
      <w:r w:rsidRPr="00A61C89">
        <w:rPr>
          <w:b w:val="0"/>
          <w:bCs w:val="0"/>
          <w:iCs/>
          <w:color w:val="000000" w:themeColor="text1"/>
          <w:lang w:val="es-AR"/>
        </w:rPr>
        <w:t>económico</w:t>
      </w:r>
      <w:r w:rsidRPr="00A61C89">
        <w:rPr>
          <w:b w:val="0"/>
          <w:bCs w:val="0"/>
          <w:color w:val="000000" w:themeColor="text1"/>
          <w:lang w:val="es-AR"/>
        </w:rPr>
        <w:t xml:space="preserve"> o comercial</w:t>
      </w:r>
      <w:r w:rsidRPr="00A61C89">
        <w:rPr>
          <w:b w:val="0"/>
          <w:bCs w:val="0"/>
          <w:iCs/>
          <w:color w:val="000000" w:themeColor="text1"/>
          <w:lang w:val="es-AR"/>
        </w:rPr>
        <w:t>. Las Resoluciones UIF 30-E/2017, 21-E/2018 y 2/2012 establecen</w:t>
      </w:r>
      <w:r w:rsidRPr="00A61C89">
        <w:rPr>
          <w:b w:val="0"/>
          <w:bCs w:val="0"/>
          <w:color w:val="000000" w:themeColor="text1"/>
          <w:lang w:val="es-AR"/>
        </w:rPr>
        <w:t xml:space="preserve"> determinadas especificaciones según el caso, montos, etc. A su vez, la Resolución UIF 2/2012 establece una definición específica de clientes, de modo que se incluyen también en esa categoría a los usuarios titulares y comercios adheridos al sistema de tarjetas de crédito o compra. Todos los clientes de Sujetos Obligados se encuentran sujetos a estrictos procedimientos de identificación, conocimiento y control, entre otras obligaciones.</w:t>
      </w:r>
    </w:p>
    <w:p w14:paraId="2182E82E" w14:textId="77777777" w:rsidR="00BD26FE" w:rsidRPr="00A61C89" w:rsidRDefault="00BD26FE" w:rsidP="00BD26FE">
      <w:pPr>
        <w:pStyle w:val="Textoindependiente"/>
        <w:rPr>
          <w:b w:val="0"/>
          <w:bCs w:val="0"/>
          <w:color w:val="000000" w:themeColor="text1"/>
          <w:lang w:val="es-AR"/>
        </w:rPr>
      </w:pPr>
      <w:r w:rsidRPr="00A61C89">
        <w:rPr>
          <w:b w:val="0"/>
          <w:bCs w:val="0"/>
          <w:color w:val="000000" w:themeColor="text1"/>
          <w:lang w:val="es-AR"/>
        </w:rPr>
        <w:t xml:space="preserve">Asimismo, bajo las referidas Resoluciones, las entidades financieras, los </w:t>
      </w:r>
      <w:r w:rsidRPr="00A61C89">
        <w:rPr>
          <w:b w:val="0"/>
          <w:bCs w:val="0"/>
          <w:iCs/>
          <w:color w:val="000000" w:themeColor="text1"/>
          <w:lang w:val="es-AR"/>
        </w:rPr>
        <w:t>incluidos en los incisos 4 y 5 del artículo 20 de la Ley Antilavado: Agentes de Negociación, Agentes de Liquidación y Compensación; las personas humanas y/o jurídicas registradas ante la CNV que actúen en la colocación de Fondos Comunes de Inversión o de otros productos de inversión colectiva autorizados por dicho Organismo; Plataformas de Financiamiento Colectivo y Agentes Asesores Globales de Inversión</w:t>
      </w:r>
      <w:r w:rsidRPr="00A61C89">
        <w:rPr>
          <w:b w:val="0"/>
          <w:bCs w:val="0"/>
          <w:color w:val="000000" w:themeColor="text1"/>
          <w:lang w:val="es-AR"/>
        </w:rPr>
        <w:t>, todos ellos Sujetos Obligados, deberán reportar a la UIF, conforme lo establecido en la Ley Antilavado, aquellas operaciones inusuales que, de acuerdo a la idoneidad exigible en función de la actividad que realizan y el análisis efectuado, consideren sospechosas de lavado de activos o financiación de terrorismo. Dichas operaciones deberán reportarse, en caso de operaciones sospechosas de lavado de activos, en un plazo máximo de 150 días corridos a partir de la operación realizada o tentada</w:t>
      </w:r>
      <w:r w:rsidRPr="00A61C89">
        <w:rPr>
          <w:b w:val="0"/>
          <w:bCs w:val="0"/>
          <w:iCs/>
          <w:color w:val="000000" w:themeColor="text1"/>
          <w:lang w:val="es-AR"/>
        </w:rPr>
        <w:t xml:space="preserve">, </w:t>
      </w:r>
      <w:r w:rsidRPr="00A61C89">
        <w:rPr>
          <w:b w:val="0"/>
          <w:bCs w:val="0"/>
          <w:color w:val="000000" w:themeColor="text1"/>
          <w:lang w:val="es-AR"/>
        </w:rPr>
        <w:t xml:space="preserve">y de acuerdo con </w:t>
      </w:r>
      <w:r w:rsidRPr="00A61C89">
        <w:rPr>
          <w:b w:val="0"/>
          <w:bCs w:val="0"/>
          <w:iCs/>
          <w:color w:val="000000" w:themeColor="text1"/>
          <w:lang w:val="es-AR"/>
        </w:rPr>
        <w:t>el artículo 21.bis inc. 1.b)</w:t>
      </w:r>
      <w:r w:rsidRPr="00A61C89">
        <w:rPr>
          <w:b w:val="0"/>
          <w:bCs w:val="0"/>
          <w:color w:val="000000" w:themeColor="text1"/>
          <w:lang w:val="es-AR"/>
        </w:rPr>
        <w:t xml:space="preserve"> dentro de los </w:t>
      </w:r>
      <w:r w:rsidRPr="00A61C89">
        <w:rPr>
          <w:b w:val="0"/>
          <w:bCs w:val="0"/>
          <w:iCs/>
          <w:color w:val="000000" w:themeColor="text1"/>
          <w:lang w:val="es-AR"/>
        </w:rPr>
        <w:t>15</w:t>
      </w:r>
      <w:r w:rsidRPr="00A61C89">
        <w:rPr>
          <w:b w:val="0"/>
          <w:bCs w:val="0"/>
          <w:color w:val="000000" w:themeColor="text1"/>
          <w:lang w:val="es-AR"/>
        </w:rPr>
        <w:t xml:space="preserve"> días</w:t>
      </w:r>
      <w:r w:rsidRPr="00A61C89">
        <w:rPr>
          <w:b w:val="0"/>
          <w:bCs w:val="0"/>
          <w:iCs/>
          <w:color w:val="000000" w:themeColor="text1"/>
          <w:lang w:val="es-AR"/>
        </w:rPr>
        <w:t xml:space="preserve"> corridos</w:t>
      </w:r>
      <w:r w:rsidRPr="00A61C89">
        <w:rPr>
          <w:b w:val="0"/>
          <w:bCs w:val="0"/>
          <w:color w:val="000000" w:themeColor="text1"/>
          <w:lang w:val="es-AR"/>
        </w:rPr>
        <w:t xml:space="preserve"> contados desde que el Sujeto Obligado hubiere calificado el hecho o la operación como sospechosa</w:t>
      </w:r>
      <w:r w:rsidRPr="00A61C89">
        <w:rPr>
          <w:b w:val="0"/>
          <w:bCs w:val="0"/>
          <w:iCs/>
          <w:color w:val="000000" w:themeColor="text1"/>
          <w:lang w:val="es-AR"/>
        </w:rPr>
        <w:t>,</w:t>
      </w:r>
      <w:r w:rsidRPr="00A61C89">
        <w:rPr>
          <w:b w:val="0"/>
          <w:bCs w:val="0"/>
          <w:color w:val="000000" w:themeColor="text1"/>
          <w:lang w:val="es-AR"/>
        </w:rPr>
        <w:t xml:space="preserve"> y en caso de operaciones sospechosas de financiamiento de terrorismo, “sin demora” y hasta un máximo de 48 horas</w:t>
      </w:r>
      <w:r w:rsidRPr="00A61C89">
        <w:rPr>
          <w:b w:val="0"/>
          <w:bCs w:val="0"/>
          <w:iCs/>
          <w:color w:val="000000" w:themeColor="text1"/>
          <w:lang w:val="es-AR"/>
        </w:rPr>
        <w:t>, dejando constancia de tal reporte y conservando documental de respaldo.</w:t>
      </w:r>
      <w:r w:rsidRPr="00A61C89">
        <w:rPr>
          <w:b w:val="0"/>
          <w:bCs w:val="0"/>
          <w:color w:val="000000" w:themeColor="text1"/>
          <w:lang w:val="es-AR"/>
        </w:rPr>
        <w:t xml:space="preserve"> Generalmente, se consideran “operaciones inusuales” a aquellas operaciones tentadas o realizadas en forma aislada o reiterada, sin justificación económica y/o jurídica, ya sea porque no guardan relación con el perfil económico, financiero, patrimonial o tributario del cliente, o porque se desvían de los usos y costumbres en las prácticas de mercado por su frecuencia, habitualidad, monto, complejidad, naturaleza y/o características particulares y, “operaciones sospechosas”, a aquellas operaciones tentadas o realizadas, que habiéndose identificado previamente como inusuales, luego del análisis y evaluación realizados por el Sujeto Obligado, no guardan relación con el perfil de cliente o con las actividades lícitas declaradas por el cliente, o cuando se verifiquen dudas respecto de la autenticidad, veracidad o coherencia de la documentación presentada por el cliente, ocasionando sospecha de lavado de activos; o aun cuando tratándose de operaciones relacionadas con actividades lícitas, exista sospecha de que estén vinculadas o que vayan a ser utilizadas para la financiación del terrorismo.</w:t>
      </w:r>
    </w:p>
    <w:p w14:paraId="765CAC5B" w14:textId="37E47E24" w:rsidR="00BD26FE" w:rsidRPr="00A61C89" w:rsidRDefault="00FB3B77" w:rsidP="00A61C89">
      <w:pPr>
        <w:jc w:val="both"/>
        <w:rPr>
          <w:lang w:val="es-ES"/>
        </w:rPr>
      </w:pPr>
      <w:r>
        <w:rPr>
          <w:sz w:val="20"/>
          <w:szCs w:val="20"/>
          <w:lang w:val="es-AR"/>
        </w:rPr>
        <w:br/>
      </w:r>
      <w:r w:rsidR="00BD26FE" w:rsidRPr="00285908">
        <w:rPr>
          <w:sz w:val="20"/>
          <w:szCs w:val="20"/>
          <w:lang w:val="es-AR"/>
        </w:rPr>
        <w:t>Por su parte, el artículo 1 del Título XI sobre “</w:t>
      </w:r>
      <w:r w:rsidR="00BD26FE" w:rsidRPr="00C85375">
        <w:rPr>
          <w:i/>
          <w:sz w:val="20"/>
          <w:lang w:val="es-AR"/>
        </w:rPr>
        <w:t>Prevención del Lavado de Dinero y Financiación del Terrorismo</w:t>
      </w:r>
      <w:r w:rsidR="00BD26FE" w:rsidRPr="00285908">
        <w:rPr>
          <w:sz w:val="20"/>
          <w:szCs w:val="20"/>
          <w:lang w:val="es-AR"/>
        </w:rPr>
        <w:t xml:space="preserve">” de las Normas de la CNV dispone que </w:t>
      </w:r>
      <w:r w:rsidR="00BD26FE" w:rsidRPr="00C85375">
        <w:rPr>
          <w:i/>
          <w:sz w:val="20"/>
          <w:lang w:val="es-ES"/>
        </w:rPr>
        <w:t xml:space="preserve">dentro de </w:t>
      </w:r>
      <w:r w:rsidR="00BD26FE" w:rsidRPr="00E0656B">
        <w:rPr>
          <w:i/>
          <w:iCs/>
          <w:sz w:val="20"/>
          <w:szCs w:val="20"/>
          <w:lang w:val="es-ES"/>
        </w:rPr>
        <w:t>la categoría de sujetos obligados que actúan en el ámbito del mercado de capitales</w:t>
      </w:r>
      <w:r w:rsidR="00BD26FE" w:rsidRPr="00CC7164">
        <w:rPr>
          <w:i/>
          <w:iCs/>
          <w:sz w:val="20"/>
          <w:szCs w:val="20"/>
          <w:lang w:val="es-ES"/>
        </w:rPr>
        <w:t>, mencionados</w:t>
      </w:r>
      <w:r w:rsidR="00BD26FE" w:rsidRPr="00C85375">
        <w:rPr>
          <w:i/>
          <w:sz w:val="20"/>
          <w:lang w:val="es-ES"/>
        </w:rPr>
        <w:t xml:space="preserve"> en los incisos 4</w:t>
      </w:r>
      <w:r w:rsidR="00BD26FE" w:rsidRPr="00CC7164">
        <w:rPr>
          <w:i/>
          <w:iCs/>
          <w:sz w:val="20"/>
          <w:szCs w:val="20"/>
          <w:lang w:val="es-ES"/>
        </w:rPr>
        <w:t>) y</w:t>
      </w:r>
      <w:r w:rsidR="00BD26FE" w:rsidRPr="00C85375">
        <w:rPr>
          <w:i/>
          <w:sz w:val="20"/>
          <w:lang w:val="es-ES"/>
        </w:rPr>
        <w:t xml:space="preserve"> 5</w:t>
      </w:r>
      <w:r w:rsidR="00BD26FE" w:rsidRPr="00CC7164">
        <w:rPr>
          <w:i/>
          <w:iCs/>
          <w:sz w:val="20"/>
          <w:szCs w:val="20"/>
          <w:lang w:val="es-ES"/>
        </w:rPr>
        <w:t>)</w:t>
      </w:r>
      <w:r w:rsidR="00BD26FE" w:rsidRPr="00C85375">
        <w:rPr>
          <w:i/>
          <w:sz w:val="20"/>
          <w:lang w:val="es-ES"/>
        </w:rPr>
        <w:t xml:space="preserve"> del artículo 20 de la Ley </w:t>
      </w:r>
      <w:r w:rsidR="00BD26FE" w:rsidRPr="00CC7164">
        <w:rPr>
          <w:i/>
          <w:iCs/>
          <w:sz w:val="20"/>
          <w:szCs w:val="20"/>
          <w:lang w:val="es-ES"/>
        </w:rPr>
        <w:t>Nº</w:t>
      </w:r>
      <w:r w:rsidR="00BD26FE" w:rsidRPr="00C85375">
        <w:rPr>
          <w:i/>
          <w:sz w:val="20"/>
          <w:lang w:val="es-ES"/>
        </w:rPr>
        <w:t xml:space="preserve"> 25.246 y modificatorias, </w:t>
      </w:r>
      <w:r w:rsidR="00BD26FE" w:rsidRPr="00CC7164">
        <w:rPr>
          <w:i/>
          <w:iCs/>
          <w:sz w:val="20"/>
          <w:szCs w:val="20"/>
          <w:lang w:val="es-ES"/>
        </w:rPr>
        <w:t>se encuentran</w:t>
      </w:r>
      <w:r w:rsidR="00BD26FE" w:rsidRPr="00C85375">
        <w:rPr>
          <w:i/>
          <w:sz w:val="20"/>
          <w:lang w:val="es-ES"/>
        </w:rPr>
        <w:t xml:space="preserve"> comprendidos los Agentes de Liquidación y Compensación, los Agentes de </w:t>
      </w:r>
      <w:r w:rsidR="00BD26FE" w:rsidRPr="00CC7164">
        <w:rPr>
          <w:i/>
          <w:iCs/>
          <w:sz w:val="20"/>
          <w:szCs w:val="20"/>
          <w:lang w:val="es-ES"/>
        </w:rPr>
        <w:t>Negociación</w:t>
      </w:r>
      <w:r w:rsidR="00BD26FE" w:rsidRPr="00C85375">
        <w:rPr>
          <w:i/>
          <w:sz w:val="20"/>
          <w:lang w:val="es-ES"/>
        </w:rPr>
        <w:t xml:space="preserve"> y </w:t>
      </w:r>
      <w:r w:rsidR="00BD26FE" w:rsidRPr="00CC7164">
        <w:rPr>
          <w:i/>
          <w:iCs/>
          <w:sz w:val="20"/>
          <w:szCs w:val="20"/>
          <w:lang w:val="es-ES"/>
        </w:rPr>
        <w:t>las Sociedades Gerentes de Fondos Comunes</w:t>
      </w:r>
      <w:r w:rsidR="00BD26FE" w:rsidRPr="00C85375">
        <w:rPr>
          <w:i/>
          <w:sz w:val="20"/>
          <w:lang w:val="es-ES"/>
        </w:rPr>
        <w:t xml:space="preserve"> de Inversión</w:t>
      </w:r>
      <w:r w:rsidR="00BD26FE" w:rsidRPr="00CC7164">
        <w:rPr>
          <w:i/>
          <w:iCs/>
          <w:sz w:val="20"/>
          <w:szCs w:val="20"/>
          <w:lang w:val="es-ES"/>
        </w:rPr>
        <w:t>. Asimismo, serán considerados sujetos obligados -que actúan en el ámbito del mercado de capitales- los mencionados en el inciso 22 del artículo 20 de la Ley N° 25.246 en tanto intervengan en fideicomisos financieros registrados en la COMISIÓN NACIONAL DE VALORES.</w:t>
      </w:r>
      <w:r w:rsidR="00BD26FE" w:rsidRPr="00C85375">
        <w:rPr>
          <w:i/>
          <w:sz w:val="20"/>
          <w:lang w:val="es-ES"/>
        </w:rPr>
        <w:t xml:space="preserve"> Los </w:t>
      </w:r>
      <w:r w:rsidR="00BD26FE" w:rsidRPr="00CC7164">
        <w:rPr>
          <w:i/>
          <w:iCs/>
          <w:sz w:val="20"/>
          <w:szCs w:val="20"/>
          <w:lang w:val="es-ES"/>
        </w:rPr>
        <w:t>sujetos obligados</w:t>
      </w:r>
      <w:r w:rsidR="00BD26FE" w:rsidRPr="00C85375">
        <w:rPr>
          <w:i/>
          <w:sz w:val="20"/>
          <w:lang w:val="es-ES"/>
        </w:rPr>
        <w:t xml:space="preserve"> deberán observar lo establecido en la Ley Nº 25.246 y modificatorias, en las normas reglamentarias emitidas por la </w:t>
      </w:r>
      <w:r w:rsidR="00BD26FE" w:rsidRPr="00CC7164">
        <w:rPr>
          <w:i/>
          <w:iCs/>
          <w:sz w:val="20"/>
          <w:szCs w:val="20"/>
          <w:lang w:val="es-ES"/>
        </w:rPr>
        <w:t>UIF</w:t>
      </w:r>
      <w:r w:rsidR="00BD26FE" w:rsidRPr="00C85375">
        <w:rPr>
          <w:i/>
          <w:sz w:val="20"/>
          <w:lang w:val="es-ES"/>
        </w:rPr>
        <w:t xml:space="preserve"> y en la presente reglamentación. Ello incluye los decretos del Poder Ejecutivo Nacional referidos a las decisiones adoptadas por el Consejo de Seguridad de </w:t>
      </w:r>
      <w:r w:rsidR="00BD26FE" w:rsidRPr="00CC7164">
        <w:rPr>
          <w:i/>
          <w:iCs/>
          <w:sz w:val="20"/>
          <w:szCs w:val="20"/>
          <w:lang w:val="es-ES"/>
        </w:rPr>
        <w:t>Las</w:t>
      </w:r>
      <w:r w:rsidR="00BD26FE" w:rsidRPr="00C85375">
        <w:rPr>
          <w:i/>
          <w:sz w:val="20"/>
          <w:lang w:val="es-ES"/>
        </w:rPr>
        <w:t xml:space="preserve"> Naciones Unidas, en la lucha contra el terrorismo, y el cumplimiento de las Resoluciones (con sus respectivos Anexos) del Ministerio de Relaciones Exteriores y Culto. </w:t>
      </w:r>
      <w:r w:rsidR="00BD26FE" w:rsidRPr="00CC7164">
        <w:rPr>
          <w:i/>
          <w:iCs/>
          <w:sz w:val="20"/>
          <w:szCs w:val="20"/>
          <w:lang w:val="es-ES"/>
        </w:rPr>
        <w:t>Por otra parte, en virtud de la condición</w:t>
      </w:r>
      <w:r w:rsidR="00BD26FE" w:rsidRPr="00C85375">
        <w:rPr>
          <w:i/>
          <w:sz w:val="20"/>
          <w:lang w:val="es-ES"/>
        </w:rPr>
        <w:t xml:space="preserve"> de </w:t>
      </w:r>
      <w:r w:rsidR="00BD26FE" w:rsidRPr="00CC7164">
        <w:rPr>
          <w:i/>
          <w:iCs/>
          <w:sz w:val="20"/>
          <w:szCs w:val="20"/>
          <w:lang w:val="es-ES"/>
        </w:rPr>
        <w:t>“sujeto obligado”</w:t>
      </w:r>
      <w:r w:rsidR="00BD26FE" w:rsidRPr="00C85375">
        <w:rPr>
          <w:i/>
          <w:sz w:val="20"/>
          <w:lang w:val="es-ES"/>
        </w:rPr>
        <w:t xml:space="preserve"> de </w:t>
      </w:r>
      <w:r w:rsidR="00BD26FE" w:rsidRPr="00CC7164">
        <w:rPr>
          <w:i/>
          <w:iCs/>
          <w:sz w:val="20"/>
          <w:szCs w:val="20"/>
          <w:lang w:val="es-ES"/>
        </w:rPr>
        <w:t>la Comisión Nacional</w:t>
      </w:r>
      <w:r w:rsidR="00BD26FE" w:rsidRPr="00C85375">
        <w:rPr>
          <w:i/>
          <w:sz w:val="20"/>
          <w:lang w:val="es-ES"/>
        </w:rPr>
        <w:t xml:space="preserve"> de </w:t>
      </w:r>
      <w:r w:rsidR="00BD26FE" w:rsidRPr="00CC7164">
        <w:rPr>
          <w:i/>
          <w:iCs/>
          <w:sz w:val="20"/>
          <w:szCs w:val="20"/>
          <w:lang w:val="es-ES"/>
        </w:rPr>
        <w:t>Valores conforme lo dispuesto en el artículo 20 inciso 15</w:t>
      </w:r>
      <w:r w:rsidR="00BD26FE" w:rsidRPr="00C85375">
        <w:rPr>
          <w:i/>
          <w:sz w:val="20"/>
          <w:lang w:val="es-ES"/>
        </w:rPr>
        <w:t xml:space="preserve"> de la Ley Nº </w:t>
      </w:r>
      <w:r w:rsidR="00BD26FE" w:rsidRPr="00CC7164">
        <w:rPr>
          <w:i/>
          <w:iCs/>
          <w:sz w:val="20"/>
          <w:szCs w:val="20"/>
          <w:lang w:val="es-ES"/>
        </w:rPr>
        <w:t>25.246 y modificatorias, de acuerdo con lo exigido en el artículo 21 inciso a)</w:t>
      </w:r>
      <w:r w:rsidR="00BD26FE" w:rsidRPr="00C85375">
        <w:rPr>
          <w:i/>
          <w:sz w:val="20"/>
          <w:lang w:val="es-ES"/>
        </w:rPr>
        <w:t xml:space="preserve"> de </w:t>
      </w:r>
      <w:r w:rsidR="00BD26FE" w:rsidRPr="00CC7164">
        <w:rPr>
          <w:i/>
          <w:iCs/>
          <w:sz w:val="20"/>
          <w:szCs w:val="20"/>
          <w:lang w:val="es-ES"/>
        </w:rPr>
        <w:t>la citada ley y en el marco</w:t>
      </w:r>
      <w:r w:rsidR="00BD26FE" w:rsidRPr="00C85375">
        <w:rPr>
          <w:i/>
          <w:sz w:val="20"/>
          <w:lang w:val="es-ES"/>
        </w:rPr>
        <w:t xml:space="preserve"> de </w:t>
      </w:r>
      <w:r w:rsidR="00BD26FE" w:rsidRPr="00CC7164">
        <w:rPr>
          <w:i/>
          <w:iCs/>
          <w:sz w:val="20"/>
          <w:szCs w:val="20"/>
          <w:lang w:val="es-ES"/>
        </w:rPr>
        <w:t>las reglamentaciones dictadas por la UIF aplicables a este organismo,</w:t>
      </w:r>
      <w:r w:rsidR="00BD26FE" w:rsidRPr="00C85375">
        <w:rPr>
          <w:i/>
          <w:sz w:val="20"/>
          <w:lang w:val="es-ES"/>
        </w:rPr>
        <w:t xml:space="preserve"> las sociedades emisoras </w:t>
      </w:r>
      <w:r w:rsidR="00BD26FE" w:rsidRPr="00CC7164">
        <w:rPr>
          <w:i/>
          <w:iCs/>
          <w:sz w:val="20"/>
          <w:szCs w:val="20"/>
          <w:lang w:val="es-ES"/>
        </w:rPr>
        <w:t>deberán verificar el origen lícito</w:t>
      </w:r>
      <w:r w:rsidR="00BD26FE" w:rsidRPr="00C85375">
        <w:rPr>
          <w:i/>
          <w:sz w:val="20"/>
          <w:lang w:val="es-ES"/>
        </w:rPr>
        <w:t xml:space="preserve"> de </w:t>
      </w:r>
      <w:r w:rsidR="00BD26FE" w:rsidRPr="00CC7164">
        <w:rPr>
          <w:i/>
          <w:iCs/>
          <w:sz w:val="20"/>
          <w:szCs w:val="20"/>
          <w:lang w:val="es-ES"/>
        </w:rPr>
        <w:t>los fondos involucrados en</w:t>
      </w:r>
      <w:r w:rsidR="00BD26FE" w:rsidRPr="00C85375">
        <w:rPr>
          <w:i/>
          <w:sz w:val="20"/>
          <w:lang w:val="es-ES"/>
        </w:rPr>
        <w:t xml:space="preserve"> aportes de capital, aportes irrevocables a cuenta de futuras emisiones de acciones o préstamos significativos que </w:t>
      </w:r>
      <w:r w:rsidR="00BD26FE" w:rsidRPr="00CC7164">
        <w:rPr>
          <w:i/>
          <w:iCs/>
          <w:sz w:val="20"/>
          <w:szCs w:val="20"/>
          <w:lang w:val="es-ES"/>
        </w:rPr>
        <w:t>reciban, como así también</w:t>
      </w:r>
      <w:r w:rsidR="00BD26FE" w:rsidRPr="00C85375">
        <w:rPr>
          <w:i/>
          <w:sz w:val="20"/>
          <w:lang w:val="es-ES"/>
        </w:rPr>
        <w:t xml:space="preserve"> la </w:t>
      </w:r>
      <w:r w:rsidR="00BD26FE" w:rsidRPr="00CC7164">
        <w:rPr>
          <w:i/>
          <w:iCs/>
          <w:sz w:val="20"/>
          <w:szCs w:val="20"/>
          <w:lang w:val="es-ES"/>
        </w:rPr>
        <w:t>identidad</w:t>
      </w:r>
      <w:r w:rsidR="00BD26FE" w:rsidRPr="00C85375">
        <w:rPr>
          <w:i/>
          <w:sz w:val="20"/>
          <w:lang w:val="es-ES"/>
        </w:rPr>
        <w:t xml:space="preserve"> de </w:t>
      </w:r>
      <w:r w:rsidR="00BD26FE" w:rsidRPr="00CC7164">
        <w:rPr>
          <w:i/>
          <w:iCs/>
          <w:sz w:val="20"/>
          <w:szCs w:val="20"/>
          <w:lang w:val="es-ES"/>
        </w:rPr>
        <w:t>los sujetos involucrados</w:t>
      </w:r>
      <w:r w:rsidR="00BD26FE" w:rsidRPr="00C85375">
        <w:rPr>
          <w:i/>
          <w:sz w:val="20"/>
          <w:lang w:val="es-ES"/>
        </w:rPr>
        <w:t xml:space="preserve"> en dichas </w:t>
      </w:r>
      <w:r w:rsidR="00BD26FE" w:rsidRPr="00CC7164">
        <w:rPr>
          <w:i/>
          <w:iCs/>
          <w:sz w:val="20"/>
          <w:szCs w:val="20"/>
          <w:lang w:val="es-ES"/>
        </w:rPr>
        <w:t>operaciones</w:t>
      </w:r>
      <w:r w:rsidR="00BD26FE" w:rsidRPr="00CC7164">
        <w:rPr>
          <w:sz w:val="20"/>
          <w:szCs w:val="20"/>
          <w:lang w:val="es-ES"/>
        </w:rPr>
        <w:t>.</w:t>
      </w:r>
      <w:r w:rsidR="00BD26FE" w:rsidRPr="00C85375">
        <w:rPr>
          <w:sz w:val="20"/>
          <w:lang w:val="es-ES"/>
        </w:rPr>
        <w:t xml:space="preserve"> Además</w:t>
      </w:r>
      <w:r w:rsidR="00BD26FE" w:rsidRPr="00CC7164">
        <w:rPr>
          <w:sz w:val="20"/>
          <w:szCs w:val="20"/>
          <w:lang w:val="es-AR"/>
        </w:rPr>
        <w:t xml:space="preserve">, la Sección II del referido Título XI establece las modalidades de pago y procedimientos de control para la recepción y entrega de fondos de y hacia clientes, estableciendo, entre otras cosas, un máximo de $1.000 diarios por cliente que los sujetos enunciados en el artículo 1 ya mencionado pueden recibir en efectivo (conforme el artículo 1º de la Ley No. 25.345). Además el Artículo </w:t>
      </w:r>
      <w:r w:rsidR="00BD26FE">
        <w:rPr>
          <w:sz w:val="20"/>
          <w:szCs w:val="20"/>
          <w:lang w:val="es-AR"/>
        </w:rPr>
        <w:t>4</w:t>
      </w:r>
      <w:r w:rsidR="00BD26FE" w:rsidRPr="00CC7164">
        <w:rPr>
          <w:sz w:val="20"/>
          <w:szCs w:val="20"/>
          <w:lang w:val="es-AR"/>
        </w:rPr>
        <w:t xml:space="preserve"> establece ciertos requisitos para aquellos inversores extranjeros sometidos a una debida diligencia especial conforme a lo dispuesto por la UIF, estableciendo que (i) podrán </w:t>
      </w:r>
      <w:r w:rsidR="00BD26FE" w:rsidRPr="00CC7164">
        <w:rPr>
          <w:sz w:val="20"/>
          <w:szCs w:val="20"/>
          <w:lang w:val="es-ES"/>
        </w:rPr>
        <w:t>recibir y enviar trasferencias bancarias desde y hacia entidades reguladas por el BCRA que actúen en calidad de custodio local de tales inversores; y (ii) podrán recibir y enviar trasferencias bancarias desde y hacia entidades reguladas por el BCRA, que actúen en calidad de custodio local de una entidad extranjera que participe como una “</w:t>
      </w:r>
      <w:r w:rsidR="00BD26FE" w:rsidRPr="00CC7164">
        <w:rPr>
          <w:i/>
          <w:iCs/>
          <w:sz w:val="20"/>
          <w:szCs w:val="20"/>
          <w:lang w:val="es-ES"/>
        </w:rPr>
        <w:t>Entidad Financiera/Bancaria Del Extranjero</w:t>
      </w:r>
      <w:r w:rsidR="00BD26FE" w:rsidRPr="00CC7164">
        <w:rPr>
          <w:sz w:val="20"/>
          <w:szCs w:val="20"/>
          <w:lang w:val="es-ES"/>
        </w:rPr>
        <w:t>” de tales inversores, definida en la Resolución de la UIF específica dictada en la materia.</w:t>
      </w:r>
    </w:p>
    <w:p w14:paraId="12A74244" w14:textId="7E0BD996" w:rsidR="00BD26FE" w:rsidRPr="00A61C89" w:rsidRDefault="00BD26FE" w:rsidP="00BD26FE">
      <w:pPr>
        <w:pStyle w:val="Textoindependiente"/>
        <w:rPr>
          <w:b w:val="0"/>
          <w:bCs w:val="0"/>
          <w:color w:val="000000" w:themeColor="text1"/>
          <w:lang w:val="es-AR"/>
        </w:rPr>
      </w:pPr>
      <w:r w:rsidRPr="00A61C89">
        <w:rPr>
          <w:b w:val="0"/>
          <w:bCs w:val="0"/>
          <w:color w:val="000000" w:themeColor="text1"/>
          <w:lang w:val="es-AR"/>
        </w:rPr>
        <w:t xml:space="preserve">Asimismo, los Sujetos Obligados mencionados deben cumplir lo dispuesto en el Decreto No. 918/2012 y Resolución UIF 29/2013. El artículo 1° de esa Resolución establece que los Sujetos Obligados enumerados en el artículo 20 de la Ley Nº 25.246 y sus modificatorias deberán reportar, sin demora alguna, como operación sospechosa de financiación del terrorismo a las operaciones realizadas o tentadas en las que se constate alguna de las siguientes circunstancias: inciso 1.a) Que los bienes o dinero involucrados en la operación fuesen de propiedad directa o indirecta de una persona física o jurídica o entidad designada por el CSNU de conformidad con la Resolución 1267 (1999) y sus sucesivas, o sean controlados por ella; b) Que las personas </w:t>
      </w:r>
      <w:r w:rsidR="00450196">
        <w:rPr>
          <w:b w:val="0"/>
          <w:bCs w:val="0"/>
          <w:color w:val="000000" w:themeColor="text1"/>
          <w:lang w:val="es-AR"/>
        </w:rPr>
        <w:t xml:space="preserve">humanas </w:t>
      </w:r>
      <w:r w:rsidRPr="00A61C89">
        <w:rPr>
          <w:b w:val="0"/>
          <w:bCs w:val="0"/>
          <w:color w:val="000000" w:themeColor="text1"/>
          <w:lang w:val="es-AR"/>
        </w:rPr>
        <w:t xml:space="preserve">o jurídicas o entidades que lleven a cabo la operación sean personas designadas por el CSNU de conformidad con la Resolución 1267 (1999) y sus sucesivas; c) Que el destinatario o beneficiario de la operación sea una persona física o jurídica o entidad designada por el CSNU de conformidad con la Resolución 1267 (1999) y sus sucesivas; e inciso 2) Que los bienes o dinero involucrados en la operación pudiesen estar vinculados con la financiación del terrorismo o con actos ilícitos cometidos con finalidad terrorista, en los términos de los artículos 41 quinquies y 306 del Código Penal. Asimismo, en los casos que la resolución que disponga el congelamiento administrativo de bienes o dinero se hubiera motivado en alguna de las circunstancias expuestas en el artículo 1° inciso 1) de la Resolución UIF 29/2013, la misma regirá mientras las personas </w:t>
      </w:r>
      <w:r w:rsidR="00450196">
        <w:rPr>
          <w:b w:val="0"/>
          <w:bCs w:val="0"/>
          <w:color w:val="000000" w:themeColor="text1"/>
          <w:lang w:val="es-AR"/>
        </w:rPr>
        <w:t>humanas</w:t>
      </w:r>
      <w:r w:rsidR="00450196" w:rsidRPr="00A61C89">
        <w:rPr>
          <w:b w:val="0"/>
          <w:bCs w:val="0"/>
          <w:color w:val="000000" w:themeColor="text1"/>
          <w:lang w:val="es-AR"/>
        </w:rPr>
        <w:t xml:space="preserve"> </w:t>
      </w:r>
      <w:r w:rsidRPr="00A61C89">
        <w:rPr>
          <w:b w:val="0"/>
          <w:bCs w:val="0"/>
          <w:color w:val="000000" w:themeColor="text1"/>
          <w:lang w:val="es-AR"/>
        </w:rPr>
        <w:t>o jurídicas o entidades designadas por el CSNU de conformidad con la Resolución 1267 (1999) y sus sucesivas, permanezca en el citado listado, o hasta tanto sea revocada judicialmente. Si la resolución que dispone el congelamiento administrativo de bienes o dinero se hubiera motivado en alguna de las circunstancias expuestas en el artículo 1° inciso 2) de la Resolución UIF 29/2013, la medida se ordenará por un plazo no mayor a seis (6) meses prorrogables por igual término, por única vez. Cumplido el plazo, y de no mediar resolución judicial en contrario, el congelamiento cesará.</w:t>
      </w:r>
    </w:p>
    <w:p w14:paraId="35A5ED17" w14:textId="77777777" w:rsidR="00BD26FE" w:rsidRPr="00A61C89" w:rsidRDefault="00BD26FE" w:rsidP="00BD26FE">
      <w:pPr>
        <w:pStyle w:val="Textoindependiente"/>
        <w:rPr>
          <w:b w:val="0"/>
          <w:bCs w:val="0"/>
          <w:i/>
          <w:color w:val="000000" w:themeColor="text1"/>
          <w:lang w:val="es-AR"/>
        </w:rPr>
      </w:pPr>
      <w:r w:rsidRPr="00A61C89">
        <w:rPr>
          <w:b w:val="0"/>
          <w:bCs w:val="0"/>
          <w:color w:val="000000" w:themeColor="text1"/>
          <w:lang w:val="es-AR"/>
        </w:rPr>
        <w:t>Por otro lado, el artículo 24 de la Ley Antilavado dispone bajo el acápite “Régimen penal administrativo” que “</w:t>
      </w:r>
      <w:r w:rsidRPr="00A61C89">
        <w:rPr>
          <w:b w:val="0"/>
          <w:bCs w:val="0"/>
          <w:i/>
          <w:color w:val="000000" w:themeColor="text1"/>
          <w:lang w:val="es-AR"/>
        </w:rPr>
        <w:t>1. La persona que actuando como órgano o ejecutor de una persona jurídica o la persona de existencia visible que incumpla alguna de las obligaciones ante la Unidad de Información Financiera (UIF) creada por esta ley, será sancionada con pena de multa de una (1) a diez (10) veces del valor total de los bienes u operación a los que se refiera la infracción, siempre y cuando el hecho no constituya un delito más grave.</w:t>
      </w:r>
    </w:p>
    <w:p w14:paraId="398562A6"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2. La misma sanción será aplicable a la persona jurídica en cuyo organismo se desempeñare el sujeto infractor.</w:t>
      </w:r>
    </w:p>
    <w:p w14:paraId="4D26453C"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3. Cuando no se pueda establecer el valor real de los bienes, la multa será de diez mil pesos ($ 10.000) a cien mil pesos ($ 100.000).</w:t>
      </w:r>
    </w:p>
    <w:p w14:paraId="503ADAD9"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4. La acción para aplicar la sanción establecida en este artículo prescribirá a los cinco (5) años, del incumplimiento. Igual plazo regirá para la ejecución de la multa, computados a partir de que quede firme el acto que así la disponga.</w:t>
      </w:r>
    </w:p>
    <w:p w14:paraId="4FD66FF9" w14:textId="287980DF"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5. El cómputo de la prescripción de la acción para aplicar la sanción prevista en este artículo se interrumpirá: por la notificación del acto que disponga la apertura de la instrucción sumarial o por la notificación del acto administrativo que disponga su aplicación”.</w:t>
      </w:r>
    </w:p>
    <w:p w14:paraId="3E4DE4BF" w14:textId="15563D47" w:rsidR="00BD26FE" w:rsidRPr="00A61C89" w:rsidRDefault="00BD26FE" w:rsidP="00BD26FE">
      <w:pPr>
        <w:pStyle w:val="Textoindependiente"/>
        <w:rPr>
          <w:b w:val="0"/>
          <w:bCs w:val="0"/>
          <w:color w:val="000000" w:themeColor="text1"/>
          <w:lang w:val="es-AR"/>
        </w:rPr>
      </w:pPr>
      <w:r w:rsidRPr="00A61C89">
        <w:rPr>
          <w:b w:val="0"/>
          <w:bCs w:val="0"/>
          <w:color w:val="000000" w:themeColor="text1"/>
          <w:lang w:val="es-AR"/>
        </w:rPr>
        <w:t>Por último, se informa que el Código Penal argentino tipifica los delitos de lavado de activos, terrorismo y financiación del terrorismo en sus artículos 41 quinquies, 303 a 304 y 306. A continuación, se realiza una breve reseña de las normas penales relevantes en la materia:</w:t>
      </w:r>
    </w:p>
    <w:p w14:paraId="4D4D5B03" w14:textId="77777777" w:rsidR="00BD26FE" w:rsidRPr="00A61C89" w:rsidRDefault="00BD26FE" w:rsidP="00BD26FE">
      <w:pPr>
        <w:pStyle w:val="Textoindependiente"/>
        <w:rPr>
          <w:b w:val="0"/>
          <w:bCs w:val="0"/>
          <w:i/>
          <w:color w:val="000000" w:themeColor="text1"/>
          <w:lang w:val="es-AR"/>
        </w:rPr>
      </w:pPr>
      <w:r w:rsidRPr="00A61C89">
        <w:rPr>
          <w:b w:val="0"/>
          <w:bCs w:val="0"/>
          <w:color w:val="000000" w:themeColor="text1"/>
          <w:lang w:val="es-AR"/>
        </w:rPr>
        <w:t xml:space="preserve">La Ley 26.683 creó un nuevo título en el libro segundo del Código Penal denominado “Delitos contra el orden económico y financiero”, incorporando, entre otros los artículos 303 y 304. El Artículo 303 establece: </w:t>
      </w:r>
      <w:r w:rsidRPr="00A61C89">
        <w:rPr>
          <w:b w:val="0"/>
          <w:bCs w:val="0"/>
          <w:i/>
          <w:color w:val="000000" w:themeColor="text1"/>
          <w:lang w:val="es-AR"/>
        </w:rPr>
        <w:t>“1) Será reprimido con prisión de tres (3) a diez (10) años y multa de dos (2) a diez (10) veces del monto de la operación, el que convirtiere, transfiriere, administrare, vendiere, gravare, disimulare o de cualquier otro modo pusiere en circulación en el mercado, bienes provenientes de un ilícito penal, con la consecuencia posible de que el origen de los bienes originarios o los subrogantes adquieran la apariencia de un origen lícito, y siempre que su valor supere la suma de pesos trescientos mil ($ 300.000), sea en un solo acto o por la reiteración de hechos diversos vinculados entre sí.</w:t>
      </w:r>
    </w:p>
    <w:p w14:paraId="2BA963F3"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2) La pena prevista en el inciso 1 será aumentada en un tercio del máximo y en la mitad del mínimo, en los siguientes casos:</w:t>
      </w:r>
    </w:p>
    <w:p w14:paraId="1C6C1D4C"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a) Cuando el autor realizare el hecho con habitualidad o como miembro de una asociación o banda formada para la comisión continuada de hechos de esta naturaleza;</w:t>
      </w:r>
    </w:p>
    <w:p w14:paraId="7AACB30A"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b) Cuando el autor fuera funcionario público que hubiera cometido el hecho en ejercicio u ocasión de sus funciones. En este caso, sufrirá además pena de inhabilitación especial de tres (3) a diez (10) años. La misma pena sufrirá el que hubiere actuado en ejercicio de una profesión u oficio que requirieran habilitación especial.</w:t>
      </w:r>
    </w:p>
    <w:p w14:paraId="4E5D7CF2"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3) El que recibiere dinero u otros bienes provenientes de un ilícito penal, con el fin de hacerlos aplicar en una operación de las previstas en el inciso 1, que les dé la apariencia posible de un origen lícito, será reprimido con la pena de prisión de seis (6) meses a tres (3) años.</w:t>
      </w:r>
    </w:p>
    <w:p w14:paraId="738F228F"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4) Si el valor de los bienes no superare la suma indicada en el inciso 1, el autor será reprimido con la pena de prisión de seis (6) meses a tres (3) años.</w:t>
      </w:r>
    </w:p>
    <w:p w14:paraId="54A71D0E" w14:textId="664884FB"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5) Las disposiciones de este artículo regirán aun cuando el ilícito penal precedente hubiera sido cometido fuera del ámbito de aplicación espacial de este Código, en tanto el hecho que lo tipificara también hubiera estado sancionado con pena en el lugar de su comisión”.</w:t>
      </w:r>
    </w:p>
    <w:p w14:paraId="2A1280A6" w14:textId="77777777" w:rsidR="00BD26FE" w:rsidRPr="00A61C89" w:rsidRDefault="00BD26FE" w:rsidP="00BD26FE">
      <w:pPr>
        <w:pStyle w:val="Textoindependiente"/>
        <w:rPr>
          <w:b w:val="0"/>
          <w:bCs w:val="0"/>
          <w:i/>
          <w:color w:val="000000" w:themeColor="text1"/>
          <w:lang w:val="es-AR"/>
        </w:rPr>
      </w:pPr>
      <w:r w:rsidRPr="00A61C89">
        <w:rPr>
          <w:b w:val="0"/>
          <w:bCs w:val="0"/>
          <w:iCs/>
          <w:color w:val="000000" w:themeColor="text1"/>
          <w:lang w:val="es-AR"/>
        </w:rPr>
        <w:t>Por su parte, el Artículo 304 establece</w:t>
      </w:r>
      <w:r w:rsidRPr="00A61C89">
        <w:rPr>
          <w:b w:val="0"/>
          <w:bCs w:val="0"/>
          <w:i/>
          <w:color w:val="000000" w:themeColor="text1"/>
          <w:lang w:val="es-AR"/>
        </w:rPr>
        <w:t>: “Cuando los hechos delictivos previstos en el artículo precedente hubieren sido realizados en nombre, o con la intervención, o en beneficio de una persona de existencia ideal, se impondrán a la entidad las siguientes sanciones conjunta o alternativamente:</w:t>
      </w:r>
    </w:p>
    <w:p w14:paraId="22DE1CA0"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1. Multa de dos (2) a diez (10) veces el valor de los bienes objeto del delito.</w:t>
      </w:r>
    </w:p>
    <w:p w14:paraId="3DFCE211"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 xml:space="preserve">2. Suspensión total o parcial de actividades, que en ningún caso podrá exceder de diez (10) años. </w:t>
      </w:r>
    </w:p>
    <w:p w14:paraId="29798C01"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 xml:space="preserve">3. Suspensión para participar en concursos o licitaciones estatales de obras o servicios públicos o en cualquier otra actividad vinculada con el Estado, que en ningún caso podrá exceder de diez (10) años. </w:t>
      </w:r>
    </w:p>
    <w:p w14:paraId="36FCD66F"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 xml:space="preserve">4. Cancelación de la personería cuando hubiese sido creada al solo efecto de la comisión del delito, o esos actos constituyan la principal actividad de la entidad. </w:t>
      </w:r>
    </w:p>
    <w:p w14:paraId="1CBB3286"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 xml:space="preserve">5. Pérdida o suspensión de los beneficios estatales que tuviere. </w:t>
      </w:r>
    </w:p>
    <w:p w14:paraId="548DFC1F"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 xml:space="preserve">6. Publicación de un extracto de la sentencia condenatoria a costa de la persona jurídica. </w:t>
      </w:r>
    </w:p>
    <w:p w14:paraId="660E0900"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 xml:space="preserve">Para graduar estas sanciones, los jueces tendrán en cuenta el incumplimiento de reglas y procedimientos internos, la omisión de vigilancia sobre la actividad de los autores y partícipes, la extensión del daño causado, el monto de dinero involucrado en la comisión del delito, el tamaño, la naturaleza y la capacidad económica de la persona jurídica. </w:t>
      </w:r>
    </w:p>
    <w:p w14:paraId="0FBFE15A" w14:textId="4F9B832D"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Cuando fuere indispensable mantener la continuidad operativa de la entidad, o de una obra, o de un servicio en particular, no serán aplicables las sanciones previstas por el inciso 2 y el inciso 4”.</w:t>
      </w:r>
    </w:p>
    <w:p w14:paraId="4F34FD6E" w14:textId="77777777" w:rsidR="00BD26FE" w:rsidRPr="00A61C89" w:rsidRDefault="00BD26FE" w:rsidP="00BD26FE">
      <w:pPr>
        <w:pStyle w:val="Textoindependiente"/>
        <w:rPr>
          <w:b w:val="0"/>
          <w:bCs w:val="0"/>
          <w:i/>
          <w:color w:val="000000" w:themeColor="text1"/>
          <w:lang w:val="es-AR"/>
        </w:rPr>
      </w:pPr>
      <w:r w:rsidRPr="00A61C89">
        <w:rPr>
          <w:b w:val="0"/>
          <w:bCs w:val="0"/>
          <w:color w:val="000000" w:themeColor="text1"/>
          <w:lang w:val="es-AR"/>
        </w:rPr>
        <w:t xml:space="preserve">Asimismo, la ley 26.734 incorporó el artículo 41 quinquies y el artículo 306. El primero mencionado establece: </w:t>
      </w:r>
      <w:r w:rsidRPr="00A61C89">
        <w:rPr>
          <w:b w:val="0"/>
          <w:bCs w:val="0"/>
          <w:i/>
          <w:color w:val="000000" w:themeColor="text1"/>
          <w:lang w:val="es-AR"/>
        </w:rPr>
        <w:t>“Cuando alguno de los delitos previstos en este Código hubiere sido cometido con la finalidad de aterrorizar a la población u obligar a las autoridades públicas nacionales o gobiernos extranjeros o agentes de una organización internacional a realizar un acto o abstenerse de hacerlo, la escala se incrementará en el doble del mínimo y el máximo.</w:t>
      </w:r>
    </w:p>
    <w:p w14:paraId="3EEB4698" w14:textId="77777777" w:rsidR="00BD26FE" w:rsidRPr="00A61C89" w:rsidRDefault="00BD26FE" w:rsidP="00BD26FE">
      <w:pPr>
        <w:pStyle w:val="Textoindependiente"/>
        <w:rPr>
          <w:b w:val="0"/>
          <w:bCs w:val="0"/>
          <w:i/>
          <w:color w:val="000000" w:themeColor="text1"/>
        </w:rPr>
      </w:pPr>
      <w:r w:rsidRPr="00A61C89">
        <w:rPr>
          <w:b w:val="0"/>
          <w:bCs w:val="0"/>
          <w:i/>
          <w:color w:val="000000" w:themeColor="text1"/>
          <w:lang w:val="es-AR"/>
        </w:rPr>
        <w:t>Las agravantes previstas en este artículo no se aplicarán cuando el o los hechos de que se traten tuvieren lugar en ocasión del ejercicio de derechos humanos y/o sociales o de cualquier otro derecho constitucional”.</w:t>
      </w:r>
    </w:p>
    <w:p w14:paraId="12743977" w14:textId="77777777" w:rsidR="00BD26FE" w:rsidRPr="00A61C89" w:rsidRDefault="00BD26FE" w:rsidP="00BD26FE">
      <w:pPr>
        <w:pStyle w:val="Textoindependiente"/>
        <w:rPr>
          <w:b w:val="0"/>
          <w:bCs w:val="0"/>
          <w:i/>
          <w:color w:val="000000" w:themeColor="text1"/>
          <w:lang w:val="es-AR"/>
        </w:rPr>
      </w:pPr>
      <w:r w:rsidRPr="00A61C89">
        <w:rPr>
          <w:b w:val="0"/>
          <w:bCs w:val="0"/>
          <w:color w:val="000000" w:themeColor="text1"/>
          <w:lang w:val="es-AR"/>
        </w:rPr>
        <w:t xml:space="preserve">El artículo 306, por su parte, dispone: </w:t>
      </w:r>
      <w:r w:rsidRPr="00A61C89">
        <w:rPr>
          <w:b w:val="0"/>
          <w:bCs w:val="0"/>
          <w:i/>
          <w:color w:val="000000" w:themeColor="text1"/>
          <w:lang w:val="es-AR"/>
        </w:rPr>
        <w:t>“1. Será reprimido con prisión de cinco (5) a quince (15) años y multa de dos (2) a diez (10) veces del monto de la operación, el que directa o indirectamente recolectare o proveyere bienes o dinero, con la intención de que se utilicen, o a sabiendas de que serán utilizados, en todo o en parte:</w:t>
      </w:r>
    </w:p>
    <w:p w14:paraId="0FCD32B2"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a) Para financiar la comisión de un delito con la finalidad establecida en el artículo 41 quinquies;</w:t>
      </w:r>
    </w:p>
    <w:p w14:paraId="4E1E8D70"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b) Por una organización que cometa o intente cometer delitos con la finalidad establecida en el artículo 41 quinquies;</w:t>
      </w:r>
    </w:p>
    <w:p w14:paraId="0524D310"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c) Por un individuo que cometa, intente cometer o participe de cualquier modo en la comisión de delitos con la finalidad establecida en el artículo 41 quinquies.</w:t>
      </w:r>
    </w:p>
    <w:p w14:paraId="70C1CA53"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2. Las penas establecidas se aplicarán independientemente del acaecimiento del delito al que se destinara el financiamiento y, si éste se cometiere, aún si los bienes o el dinero no fueran utilizados para su comisión.</w:t>
      </w:r>
    </w:p>
    <w:p w14:paraId="557BD739" w14:textId="77777777"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3. Si la escala penal prevista para el delito que se financia o pretende financiar fuera menor que la establecida en este artículo, se aplicará al caso la escala penal del delito que se trate.</w:t>
      </w:r>
    </w:p>
    <w:p w14:paraId="0AFC9654" w14:textId="5067A038" w:rsidR="00BD26FE" w:rsidRPr="00A61C89" w:rsidRDefault="00BD26FE" w:rsidP="00BD26FE">
      <w:pPr>
        <w:pStyle w:val="Textoindependiente"/>
        <w:rPr>
          <w:b w:val="0"/>
          <w:bCs w:val="0"/>
          <w:i/>
          <w:color w:val="000000" w:themeColor="text1"/>
          <w:lang w:val="es-AR"/>
        </w:rPr>
      </w:pPr>
      <w:r w:rsidRPr="00A61C89">
        <w:rPr>
          <w:b w:val="0"/>
          <w:bCs w:val="0"/>
          <w:i/>
          <w:color w:val="000000" w:themeColor="text1"/>
          <w:lang w:val="es-AR"/>
        </w:rPr>
        <w:t>4. Las disposiciones de este artículo regirán aun cuando el ilícito penal que se pretende financiar tuviere lugar fuera del ámbito de aplicación espacial de este Código, o cuando en el caso del inciso b) y c) la organización o el individuo se encontraren fuera del territorio nacional, en tanto el hecho también hubiera estado sancionado con pena en la jurisdicción competente para su juzgamiento”.</w:t>
      </w:r>
    </w:p>
    <w:p w14:paraId="66101490" w14:textId="77777777" w:rsidR="00783F8F" w:rsidRPr="00BD26FE" w:rsidRDefault="00783F8F" w:rsidP="00BD26FE">
      <w:pPr>
        <w:widowControl w:val="0"/>
        <w:autoSpaceDE w:val="0"/>
        <w:autoSpaceDN w:val="0"/>
        <w:adjustRightInd w:val="0"/>
        <w:jc w:val="both"/>
        <w:rPr>
          <w:sz w:val="20"/>
          <w:szCs w:val="20"/>
          <w:lang w:val="es-AR"/>
        </w:rPr>
      </w:pPr>
    </w:p>
    <w:p w14:paraId="3950CC8F" w14:textId="77777777" w:rsidR="00BD26FE" w:rsidRPr="00F25103" w:rsidRDefault="00BD26FE" w:rsidP="00BD26FE">
      <w:pPr>
        <w:widowControl w:val="0"/>
        <w:autoSpaceDE w:val="0"/>
        <w:autoSpaceDN w:val="0"/>
        <w:adjustRightInd w:val="0"/>
        <w:jc w:val="both"/>
        <w:rPr>
          <w:sz w:val="20"/>
          <w:szCs w:val="20"/>
          <w:lang w:val="es-AR"/>
        </w:rPr>
      </w:pPr>
      <w:r w:rsidRPr="00F25103">
        <w:rPr>
          <w:sz w:val="20"/>
          <w:szCs w:val="20"/>
          <w:lang w:val="es-AR"/>
        </w:rPr>
        <w:t>Mediante el Decreto N° 360/2016, se creó el “Programa de Coordinación Nacional para el Combate del Lavado de Activos y la Financiación del Terrorismo”, en el ámbito del Ministerio de Justicia y Derechos Humanos de la Nación otorgándosele la función de reorganizar, coordinar y fortalecer el sistema nacional anti lavado de activos y contra la financiación del terrorismo, en atención a los riesgos concretos que puedan tener impacto en el territorio nacional y a las exigencias globales de mayor efectividad en el cumplimiento de las obligaciones y recomendaciones internacionales establecidas por las Convenciones de las Naciones Unidas y los estándares del GAFI las cuales serán llevadas a cabo a través de un Coordinador Nacional designado al efecto; y se modificó la normativa vigente estableciendo que sea el Ministerio de Justicia y Derechos Humanos de la Nación la autoridad central del Estado Nacional para realizar las funciones de coordinación interinstitucional de todos los organismos y entidades del sector público y privado con competencia en esta materia, reservando a la UIF la capacidad de realizar actividades de coordinación operativa en el orden nacional, provincial y municipal en lo estrictamente atinente a su competencia de organismo de información financiera.</w:t>
      </w:r>
    </w:p>
    <w:p w14:paraId="6BC456F9" w14:textId="77777777" w:rsidR="00BD26FE" w:rsidRPr="00F25103" w:rsidRDefault="00BD26FE" w:rsidP="00BD26FE">
      <w:pPr>
        <w:widowControl w:val="0"/>
        <w:autoSpaceDE w:val="0"/>
        <w:autoSpaceDN w:val="0"/>
        <w:adjustRightInd w:val="0"/>
        <w:jc w:val="both"/>
        <w:rPr>
          <w:sz w:val="20"/>
          <w:szCs w:val="20"/>
          <w:lang w:val="es-AR"/>
        </w:rPr>
      </w:pPr>
    </w:p>
    <w:p w14:paraId="6649842B" w14:textId="77777777" w:rsidR="00BD26FE" w:rsidRPr="00F25103" w:rsidRDefault="00BD26FE" w:rsidP="00BD26FE">
      <w:pPr>
        <w:widowControl w:val="0"/>
        <w:autoSpaceDE w:val="0"/>
        <w:autoSpaceDN w:val="0"/>
        <w:adjustRightInd w:val="0"/>
        <w:jc w:val="both"/>
        <w:rPr>
          <w:sz w:val="20"/>
          <w:szCs w:val="20"/>
          <w:lang w:val="es-ES"/>
        </w:rPr>
      </w:pPr>
      <w:r w:rsidRPr="00F25103">
        <w:rPr>
          <w:sz w:val="20"/>
          <w:szCs w:val="20"/>
          <w:lang w:val="es-ES"/>
        </w:rPr>
        <w:t>Por otra parte, en el marco del “Sistema voluntario y excepcional de declaración de tenencia de moneda nacional, extranjera y demás bienes en el país y en el exterior” establecido en la Ley N° 27.260, la UIF emitió la Resolución N° 92/2016, en virtud de la cual se estableció que los sujetos obligados debían implementar, a tales efectos un sistema de gestión de riesgos. Asimismo, en caso de detectarse operaciones sospechosas hasta el 31 de marzo de 2017, en el contexto del mencionado régimen legal, deberán reportarlas en un apartado denominado “ROS SF”, en referencia al Reporte de Operación Sospechosa a darse en el marco del Régimen de Sinceramiento Fiscal. Dicho reporte deberá ser debidamente fundado y contener una descripción de las circunstancias por las cuales se considera que la operación tiene carácter de sospechosa, en el marco del régimen de sinceramiento fiscal, y revelar un adecuado análisis de la operatoria y el perfil del cliente (en este caso, no resultan necesarios los requerimientos referidos a información y documentación tributaria).</w:t>
      </w:r>
    </w:p>
    <w:p w14:paraId="341B955A" w14:textId="77777777" w:rsidR="00783F8F" w:rsidRDefault="00783F8F" w:rsidP="00BD26FE">
      <w:pPr>
        <w:widowControl w:val="0"/>
        <w:autoSpaceDE w:val="0"/>
        <w:autoSpaceDN w:val="0"/>
        <w:adjustRightInd w:val="0"/>
        <w:jc w:val="both"/>
        <w:rPr>
          <w:sz w:val="20"/>
          <w:szCs w:val="20"/>
          <w:lang w:val="es-ES"/>
        </w:rPr>
      </w:pPr>
    </w:p>
    <w:p w14:paraId="2D604D40" w14:textId="5738AB97" w:rsidR="00BD26FE" w:rsidRPr="00F25103" w:rsidRDefault="00BD26FE" w:rsidP="00BD26FE">
      <w:pPr>
        <w:widowControl w:val="0"/>
        <w:autoSpaceDE w:val="0"/>
        <w:autoSpaceDN w:val="0"/>
        <w:adjustRightInd w:val="0"/>
        <w:jc w:val="both"/>
        <w:rPr>
          <w:sz w:val="20"/>
          <w:szCs w:val="20"/>
          <w:lang w:val="es-ES"/>
        </w:rPr>
      </w:pPr>
      <w:r w:rsidRPr="00F25103">
        <w:rPr>
          <w:sz w:val="20"/>
          <w:szCs w:val="20"/>
          <w:lang w:val="es-ES"/>
        </w:rPr>
        <w:t>El 11 de enero de 2017, la UIF dictó la Resolución Nº 4/2017, mediante la cual se establece que los sujetos obligados comprendidos en los incisos 1, 4 y 5 del artículo 20 de la Ley N° 25.246 y sus modificatorias (los “Sujetos Obligados de la 4/2017”), podrán aplicar medidas de debida diligencia especial de identificación a inversores extranjeros y nacionales (los cuales para calificar como tales deben cumplir los requisitos establecidos por dicha norma) en la República Argentina al momento de solicitar la apertura a distancia de cuentas especiales de inversión. La debida diligencia especial no eximirá a los Sujetos Obligados de la 4/2017 de realizar el monitoreo y seguimiento de las operaciones durante el transcurso de dicha relación con un enfoque basado en el riesgo.</w:t>
      </w:r>
    </w:p>
    <w:p w14:paraId="62804BBE" w14:textId="27A7443B" w:rsidR="00BD26FE" w:rsidRPr="00F25103" w:rsidRDefault="00BD26FE" w:rsidP="00BD26FE">
      <w:pPr>
        <w:widowControl w:val="0"/>
        <w:autoSpaceDE w:val="0"/>
        <w:autoSpaceDN w:val="0"/>
        <w:adjustRightInd w:val="0"/>
        <w:jc w:val="both"/>
        <w:rPr>
          <w:sz w:val="20"/>
          <w:szCs w:val="20"/>
          <w:lang w:val="es-ES"/>
        </w:rPr>
      </w:pPr>
    </w:p>
    <w:p w14:paraId="6EE69A67" w14:textId="77777777" w:rsidR="00BD26FE" w:rsidRPr="00F25103" w:rsidRDefault="00BD26FE" w:rsidP="00BD26FE">
      <w:pPr>
        <w:widowControl w:val="0"/>
        <w:autoSpaceDE w:val="0"/>
        <w:autoSpaceDN w:val="0"/>
        <w:adjustRightInd w:val="0"/>
        <w:jc w:val="both"/>
        <w:rPr>
          <w:sz w:val="20"/>
          <w:szCs w:val="20"/>
          <w:lang w:val="es-ES"/>
        </w:rPr>
      </w:pPr>
      <w:r w:rsidRPr="00F25103">
        <w:rPr>
          <w:sz w:val="20"/>
          <w:szCs w:val="20"/>
          <w:lang w:val="es-ES"/>
        </w:rPr>
        <w:t>Asimismo, la Resolución N° 4/2017 regula las medidas de debida diligencia entre los sujetos obligados financieros. Así, establece que, en los casos de apertura de cuentas corrientes especiales de inversión solicitadas por agentes de liquidación y compensación, la entidad bancaria local cumplirá con las normas vigentes en materia de prevención de lavado de activos y financiamiento del terrorismo cuando hayan realizado la debida diligencia sobre los referidos agentes, siendo estos últimos los responsables por la debida diligencia de sus clientes. La Resolución N° 4/2017 establece expresamente que ello no exime a las entidades financieras de realizar un monitoreo y su seguimiento de las operaciones durante el transcurso de su relación con su cliente con un enfoque basado en el riesgo.</w:t>
      </w:r>
      <w:r w:rsidRPr="00F25103">
        <w:rPr>
          <w:sz w:val="20"/>
          <w:szCs w:val="20"/>
          <w:lang w:val="es-ES_tradnl"/>
        </w:rPr>
        <w:t xml:space="preserve"> </w:t>
      </w:r>
    </w:p>
    <w:p w14:paraId="62CB63ED" w14:textId="77777777" w:rsidR="00BD26FE" w:rsidRPr="00A61C89" w:rsidRDefault="00BD26FE" w:rsidP="00BD26FE">
      <w:pPr>
        <w:pStyle w:val="Textoindependiente"/>
        <w:widowControl w:val="0"/>
        <w:rPr>
          <w:b w:val="0"/>
          <w:bCs w:val="0"/>
          <w:color w:val="000000" w:themeColor="text1"/>
          <w:lang w:val="es-AR"/>
        </w:rPr>
      </w:pPr>
      <w:r w:rsidRPr="00A61C89">
        <w:rPr>
          <w:b w:val="0"/>
          <w:bCs w:val="0"/>
          <w:color w:val="000000" w:themeColor="text1"/>
          <w:lang w:val="es-AR"/>
        </w:rPr>
        <w:t>A los efectos de suscribir las Obligaciones Negociables, los Inversores deberán suministrar toda aquella información y documentación que deban presentar o ser requerida por los Colocadores y/o la Emisora para el cumplimiento de, entre otras, las normas sobre prevención del lavado de activos y financiamiento del terrorismo emanadas de la UIF o establecidas por la CNV o el BCRA.</w:t>
      </w:r>
    </w:p>
    <w:p w14:paraId="483417EA" w14:textId="77777777" w:rsidR="00783F8F" w:rsidRPr="00512442" w:rsidRDefault="00783F8F" w:rsidP="00512442">
      <w:pPr>
        <w:widowControl w:val="0"/>
        <w:jc w:val="both"/>
        <w:rPr>
          <w:b/>
          <w:smallCaps/>
          <w:lang w:val="es-AR"/>
        </w:rPr>
      </w:pPr>
    </w:p>
    <w:p w14:paraId="45013730" w14:textId="682756A6" w:rsidR="00BD26FE" w:rsidRPr="00F25103" w:rsidRDefault="00BD26FE" w:rsidP="00BD26FE">
      <w:pPr>
        <w:widowControl w:val="0"/>
        <w:jc w:val="both"/>
        <w:rPr>
          <w:b/>
          <w:bCs/>
          <w:smallCaps/>
          <w:sz w:val="20"/>
          <w:u w:val="single"/>
          <w:lang w:val="es-AR"/>
        </w:rPr>
      </w:pPr>
      <w:r w:rsidRPr="00F25103">
        <w:rPr>
          <w:b/>
          <w:bCs/>
          <w:smallCaps/>
          <w:sz w:val="20"/>
          <w:szCs w:val="20"/>
          <w:lang w:val="es-AR"/>
        </w:rPr>
        <w:t xml:space="preserve">Para un análisis más exhaustivo del régimen de prevención del lavado de activos y el financiamiento del terrorismo vigente al día de la fecha, se sugiere a los inversores consultar con sus asesores legales y dar una lectura completa al Capítulo XIII del Título XI y Título XIII del Libro Segundo del Código Penal Argentino y a la </w:t>
      </w:r>
      <w:r w:rsidRPr="00F25103">
        <w:rPr>
          <w:b/>
          <w:bCs/>
          <w:smallCaps/>
          <w:sz w:val="20"/>
          <w:lang w:val="es-AR"/>
        </w:rPr>
        <w:t xml:space="preserve">normativa </w:t>
      </w:r>
      <w:r w:rsidRPr="00F25103">
        <w:rPr>
          <w:b/>
          <w:bCs/>
          <w:smallCaps/>
          <w:sz w:val="20"/>
          <w:szCs w:val="20"/>
          <w:lang w:val="es-AR"/>
        </w:rPr>
        <w:t xml:space="preserve">emitida por la UIF, a cuyo efecto los </w:t>
      </w:r>
      <w:r w:rsidRPr="00F25103">
        <w:rPr>
          <w:b/>
          <w:bCs/>
          <w:smallCaps/>
          <w:sz w:val="20"/>
          <w:lang w:val="es-AR"/>
        </w:rPr>
        <w:t xml:space="preserve">interesados </w:t>
      </w:r>
      <w:r w:rsidRPr="00F25103">
        <w:rPr>
          <w:b/>
          <w:bCs/>
          <w:smallCaps/>
          <w:sz w:val="20"/>
          <w:szCs w:val="20"/>
          <w:lang w:val="es-AR"/>
        </w:rPr>
        <w:t>podrán consultar el sitio</w:t>
      </w:r>
      <w:r w:rsidRPr="00F25103">
        <w:rPr>
          <w:b/>
          <w:bCs/>
          <w:smallCaps/>
          <w:sz w:val="20"/>
          <w:lang w:val="es-AR"/>
        </w:rPr>
        <w:t xml:space="preserve"> web</w:t>
      </w:r>
      <w:r w:rsidRPr="00F25103">
        <w:rPr>
          <w:b/>
          <w:bCs/>
          <w:smallCaps/>
          <w:sz w:val="20"/>
          <w:szCs w:val="20"/>
          <w:lang w:val="es-AR"/>
        </w:rPr>
        <w:t xml:space="preserve"> del ministerio de hacienda de la nación, www.infoleg.gov.ar, y el sitio web de la UIF</w:t>
      </w:r>
      <w:r w:rsidRPr="00F25103">
        <w:rPr>
          <w:b/>
          <w:bCs/>
          <w:smallCaps/>
          <w:sz w:val="20"/>
          <w:lang w:val="es-AR"/>
        </w:rPr>
        <w:t xml:space="preserve"> </w:t>
      </w:r>
      <w:hyperlink r:id="rId12" w:history="1">
        <w:r w:rsidRPr="00A61C89">
          <w:rPr>
            <w:rStyle w:val="Hipervnculo"/>
            <w:b/>
            <w:bCs/>
            <w:smallCaps/>
            <w:lang w:val="es-ES_tradnl"/>
          </w:rPr>
          <w:t>www.argentina.gob.ar/uif</w:t>
        </w:r>
      </w:hyperlink>
      <w:r w:rsidRPr="00F25103">
        <w:rPr>
          <w:b/>
          <w:bCs/>
          <w:smallCaps/>
          <w:sz w:val="20"/>
          <w:lang w:val="es-AR"/>
        </w:rPr>
        <w:t>.</w:t>
      </w:r>
    </w:p>
    <w:p w14:paraId="185EEE6F" w14:textId="77777777" w:rsidR="000334EA" w:rsidRPr="007213A1" w:rsidRDefault="000334EA" w:rsidP="000334EA">
      <w:pPr>
        <w:tabs>
          <w:tab w:val="left" w:pos="380"/>
        </w:tabs>
        <w:jc w:val="both"/>
        <w:rPr>
          <w:sz w:val="20"/>
          <w:szCs w:val="20"/>
          <w:highlight w:val="yellow"/>
          <w:lang w:val="es-AR"/>
        </w:rPr>
      </w:pPr>
    </w:p>
    <w:p w14:paraId="0CEDCDD4" w14:textId="77777777" w:rsidR="000334EA" w:rsidRPr="007213A1" w:rsidRDefault="000334EA" w:rsidP="000334EA">
      <w:pPr>
        <w:widowControl w:val="0"/>
        <w:suppressLineNumbers/>
        <w:suppressAutoHyphens/>
        <w:jc w:val="both"/>
        <w:rPr>
          <w:rFonts w:eastAsia="Calibri"/>
          <w:sz w:val="20"/>
          <w:szCs w:val="20"/>
          <w:lang w:val="es-MX"/>
        </w:rPr>
      </w:pPr>
    </w:p>
    <w:p w14:paraId="19FDE5A8" w14:textId="77777777" w:rsidR="000334EA" w:rsidRPr="007213A1" w:rsidRDefault="000334EA" w:rsidP="000334EA">
      <w:pPr>
        <w:widowControl w:val="0"/>
        <w:tabs>
          <w:tab w:val="left" w:pos="380"/>
        </w:tabs>
        <w:jc w:val="center"/>
        <w:rPr>
          <w:b/>
          <w:smallCaps/>
          <w:sz w:val="20"/>
          <w:szCs w:val="20"/>
          <w:lang w:val="es-AR"/>
        </w:rPr>
      </w:pPr>
      <w:r w:rsidRPr="007213A1">
        <w:rPr>
          <w:b/>
          <w:smallCaps/>
          <w:sz w:val="20"/>
          <w:szCs w:val="20"/>
          <w:lang w:val="es-AR"/>
        </w:rPr>
        <w:t>Restricciones a la Venta</w:t>
      </w:r>
    </w:p>
    <w:p w14:paraId="3C6014E1" w14:textId="77777777" w:rsidR="000334EA" w:rsidRPr="007213A1" w:rsidRDefault="000334EA" w:rsidP="000334EA">
      <w:pPr>
        <w:widowControl w:val="0"/>
        <w:suppressLineNumbers/>
        <w:suppressAutoHyphens/>
        <w:jc w:val="both"/>
        <w:rPr>
          <w:rFonts w:eastAsia="Calibri"/>
          <w:sz w:val="20"/>
          <w:szCs w:val="20"/>
          <w:lang w:val="es-MX"/>
        </w:rPr>
      </w:pPr>
    </w:p>
    <w:p w14:paraId="4D0DD414" w14:textId="77777777" w:rsidR="000334EA" w:rsidRPr="007213A1" w:rsidRDefault="000334EA" w:rsidP="000334EA">
      <w:pPr>
        <w:widowControl w:val="0"/>
        <w:jc w:val="both"/>
        <w:rPr>
          <w:b/>
          <w:smallCaps/>
          <w:sz w:val="20"/>
          <w:szCs w:val="20"/>
          <w:lang w:val="es-AR"/>
        </w:rPr>
      </w:pPr>
      <w:r w:rsidRPr="007213A1">
        <w:rPr>
          <w:b/>
          <w:smallCaps/>
          <w:sz w:val="20"/>
          <w:szCs w:val="20"/>
          <w:lang w:val="es-AR"/>
        </w:rPr>
        <w:t>Este prospecto no constituye una oferta de, ni una invitación a comprar cualquiera de las Obligaciones Negociables a emitirse bajo el mismo en cualquier jurisdicción en que dicha oferta o invitación pudiera ser ilegal o estar restringida por ley.</w:t>
      </w:r>
    </w:p>
    <w:p w14:paraId="268DE307" w14:textId="77777777" w:rsidR="000334EA" w:rsidRPr="007213A1" w:rsidRDefault="000334EA" w:rsidP="000334EA">
      <w:pPr>
        <w:widowControl w:val="0"/>
        <w:suppressLineNumbers/>
        <w:suppressAutoHyphens/>
        <w:jc w:val="both"/>
        <w:rPr>
          <w:rFonts w:eastAsia="Calibri"/>
          <w:bCs/>
          <w:iCs/>
          <w:sz w:val="20"/>
          <w:szCs w:val="20"/>
          <w:lang w:val="es-MX"/>
        </w:rPr>
      </w:pPr>
    </w:p>
    <w:p w14:paraId="2C4B3C44" w14:textId="77777777" w:rsidR="000334EA" w:rsidRPr="007213A1" w:rsidRDefault="000334EA" w:rsidP="000334EA">
      <w:pPr>
        <w:widowControl w:val="0"/>
        <w:suppressLineNumbers/>
        <w:suppressAutoHyphens/>
        <w:jc w:val="both"/>
        <w:rPr>
          <w:rFonts w:eastAsia="Calibri"/>
          <w:bCs/>
          <w:iCs/>
          <w:sz w:val="20"/>
          <w:szCs w:val="20"/>
          <w:lang w:val="es-MX"/>
        </w:rPr>
      </w:pPr>
      <w:r w:rsidRPr="007213A1">
        <w:rPr>
          <w:rFonts w:eastAsia="Calibri"/>
          <w:bCs/>
          <w:iCs/>
          <w:sz w:val="20"/>
          <w:szCs w:val="20"/>
          <w:lang w:val="es-MX"/>
        </w:rPr>
        <w:t xml:space="preserve">La distribución de este Prospecto y de cualquier Suplemento de Precio, así como la oferta y venta de las Obligaciones Negociables en ciertas jurisdicciones pueden estar restringidas por ley. La Compañía insta a las personas que tengan acceso a este Prospecto a informarse sobre tales restricciones y respetarlas. </w:t>
      </w:r>
    </w:p>
    <w:p w14:paraId="5D53C36F" w14:textId="77777777" w:rsidR="000334EA" w:rsidRPr="007213A1" w:rsidRDefault="000334EA" w:rsidP="000334EA">
      <w:pPr>
        <w:widowControl w:val="0"/>
        <w:suppressLineNumbers/>
        <w:suppressAutoHyphens/>
        <w:jc w:val="both"/>
        <w:rPr>
          <w:rFonts w:eastAsia="Calibri"/>
          <w:bCs/>
          <w:iCs/>
          <w:sz w:val="20"/>
          <w:szCs w:val="20"/>
          <w:lang w:val="es-MX"/>
        </w:rPr>
      </w:pPr>
    </w:p>
    <w:p w14:paraId="717D6525" w14:textId="77777777" w:rsidR="000334EA" w:rsidRPr="007213A1" w:rsidRDefault="000334EA" w:rsidP="000334EA">
      <w:pPr>
        <w:widowControl w:val="0"/>
        <w:suppressLineNumbers/>
        <w:suppressAutoHyphens/>
        <w:jc w:val="both"/>
        <w:rPr>
          <w:rFonts w:eastAsia="Calibri"/>
          <w:bCs/>
          <w:iCs/>
          <w:sz w:val="20"/>
          <w:szCs w:val="20"/>
          <w:lang w:val="es-MX"/>
        </w:rPr>
      </w:pPr>
      <w:r w:rsidRPr="007213A1">
        <w:rPr>
          <w:rFonts w:eastAsia="Calibri"/>
          <w:bCs/>
          <w:iCs/>
          <w:sz w:val="20"/>
          <w:szCs w:val="20"/>
          <w:lang w:val="es-MX"/>
        </w:rPr>
        <w:t>Excepto en la República Argentina, no se ha iniciado ni se iniciará tramitación alguna, en jurisdicción alguna a fin de obtener autorización de oferta pública de las Obligaciones Negociables ni se distribuirá este Prospecto, o cualquier otro material de venta relacionado con las Obligaciones Negociables en otro país o jurisdicción distintos de Argentina donde sea necesaria una tramitación a tal efecto. La Emisora y cualquier Colocador de las Obligaciones Negociables deberán cumplir con todas las leyes y regulaciones aplicables en todas aquellas jurisdicciones en las cuales adquieran, ofrezcan, vendan o entreguen Obligaciones Negociables, o aquéllas en las que tengan en posesión o distribuyan cualquier prospecto preliminar o prospecto o cualquier modificación o suplemento del mismo.</w:t>
      </w:r>
    </w:p>
    <w:p w14:paraId="729E24E4" w14:textId="77777777" w:rsidR="000334EA" w:rsidRPr="007213A1" w:rsidRDefault="000334EA" w:rsidP="000334EA">
      <w:pPr>
        <w:suppressLineNumbers/>
        <w:suppressAutoHyphens/>
        <w:jc w:val="both"/>
        <w:rPr>
          <w:rFonts w:eastAsia="Calibri"/>
          <w:bCs/>
          <w:iCs/>
          <w:sz w:val="20"/>
          <w:szCs w:val="20"/>
          <w:lang w:val="es-MX"/>
        </w:rPr>
      </w:pPr>
    </w:p>
    <w:p w14:paraId="2148B489" w14:textId="77777777" w:rsidR="000334EA" w:rsidRPr="007213A1" w:rsidRDefault="000334EA">
      <w:pPr>
        <w:rPr>
          <w:b/>
          <w:bCs/>
          <w:smallCaps/>
          <w:color w:val="000000"/>
          <w:sz w:val="20"/>
          <w:szCs w:val="20"/>
          <w:lang w:val="es-MX"/>
        </w:rPr>
      </w:pPr>
      <w:r w:rsidRPr="00112B9F">
        <w:rPr>
          <w:b/>
          <w:bCs/>
          <w:smallCaps/>
          <w:color w:val="000000"/>
          <w:sz w:val="20"/>
          <w:szCs w:val="20"/>
          <w:lang w:val="es-MX"/>
        </w:rPr>
        <w:br w:type="page"/>
      </w:r>
    </w:p>
    <w:p w14:paraId="7D42AC48" w14:textId="77777777" w:rsidR="000334EA" w:rsidRPr="007213A1" w:rsidRDefault="000334EA" w:rsidP="000334EA">
      <w:pPr>
        <w:jc w:val="center"/>
        <w:rPr>
          <w:rFonts w:eastAsia="Calibri"/>
          <w:b/>
          <w:bCs/>
          <w:smallCaps/>
          <w:sz w:val="20"/>
          <w:szCs w:val="20"/>
          <w:lang w:val="es-ES"/>
        </w:rPr>
      </w:pPr>
      <w:r w:rsidRPr="007213A1">
        <w:rPr>
          <w:rFonts w:eastAsia="Calibri"/>
          <w:b/>
          <w:bCs/>
          <w:smallCaps/>
          <w:sz w:val="20"/>
          <w:szCs w:val="20"/>
          <w:lang w:val="es-ES"/>
        </w:rPr>
        <w:t>INDICE</w:t>
      </w:r>
    </w:p>
    <w:p w14:paraId="01D82F0F" w14:textId="77777777" w:rsidR="000334EA" w:rsidRPr="007213A1" w:rsidRDefault="000334EA" w:rsidP="000334EA">
      <w:pPr>
        <w:ind w:left="709" w:hanging="567"/>
        <w:jc w:val="both"/>
        <w:rPr>
          <w:rFonts w:eastAsia="Calibri"/>
          <w:b/>
          <w:bCs/>
          <w:smallCaps/>
          <w:sz w:val="20"/>
          <w:szCs w:val="20"/>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7"/>
        <w:gridCol w:w="658"/>
      </w:tblGrid>
      <w:tr w:rsidR="000334EA" w:rsidRPr="007213A1" w14:paraId="227D2357" w14:textId="77777777" w:rsidTr="00BA304B">
        <w:tc>
          <w:tcPr>
            <w:tcW w:w="9209" w:type="dxa"/>
          </w:tcPr>
          <w:p w14:paraId="5D921150" w14:textId="56F16546" w:rsidR="000334EA" w:rsidRPr="007213A1" w:rsidRDefault="000334EA" w:rsidP="000334EA">
            <w:pPr>
              <w:spacing w:line="360" w:lineRule="auto"/>
              <w:ind w:left="709" w:hanging="567"/>
              <w:rPr>
                <w:rFonts w:eastAsia="Calibri"/>
                <w:b/>
                <w:bCs/>
                <w:smallCaps/>
                <w:sz w:val="20"/>
                <w:szCs w:val="20"/>
                <w:lang w:val="es-ES"/>
              </w:rPr>
            </w:pPr>
            <w:r w:rsidRPr="007213A1">
              <w:rPr>
                <w:rFonts w:eastAsia="Calibri"/>
                <w:b/>
                <w:bCs/>
                <w:smallCaps/>
                <w:sz w:val="20"/>
                <w:szCs w:val="20"/>
                <w:lang w:val="es-ES"/>
              </w:rPr>
              <w:t xml:space="preserve">I. </w:t>
            </w:r>
            <w:r w:rsidRPr="007213A1">
              <w:rPr>
                <w:rFonts w:eastAsia="Calibri"/>
                <w:b/>
                <w:bCs/>
                <w:smallCaps/>
                <w:sz w:val="20"/>
                <w:szCs w:val="20"/>
                <w:lang w:val="es-ES"/>
              </w:rPr>
              <w:tab/>
              <w:t xml:space="preserve">INFORMACIÓN </w:t>
            </w:r>
            <w:r w:rsidR="00A227AF">
              <w:rPr>
                <w:rFonts w:eastAsia="Calibri"/>
                <w:b/>
                <w:bCs/>
                <w:smallCaps/>
                <w:sz w:val="20"/>
                <w:szCs w:val="20"/>
                <w:lang w:val="es-ES"/>
              </w:rPr>
              <w:t>DE</w:t>
            </w:r>
            <w:r w:rsidRPr="007213A1">
              <w:rPr>
                <w:rFonts w:eastAsia="Calibri"/>
                <w:b/>
                <w:bCs/>
                <w:smallCaps/>
                <w:sz w:val="20"/>
                <w:szCs w:val="20"/>
                <w:lang w:val="es-ES"/>
              </w:rPr>
              <w:t xml:space="preserve"> LA EMISORA</w:t>
            </w:r>
          </w:p>
        </w:tc>
        <w:tc>
          <w:tcPr>
            <w:tcW w:w="558" w:type="dxa"/>
          </w:tcPr>
          <w:p w14:paraId="47AF131D" w14:textId="4954FC46" w:rsidR="000334EA" w:rsidRPr="00A61C89" w:rsidRDefault="00804E1F" w:rsidP="000334EA">
            <w:pPr>
              <w:spacing w:line="360" w:lineRule="auto"/>
              <w:ind w:left="709" w:hanging="567"/>
              <w:rPr>
                <w:rFonts w:eastAsia="Calibri"/>
                <w:b/>
                <w:bCs/>
                <w:smallCaps/>
                <w:sz w:val="20"/>
                <w:szCs w:val="20"/>
                <w:lang w:val="es-ES"/>
              </w:rPr>
            </w:pPr>
            <w:r>
              <w:rPr>
                <w:rFonts w:eastAsia="Calibri"/>
                <w:b/>
                <w:bCs/>
                <w:smallCaps/>
                <w:sz w:val="20"/>
                <w:szCs w:val="20"/>
                <w:lang w:val="es-ES"/>
              </w:rPr>
              <w:t>12</w:t>
            </w:r>
          </w:p>
        </w:tc>
      </w:tr>
      <w:tr w:rsidR="000334EA" w:rsidRPr="007213A1" w14:paraId="5F376571" w14:textId="77777777" w:rsidTr="00BA304B">
        <w:tc>
          <w:tcPr>
            <w:tcW w:w="9209" w:type="dxa"/>
          </w:tcPr>
          <w:p w14:paraId="35C19859" w14:textId="11D2DCC2" w:rsidR="000334EA" w:rsidRPr="007213A1" w:rsidRDefault="000334EA" w:rsidP="000334EA">
            <w:pPr>
              <w:spacing w:line="360" w:lineRule="auto"/>
              <w:ind w:left="709" w:hanging="567"/>
              <w:rPr>
                <w:rFonts w:eastAsia="Calibri"/>
                <w:b/>
                <w:bCs/>
                <w:smallCaps/>
                <w:sz w:val="20"/>
                <w:szCs w:val="20"/>
                <w:lang w:val="es-ES"/>
              </w:rPr>
            </w:pPr>
            <w:r w:rsidRPr="007213A1">
              <w:rPr>
                <w:rFonts w:eastAsia="Calibri"/>
                <w:b/>
                <w:bCs/>
                <w:smallCaps/>
                <w:sz w:val="20"/>
                <w:szCs w:val="20"/>
                <w:lang w:val="es-ES"/>
              </w:rPr>
              <w:t>II.</w:t>
            </w:r>
            <w:r w:rsidRPr="007213A1">
              <w:rPr>
                <w:rFonts w:eastAsia="Calibri"/>
                <w:b/>
                <w:bCs/>
                <w:smallCaps/>
                <w:sz w:val="20"/>
                <w:szCs w:val="20"/>
                <w:lang w:val="es-ES"/>
              </w:rPr>
              <w:tab/>
              <w:t xml:space="preserve"> DATOS ESTADÍSTICOS Y PROGRAMA PREVISTO PARA LA OFERTA</w:t>
            </w:r>
          </w:p>
        </w:tc>
        <w:tc>
          <w:tcPr>
            <w:tcW w:w="558" w:type="dxa"/>
          </w:tcPr>
          <w:p w14:paraId="5EFE5CB5" w14:textId="3E5BBED6" w:rsidR="000334EA" w:rsidRPr="00A61C89" w:rsidRDefault="00804E1F" w:rsidP="000334EA">
            <w:pPr>
              <w:spacing w:line="360" w:lineRule="auto"/>
              <w:ind w:left="709" w:hanging="567"/>
              <w:rPr>
                <w:rFonts w:eastAsia="Calibri"/>
                <w:b/>
                <w:bCs/>
                <w:smallCaps/>
                <w:sz w:val="20"/>
                <w:szCs w:val="20"/>
                <w:lang w:val="es-ES"/>
              </w:rPr>
            </w:pPr>
            <w:r>
              <w:rPr>
                <w:rFonts w:eastAsia="Calibri"/>
                <w:b/>
                <w:bCs/>
                <w:smallCaps/>
                <w:sz w:val="20"/>
                <w:szCs w:val="20"/>
                <w:lang w:val="es-ES"/>
              </w:rPr>
              <w:t>2</w:t>
            </w:r>
            <w:r w:rsidR="000701CF">
              <w:rPr>
                <w:rFonts w:eastAsia="Calibri"/>
                <w:b/>
                <w:bCs/>
                <w:smallCaps/>
                <w:sz w:val="20"/>
                <w:szCs w:val="20"/>
                <w:lang w:val="es-ES"/>
              </w:rPr>
              <w:t>1</w:t>
            </w:r>
          </w:p>
        </w:tc>
      </w:tr>
      <w:tr w:rsidR="000334EA" w:rsidRPr="007213A1" w14:paraId="4F50573D" w14:textId="77777777" w:rsidTr="00F0775A">
        <w:tc>
          <w:tcPr>
            <w:tcW w:w="9209" w:type="dxa"/>
          </w:tcPr>
          <w:p w14:paraId="6B3B8A26" w14:textId="77777777" w:rsidR="000334EA" w:rsidRPr="007213A1" w:rsidRDefault="000334EA" w:rsidP="000334EA">
            <w:pPr>
              <w:spacing w:line="360" w:lineRule="auto"/>
              <w:ind w:left="709" w:hanging="567"/>
              <w:rPr>
                <w:rFonts w:eastAsia="Calibri"/>
                <w:b/>
                <w:bCs/>
                <w:smallCaps/>
                <w:sz w:val="20"/>
                <w:szCs w:val="20"/>
                <w:lang w:val="es-ES"/>
              </w:rPr>
            </w:pPr>
            <w:r w:rsidRPr="007213A1">
              <w:rPr>
                <w:rFonts w:eastAsia="Calibri"/>
                <w:b/>
                <w:bCs/>
                <w:smallCaps/>
                <w:sz w:val="20"/>
                <w:szCs w:val="20"/>
                <w:lang w:val="es-ES"/>
              </w:rPr>
              <w:t>III.</w:t>
            </w:r>
            <w:r w:rsidRPr="007213A1">
              <w:rPr>
                <w:rFonts w:eastAsia="Calibri"/>
                <w:b/>
                <w:bCs/>
                <w:smallCaps/>
                <w:sz w:val="20"/>
                <w:szCs w:val="20"/>
                <w:lang w:val="es-ES"/>
              </w:rPr>
              <w:tab/>
              <w:t xml:space="preserve"> FACTORES DE RIESGO</w:t>
            </w:r>
          </w:p>
        </w:tc>
        <w:tc>
          <w:tcPr>
            <w:tcW w:w="558" w:type="dxa"/>
          </w:tcPr>
          <w:p w14:paraId="662FB56F" w14:textId="3D3F16E3" w:rsidR="000334EA" w:rsidRPr="00A61C89" w:rsidRDefault="00804E1F" w:rsidP="000334EA">
            <w:pPr>
              <w:spacing w:line="360" w:lineRule="auto"/>
              <w:ind w:left="709" w:hanging="567"/>
              <w:rPr>
                <w:rFonts w:eastAsia="Calibri"/>
                <w:b/>
                <w:bCs/>
                <w:smallCaps/>
                <w:sz w:val="20"/>
                <w:szCs w:val="20"/>
                <w:lang w:val="es-ES"/>
              </w:rPr>
            </w:pPr>
            <w:r>
              <w:rPr>
                <w:rFonts w:eastAsia="Calibri"/>
                <w:b/>
                <w:bCs/>
                <w:smallCaps/>
                <w:sz w:val="20"/>
                <w:szCs w:val="20"/>
                <w:lang w:val="es-ES"/>
              </w:rPr>
              <w:t>2</w:t>
            </w:r>
            <w:r w:rsidR="00657B9D">
              <w:rPr>
                <w:rFonts w:eastAsia="Calibri"/>
                <w:b/>
                <w:bCs/>
                <w:smallCaps/>
                <w:sz w:val="20"/>
                <w:szCs w:val="20"/>
                <w:lang w:val="es-ES"/>
              </w:rPr>
              <w:t>5</w:t>
            </w:r>
          </w:p>
        </w:tc>
      </w:tr>
      <w:tr w:rsidR="000334EA" w:rsidRPr="007213A1" w14:paraId="6FE243FB" w14:textId="77777777" w:rsidTr="00F0775A">
        <w:tc>
          <w:tcPr>
            <w:tcW w:w="9209" w:type="dxa"/>
          </w:tcPr>
          <w:p w14:paraId="582F98EC" w14:textId="77777777" w:rsidR="000334EA" w:rsidRPr="007213A1" w:rsidRDefault="000334EA" w:rsidP="000334EA">
            <w:pPr>
              <w:spacing w:line="360" w:lineRule="auto"/>
              <w:ind w:left="709" w:hanging="567"/>
              <w:rPr>
                <w:rFonts w:eastAsia="Calibri"/>
                <w:b/>
                <w:bCs/>
                <w:smallCaps/>
                <w:sz w:val="20"/>
                <w:szCs w:val="20"/>
                <w:lang w:val="es-ES"/>
              </w:rPr>
            </w:pPr>
            <w:r w:rsidRPr="007213A1">
              <w:rPr>
                <w:rFonts w:eastAsia="Calibri"/>
                <w:b/>
                <w:bCs/>
                <w:smallCaps/>
                <w:sz w:val="20"/>
                <w:szCs w:val="20"/>
                <w:lang w:val="es-ES"/>
              </w:rPr>
              <w:t>IV.</w:t>
            </w:r>
            <w:r w:rsidRPr="007213A1">
              <w:rPr>
                <w:rFonts w:eastAsia="Calibri"/>
                <w:b/>
                <w:bCs/>
                <w:smallCaps/>
                <w:sz w:val="20"/>
                <w:szCs w:val="20"/>
                <w:lang w:val="es-ES"/>
              </w:rPr>
              <w:tab/>
              <w:t xml:space="preserve"> POLÍTICAS DE LA EMISORA</w:t>
            </w:r>
          </w:p>
        </w:tc>
        <w:tc>
          <w:tcPr>
            <w:tcW w:w="558" w:type="dxa"/>
          </w:tcPr>
          <w:p w14:paraId="350A86CD" w14:textId="385DE49F" w:rsidR="000334EA" w:rsidRPr="00A61C89" w:rsidRDefault="00804E1F" w:rsidP="000334EA">
            <w:pPr>
              <w:spacing w:line="360" w:lineRule="auto"/>
              <w:ind w:left="709" w:hanging="567"/>
              <w:rPr>
                <w:rFonts w:eastAsia="Calibri"/>
                <w:b/>
                <w:bCs/>
                <w:smallCaps/>
                <w:sz w:val="20"/>
                <w:szCs w:val="20"/>
                <w:lang w:val="es-ES"/>
              </w:rPr>
            </w:pPr>
            <w:r>
              <w:rPr>
                <w:rFonts w:eastAsia="Calibri"/>
                <w:b/>
                <w:bCs/>
                <w:smallCaps/>
                <w:sz w:val="20"/>
                <w:szCs w:val="20"/>
                <w:lang w:val="es-ES"/>
              </w:rPr>
              <w:t>3</w:t>
            </w:r>
            <w:r w:rsidR="00657B9D">
              <w:rPr>
                <w:rFonts w:eastAsia="Calibri"/>
                <w:b/>
                <w:bCs/>
                <w:smallCaps/>
                <w:sz w:val="20"/>
                <w:szCs w:val="20"/>
                <w:lang w:val="es-ES"/>
              </w:rPr>
              <w:t>4</w:t>
            </w:r>
          </w:p>
        </w:tc>
      </w:tr>
      <w:tr w:rsidR="000334EA" w:rsidRPr="007213A1" w14:paraId="2B6536F8" w14:textId="77777777" w:rsidTr="00F0775A">
        <w:tc>
          <w:tcPr>
            <w:tcW w:w="9209" w:type="dxa"/>
          </w:tcPr>
          <w:p w14:paraId="5656E865" w14:textId="77777777" w:rsidR="000334EA" w:rsidRPr="007213A1" w:rsidRDefault="000334EA" w:rsidP="000334EA">
            <w:pPr>
              <w:spacing w:line="360" w:lineRule="auto"/>
              <w:ind w:left="709" w:hanging="567"/>
              <w:rPr>
                <w:rFonts w:eastAsia="Calibri"/>
                <w:b/>
                <w:bCs/>
                <w:smallCaps/>
                <w:sz w:val="20"/>
                <w:szCs w:val="20"/>
                <w:lang w:val="es-ES"/>
              </w:rPr>
            </w:pPr>
            <w:r w:rsidRPr="007213A1">
              <w:rPr>
                <w:rFonts w:eastAsia="Calibri"/>
                <w:b/>
                <w:bCs/>
                <w:smallCaps/>
                <w:sz w:val="20"/>
                <w:szCs w:val="20"/>
                <w:lang w:val="es-ES"/>
              </w:rPr>
              <w:t>V.</w:t>
            </w:r>
            <w:r w:rsidRPr="007213A1">
              <w:rPr>
                <w:rFonts w:eastAsia="Calibri"/>
                <w:b/>
                <w:bCs/>
                <w:smallCaps/>
                <w:sz w:val="20"/>
                <w:szCs w:val="20"/>
                <w:lang w:val="es-ES"/>
              </w:rPr>
              <w:tab/>
              <w:t xml:space="preserve"> INFORMACIÓN SOBRE LOS DIRECTORES O ADMINISTRADORES, GERENTES, PROMOTORES Y MIEMBROS DEL ÓRGANO DE FISCALIZACIÓN</w:t>
            </w:r>
          </w:p>
        </w:tc>
        <w:tc>
          <w:tcPr>
            <w:tcW w:w="558" w:type="dxa"/>
          </w:tcPr>
          <w:p w14:paraId="5F1E6067" w14:textId="05187FA8" w:rsidR="000334EA" w:rsidRPr="00A61C89" w:rsidRDefault="00804E1F" w:rsidP="000334EA">
            <w:pPr>
              <w:spacing w:line="360" w:lineRule="auto"/>
              <w:ind w:left="709" w:hanging="567"/>
              <w:rPr>
                <w:rFonts w:eastAsia="Calibri"/>
                <w:b/>
                <w:bCs/>
                <w:smallCaps/>
                <w:sz w:val="20"/>
                <w:szCs w:val="20"/>
                <w:lang w:val="es-ES"/>
              </w:rPr>
            </w:pPr>
            <w:r>
              <w:rPr>
                <w:rFonts w:eastAsia="Calibri"/>
                <w:b/>
                <w:bCs/>
                <w:smallCaps/>
                <w:sz w:val="20"/>
                <w:szCs w:val="20"/>
                <w:lang w:val="es-ES"/>
              </w:rPr>
              <w:t>3</w:t>
            </w:r>
            <w:r w:rsidR="00657B9D">
              <w:rPr>
                <w:rFonts w:eastAsia="Calibri"/>
                <w:b/>
                <w:bCs/>
                <w:smallCaps/>
                <w:sz w:val="20"/>
                <w:szCs w:val="20"/>
                <w:lang w:val="es-ES"/>
              </w:rPr>
              <w:t>6</w:t>
            </w:r>
          </w:p>
        </w:tc>
      </w:tr>
      <w:tr w:rsidR="000334EA" w:rsidRPr="007213A1" w14:paraId="2C55EEFF" w14:textId="77777777" w:rsidTr="00BA304B">
        <w:tc>
          <w:tcPr>
            <w:tcW w:w="9209" w:type="dxa"/>
          </w:tcPr>
          <w:p w14:paraId="64FAA2FB" w14:textId="77777777" w:rsidR="000334EA" w:rsidRPr="007213A1" w:rsidRDefault="000334EA" w:rsidP="000334EA">
            <w:pPr>
              <w:spacing w:line="360" w:lineRule="auto"/>
              <w:ind w:left="709" w:hanging="567"/>
              <w:rPr>
                <w:rFonts w:eastAsia="Calibri"/>
                <w:b/>
                <w:bCs/>
                <w:smallCaps/>
                <w:sz w:val="20"/>
                <w:szCs w:val="20"/>
                <w:lang w:val="es-ES"/>
              </w:rPr>
            </w:pPr>
            <w:r w:rsidRPr="007213A1">
              <w:rPr>
                <w:rFonts w:eastAsia="Calibri"/>
                <w:b/>
                <w:bCs/>
                <w:smallCaps/>
                <w:sz w:val="20"/>
                <w:szCs w:val="20"/>
                <w:lang w:val="es-ES"/>
              </w:rPr>
              <w:t>VI.</w:t>
            </w:r>
            <w:r w:rsidRPr="007213A1">
              <w:rPr>
                <w:rFonts w:eastAsia="Calibri"/>
                <w:b/>
                <w:bCs/>
                <w:smallCaps/>
                <w:sz w:val="20"/>
                <w:szCs w:val="20"/>
                <w:lang w:val="es-ES"/>
              </w:rPr>
              <w:tab/>
              <w:t xml:space="preserve"> ESTRUCTURA DE LA EMISORA, ACCIONISTAS O SOCIOS Y PARTES RELACIONADAS</w:t>
            </w:r>
          </w:p>
        </w:tc>
        <w:tc>
          <w:tcPr>
            <w:tcW w:w="558" w:type="dxa"/>
          </w:tcPr>
          <w:p w14:paraId="7E4B5DAF" w14:textId="16E726D9" w:rsidR="000334EA" w:rsidRPr="00A61C89" w:rsidRDefault="00804E1F" w:rsidP="000334EA">
            <w:pPr>
              <w:spacing w:line="360" w:lineRule="auto"/>
              <w:ind w:left="709" w:hanging="567"/>
              <w:rPr>
                <w:rFonts w:eastAsia="Calibri"/>
                <w:b/>
                <w:bCs/>
                <w:smallCaps/>
                <w:sz w:val="20"/>
                <w:szCs w:val="20"/>
                <w:lang w:val="es-ES"/>
              </w:rPr>
            </w:pPr>
            <w:r>
              <w:rPr>
                <w:rFonts w:eastAsia="Calibri"/>
                <w:b/>
                <w:bCs/>
                <w:smallCaps/>
                <w:sz w:val="20"/>
                <w:szCs w:val="20"/>
                <w:lang w:val="es-ES"/>
              </w:rPr>
              <w:t>4</w:t>
            </w:r>
            <w:r w:rsidR="000701CF">
              <w:rPr>
                <w:rFonts w:eastAsia="Calibri"/>
                <w:b/>
                <w:bCs/>
                <w:smallCaps/>
                <w:sz w:val="20"/>
                <w:szCs w:val="20"/>
                <w:lang w:val="es-ES"/>
              </w:rPr>
              <w:t>7</w:t>
            </w:r>
          </w:p>
        </w:tc>
      </w:tr>
      <w:tr w:rsidR="000334EA" w:rsidRPr="007213A1" w14:paraId="0B9F7600" w14:textId="77777777" w:rsidTr="00F0775A">
        <w:tc>
          <w:tcPr>
            <w:tcW w:w="9209" w:type="dxa"/>
          </w:tcPr>
          <w:p w14:paraId="77BE802E" w14:textId="77777777" w:rsidR="000334EA" w:rsidRPr="007213A1" w:rsidRDefault="000334EA" w:rsidP="000334EA">
            <w:pPr>
              <w:spacing w:line="360" w:lineRule="auto"/>
              <w:ind w:left="709" w:hanging="567"/>
              <w:rPr>
                <w:rFonts w:eastAsia="Calibri"/>
                <w:b/>
                <w:bCs/>
                <w:smallCaps/>
                <w:sz w:val="20"/>
                <w:szCs w:val="20"/>
                <w:lang w:val="es-ES"/>
              </w:rPr>
            </w:pPr>
            <w:r w:rsidRPr="007213A1">
              <w:rPr>
                <w:rFonts w:eastAsia="Calibri"/>
                <w:b/>
                <w:bCs/>
                <w:smallCaps/>
                <w:sz w:val="20"/>
                <w:szCs w:val="20"/>
                <w:lang w:val="es-ES"/>
              </w:rPr>
              <w:t xml:space="preserve">VII. </w:t>
            </w:r>
            <w:r w:rsidRPr="007213A1">
              <w:rPr>
                <w:rFonts w:eastAsia="Calibri"/>
                <w:b/>
                <w:bCs/>
                <w:smallCaps/>
                <w:sz w:val="20"/>
                <w:szCs w:val="20"/>
                <w:lang w:val="es-ES"/>
              </w:rPr>
              <w:tab/>
              <w:t>ACTIVOS FIJOS Y SUCURSALES DE LA EMISORA</w:t>
            </w:r>
          </w:p>
        </w:tc>
        <w:tc>
          <w:tcPr>
            <w:tcW w:w="558" w:type="dxa"/>
          </w:tcPr>
          <w:p w14:paraId="624852DB" w14:textId="6E803FA1" w:rsidR="000334EA" w:rsidRPr="00A61C89" w:rsidRDefault="00804E1F" w:rsidP="000334EA">
            <w:pPr>
              <w:spacing w:line="360" w:lineRule="auto"/>
              <w:ind w:left="709" w:hanging="567"/>
              <w:rPr>
                <w:rFonts w:eastAsia="Calibri"/>
                <w:b/>
                <w:bCs/>
                <w:smallCaps/>
                <w:sz w:val="20"/>
                <w:szCs w:val="20"/>
                <w:lang w:val="es-ES"/>
              </w:rPr>
            </w:pPr>
            <w:r>
              <w:rPr>
                <w:rFonts w:eastAsia="Calibri"/>
                <w:b/>
                <w:bCs/>
                <w:smallCaps/>
                <w:sz w:val="20"/>
                <w:szCs w:val="20"/>
                <w:lang w:val="es-ES"/>
              </w:rPr>
              <w:t>5</w:t>
            </w:r>
            <w:r w:rsidR="00657B9D">
              <w:rPr>
                <w:rFonts w:eastAsia="Calibri"/>
                <w:b/>
                <w:bCs/>
                <w:smallCaps/>
                <w:sz w:val="20"/>
                <w:szCs w:val="20"/>
                <w:lang w:val="es-ES"/>
              </w:rPr>
              <w:t>1</w:t>
            </w:r>
          </w:p>
        </w:tc>
      </w:tr>
      <w:tr w:rsidR="000334EA" w:rsidRPr="007213A1" w14:paraId="4976B84A" w14:textId="77777777" w:rsidTr="00F0775A">
        <w:tc>
          <w:tcPr>
            <w:tcW w:w="9209" w:type="dxa"/>
          </w:tcPr>
          <w:p w14:paraId="7F7E9AB0" w14:textId="77777777" w:rsidR="000334EA" w:rsidRPr="007213A1" w:rsidRDefault="000334EA" w:rsidP="000334EA">
            <w:pPr>
              <w:spacing w:line="360" w:lineRule="auto"/>
              <w:ind w:left="709" w:hanging="567"/>
              <w:rPr>
                <w:rFonts w:eastAsia="Calibri"/>
                <w:b/>
                <w:bCs/>
                <w:smallCaps/>
                <w:sz w:val="20"/>
                <w:szCs w:val="20"/>
                <w:lang w:val="es-ES"/>
              </w:rPr>
            </w:pPr>
            <w:r w:rsidRPr="007213A1">
              <w:rPr>
                <w:rFonts w:eastAsia="Calibri"/>
                <w:b/>
                <w:bCs/>
                <w:smallCaps/>
                <w:sz w:val="20"/>
                <w:szCs w:val="20"/>
                <w:lang w:val="es-ES"/>
              </w:rPr>
              <w:t>VIII.</w:t>
            </w:r>
            <w:r w:rsidRPr="007213A1">
              <w:rPr>
                <w:rFonts w:eastAsia="Calibri"/>
                <w:b/>
                <w:bCs/>
                <w:smallCaps/>
                <w:sz w:val="20"/>
                <w:szCs w:val="20"/>
                <w:lang w:val="es-ES"/>
              </w:rPr>
              <w:tab/>
              <w:t xml:space="preserve"> ANTECEDENTES FINANCIEROS</w:t>
            </w:r>
          </w:p>
        </w:tc>
        <w:tc>
          <w:tcPr>
            <w:tcW w:w="558" w:type="dxa"/>
          </w:tcPr>
          <w:p w14:paraId="37015716" w14:textId="4915EE56" w:rsidR="000334EA" w:rsidRPr="00A61C89" w:rsidRDefault="000A6C12" w:rsidP="000334EA">
            <w:pPr>
              <w:spacing w:line="360" w:lineRule="auto"/>
              <w:ind w:left="709" w:hanging="567"/>
              <w:rPr>
                <w:rFonts w:eastAsia="Calibri"/>
                <w:b/>
                <w:bCs/>
                <w:smallCaps/>
                <w:sz w:val="20"/>
                <w:szCs w:val="20"/>
                <w:lang w:val="es-ES"/>
              </w:rPr>
            </w:pPr>
            <w:r>
              <w:rPr>
                <w:rFonts w:eastAsia="Calibri"/>
                <w:b/>
                <w:bCs/>
                <w:smallCaps/>
                <w:sz w:val="20"/>
                <w:szCs w:val="20"/>
                <w:lang w:val="es-ES"/>
              </w:rPr>
              <w:t>5</w:t>
            </w:r>
            <w:r w:rsidR="00657B9D">
              <w:rPr>
                <w:rFonts w:eastAsia="Calibri"/>
                <w:b/>
                <w:bCs/>
                <w:smallCaps/>
                <w:sz w:val="20"/>
                <w:szCs w:val="20"/>
                <w:lang w:val="es-ES"/>
              </w:rPr>
              <w:t>2</w:t>
            </w:r>
          </w:p>
        </w:tc>
      </w:tr>
      <w:tr w:rsidR="000334EA" w:rsidRPr="007213A1" w14:paraId="7FB8B0A4" w14:textId="77777777" w:rsidTr="00BA304B">
        <w:tc>
          <w:tcPr>
            <w:tcW w:w="9209" w:type="dxa"/>
          </w:tcPr>
          <w:p w14:paraId="6A88CBCB" w14:textId="77777777" w:rsidR="000334EA" w:rsidRPr="007213A1" w:rsidRDefault="000334EA" w:rsidP="000334EA">
            <w:pPr>
              <w:spacing w:line="360" w:lineRule="auto"/>
              <w:ind w:left="709" w:hanging="567"/>
              <w:rPr>
                <w:rFonts w:eastAsia="Calibri"/>
                <w:b/>
                <w:bCs/>
                <w:smallCaps/>
                <w:sz w:val="20"/>
                <w:szCs w:val="20"/>
                <w:lang w:val="es-ES"/>
              </w:rPr>
            </w:pPr>
            <w:r w:rsidRPr="007213A1">
              <w:rPr>
                <w:rFonts w:eastAsia="Calibri"/>
                <w:b/>
                <w:bCs/>
                <w:smallCaps/>
                <w:sz w:val="20"/>
                <w:szCs w:val="20"/>
                <w:lang w:val="es-ES"/>
              </w:rPr>
              <w:t>IX.</w:t>
            </w:r>
            <w:r w:rsidRPr="007213A1">
              <w:rPr>
                <w:rFonts w:eastAsia="Calibri"/>
                <w:b/>
                <w:bCs/>
                <w:smallCaps/>
                <w:sz w:val="20"/>
                <w:szCs w:val="20"/>
                <w:lang w:val="es-ES"/>
              </w:rPr>
              <w:tab/>
              <w:t xml:space="preserve"> DE LA OFERTA, LISTADO Y NEGOCIACIÓN DE LAS OBLIGACIONES NEGOCIABLES</w:t>
            </w:r>
          </w:p>
        </w:tc>
        <w:tc>
          <w:tcPr>
            <w:tcW w:w="558" w:type="dxa"/>
          </w:tcPr>
          <w:p w14:paraId="1CFF0D94" w14:textId="310CCC15" w:rsidR="000334EA" w:rsidRPr="00A61C89" w:rsidRDefault="000A6C12" w:rsidP="000334EA">
            <w:pPr>
              <w:spacing w:line="360" w:lineRule="auto"/>
              <w:ind w:left="709" w:hanging="567"/>
              <w:rPr>
                <w:rFonts w:eastAsia="Calibri"/>
                <w:b/>
                <w:bCs/>
                <w:smallCaps/>
                <w:sz w:val="20"/>
                <w:szCs w:val="20"/>
                <w:lang w:val="es-ES"/>
              </w:rPr>
            </w:pPr>
            <w:r>
              <w:rPr>
                <w:rFonts w:eastAsia="Calibri"/>
                <w:b/>
                <w:bCs/>
                <w:smallCaps/>
                <w:sz w:val="20"/>
                <w:szCs w:val="20"/>
                <w:lang w:val="es-ES"/>
              </w:rPr>
              <w:t>7</w:t>
            </w:r>
            <w:r w:rsidR="000701CF">
              <w:rPr>
                <w:rFonts w:eastAsia="Calibri"/>
                <w:b/>
                <w:bCs/>
                <w:smallCaps/>
                <w:sz w:val="20"/>
                <w:szCs w:val="20"/>
                <w:lang w:val="es-ES"/>
              </w:rPr>
              <w:t>7</w:t>
            </w:r>
          </w:p>
        </w:tc>
      </w:tr>
      <w:tr w:rsidR="000334EA" w:rsidRPr="007213A1" w14:paraId="70873B62" w14:textId="77777777" w:rsidTr="00BA304B">
        <w:trPr>
          <w:trHeight w:val="511"/>
        </w:trPr>
        <w:tc>
          <w:tcPr>
            <w:tcW w:w="9209" w:type="dxa"/>
          </w:tcPr>
          <w:p w14:paraId="6B5D8786" w14:textId="77777777" w:rsidR="000334EA" w:rsidRPr="007213A1" w:rsidRDefault="000334EA" w:rsidP="000334EA">
            <w:pPr>
              <w:spacing w:line="360" w:lineRule="auto"/>
              <w:ind w:left="709" w:hanging="567"/>
              <w:rPr>
                <w:rFonts w:eastAsia="Calibri"/>
                <w:b/>
                <w:bCs/>
                <w:smallCaps/>
                <w:sz w:val="20"/>
                <w:szCs w:val="20"/>
                <w:lang w:val="es-ES"/>
              </w:rPr>
            </w:pPr>
            <w:r w:rsidRPr="007213A1">
              <w:rPr>
                <w:rFonts w:eastAsia="Calibri"/>
                <w:b/>
                <w:bCs/>
                <w:smallCaps/>
                <w:sz w:val="20"/>
                <w:szCs w:val="20"/>
                <w:lang w:val="es-ES"/>
              </w:rPr>
              <w:t xml:space="preserve">X. </w:t>
            </w:r>
            <w:r w:rsidRPr="007213A1">
              <w:rPr>
                <w:rFonts w:eastAsia="Calibri"/>
                <w:b/>
                <w:bCs/>
                <w:smallCaps/>
                <w:sz w:val="20"/>
                <w:szCs w:val="20"/>
                <w:lang w:val="es-ES"/>
              </w:rPr>
              <w:tab/>
              <w:t>INFORMACIÓN ADICIONAL</w:t>
            </w:r>
          </w:p>
        </w:tc>
        <w:tc>
          <w:tcPr>
            <w:tcW w:w="558" w:type="dxa"/>
          </w:tcPr>
          <w:p w14:paraId="7E251AEF" w14:textId="78A48572" w:rsidR="000334EA" w:rsidRPr="00A61C89" w:rsidRDefault="000701CF" w:rsidP="000334EA">
            <w:pPr>
              <w:spacing w:line="360" w:lineRule="auto"/>
              <w:ind w:left="709" w:hanging="567"/>
              <w:rPr>
                <w:rFonts w:eastAsia="Calibri"/>
                <w:b/>
                <w:bCs/>
                <w:smallCaps/>
                <w:sz w:val="20"/>
                <w:szCs w:val="20"/>
                <w:lang w:val="es-ES"/>
              </w:rPr>
            </w:pPr>
            <w:r>
              <w:rPr>
                <w:rFonts w:eastAsia="Calibri"/>
                <w:b/>
                <w:bCs/>
                <w:smallCaps/>
                <w:sz w:val="20"/>
                <w:szCs w:val="20"/>
                <w:lang w:val="es-ES"/>
              </w:rPr>
              <w:t>93</w:t>
            </w:r>
          </w:p>
        </w:tc>
      </w:tr>
      <w:tr w:rsidR="000A6C12" w:rsidRPr="00A61C89" w14:paraId="5DF5430A" w14:textId="77777777" w:rsidTr="00BA304B">
        <w:trPr>
          <w:trHeight w:val="511"/>
        </w:trPr>
        <w:tc>
          <w:tcPr>
            <w:tcW w:w="9209" w:type="dxa"/>
          </w:tcPr>
          <w:p w14:paraId="52231584" w14:textId="7DF8200C" w:rsidR="000A6C12" w:rsidRPr="007213A1" w:rsidRDefault="000A6C12" w:rsidP="00776A7F">
            <w:pPr>
              <w:spacing w:line="360" w:lineRule="auto"/>
              <w:ind w:left="709" w:hanging="567"/>
              <w:rPr>
                <w:rFonts w:eastAsia="Calibri"/>
                <w:b/>
                <w:bCs/>
                <w:smallCaps/>
                <w:sz w:val="20"/>
                <w:szCs w:val="20"/>
                <w:lang w:val="es-ES"/>
              </w:rPr>
            </w:pPr>
            <w:r w:rsidRPr="007213A1">
              <w:rPr>
                <w:rFonts w:eastAsia="Calibri"/>
                <w:b/>
                <w:bCs/>
                <w:smallCaps/>
                <w:sz w:val="20"/>
                <w:szCs w:val="20"/>
                <w:lang w:val="es-ES"/>
              </w:rPr>
              <w:t>X</w:t>
            </w:r>
            <w:r>
              <w:rPr>
                <w:rFonts w:eastAsia="Calibri"/>
                <w:b/>
                <w:bCs/>
                <w:smallCaps/>
                <w:sz w:val="20"/>
                <w:szCs w:val="20"/>
                <w:lang w:val="es-ES"/>
              </w:rPr>
              <w:t xml:space="preserve">I. </w:t>
            </w:r>
            <w:r>
              <w:rPr>
                <w:rFonts w:eastAsia="Calibri"/>
                <w:b/>
                <w:bCs/>
                <w:smallCaps/>
                <w:sz w:val="20"/>
                <w:szCs w:val="20"/>
                <w:lang w:val="es-ES"/>
              </w:rPr>
              <w:tab/>
              <w:t>INCORPORACIÓN DE INFORMACIÓN POR REFERENCIA</w:t>
            </w:r>
          </w:p>
        </w:tc>
        <w:tc>
          <w:tcPr>
            <w:tcW w:w="558" w:type="dxa"/>
          </w:tcPr>
          <w:p w14:paraId="26FD4964" w14:textId="5AA057DB" w:rsidR="000A6C12" w:rsidRPr="004C2CEC" w:rsidRDefault="000701CF" w:rsidP="004C2CEC">
            <w:pPr>
              <w:spacing w:line="360" w:lineRule="auto"/>
              <w:ind w:left="709" w:hanging="567"/>
              <w:rPr>
                <w:rFonts w:eastAsia="Calibri"/>
                <w:b/>
                <w:smallCaps/>
                <w:sz w:val="20"/>
                <w:lang w:val="es-ES"/>
              </w:rPr>
            </w:pPr>
            <w:r>
              <w:rPr>
                <w:rFonts w:eastAsia="Calibri"/>
                <w:b/>
                <w:bCs/>
                <w:smallCaps/>
                <w:sz w:val="20"/>
                <w:szCs w:val="20"/>
                <w:lang w:val="es-ES"/>
              </w:rPr>
              <w:t>114</w:t>
            </w:r>
          </w:p>
        </w:tc>
      </w:tr>
      <w:tr w:rsidR="000A6C12" w:rsidRPr="000A6C12" w14:paraId="29E9C40D" w14:textId="77777777" w:rsidTr="00BA304B">
        <w:trPr>
          <w:trHeight w:val="511"/>
        </w:trPr>
        <w:tc>
          <w:tcPr>
            <w:tcW w:w="9209" w:type="dxa"/>
          </w:tcPr>
          <w:p w14:paraId="17A1DCE5" w14:textId="77777777" w:rsidR="000A6C12" w:rsidRPr="007213A1" w:rsidRDefault="000A6C12" w:rsidP="000334EA">
            <w:pPr>
              <w:spacing w:line="360" w:lineRule="auto"/>
              <w:ind w:left="709" w:hanging="567"/>
              <w:rPr>
                <w:rFonts w:eastAsia="Calibri"/>
                <w:b/>
                <w:bCs/>
                <w:smallCaps/>
                <w:sz w:val="20"/>
                <w:szCs w:val="20"/>
                <w:lang w:val="es-ES"/>
              </w:rPr>
            </w:pPr>
          </w:p>
        </w:tc>
        <w:tc>
          <w:tcPr>
            <w:tcW w:w="558" w:type="dxa"/>
          </w:tcPr>
          <w:p w14:paraId="37A401E7" w14:textId="77777777" w:rsidR="000A6C12" w:rsidRDefault="000A6C12" w:rsidP="000334EA">
            <w:pPr>
              <w:spacing w:line="360" w:lineRule="auto"/>
              <w:ind w:left="709" w:hanging="567"/>
              <w:rPr>
                <w:rFonts w:eastAsia="Calibri"/>
                <w:b/>
                <w:bCs/>
                <w:smallCaps/>
                <w:sz w:val="20"/>
                <w:szCs w:val="20"/>
                <w:lang w:val="es-ES"/>
              </w:rPr>
            </w:pPr>
          </w:p>
        </w:tc>
      </w:tr>
      <w:tr w:rsidR="000334EA" w:rsidRPr="000A6C12" w14:paraId="65D557D0" w14:textId="77777777" w:rsidTr="00BA304B">
        <w:trPr>
          <w:trHeight w:val="511"/>
        </w:trPr>
        <w:tc>
          <w:tcPr>
            <w:tcW w:w="9209" w:type="dxa"/>
          </w:tcPr>
          <w:p w14:paraId="0EFE027C" w14:textId="28801CB9" w:rsidR="000334EA" w:rsidRPr="007213A1" w:rsidRDefault="000334EA" w:rsidP="000A6C12">
            <w:pPr>
              <w:spacing w:line="360" w:lineRule="auto"/>
              <w:ind w:left="709" w:hanging="567"/>
              <w:rPr>
                <w:rFonts w:eastAsia="Calibri"/>
                <w:b/>
                <w:bCs/>
                <w:smallCaps/>
                <w:sz w:val="20"/>
                <w:szCs w:val="20"/>
                <w:lang w:val="es-ES"/>
              </w:rPr>
            </w:pPr>
          </w:p>
        </w:tc>
        <w:tc>
          <w:tcPr>
            <w:tcW w:w="558" w:type="dxa"/>
          </w:tcPr>
          <w:p w14:paraId="41B20778" w14:textId="77777777" w:rsidR="000334EA" w:rsidRPr="007213A1" w:rsidRDefault="000334EA" w:rsidP="000334EA">
            <w:pPr>
              <w:spacing w:line="360" w:lineRule="auto"/>
              <w:ind w:hanging="567"/>
              <w:rPr>
                <w:rFonts w:eastAsia="Calibri"/>
                <w:b/>
                <w:bCs/>
                <w:smallCaps/>
                <w:sz w:val="20"/>
                <w:szCs w:val="20"/>
                <w:highlight w:val="yellow"/>
                <w:lang w:val="es-ES"/>
              </w:rPr>
            </w:pPr>
          </w:p>
        </w:tc>
      </w:tr>
    </w:tbl>
    <w:p w14:paraId="4496C2DE" w14:textId="3FFF4A6C" w:rsidR="000334EA" w:rsidRPr="007213A1" w:rsidRDefault="000334EA" w:rsidP="000334EA">
      <w:pPr>
        <w:pStyle w:val="Textpara"/>
        <w:tabs>
          <w:tab w:val="clear" w:pos="9000"/>
        </w:tabs>
        <w:autoSpaceDE/>
        <w:autoSpaceDN/>
        <w:adjustRightInd/>
        <w:spacing w:after="0"/>
        <w:rPr>
          <w:b/>
          <w:bCs/>
          <w:smallCaps/>
          <w:color w:val="000000"/>
          <w:lang w:val="es-MX"/>
        </w:rPr>
      </w:pPr>
    </w:p>
    <w:p w14:paraId="66BEA599" w14:textId="77777777" w:rsidR="000334EA" w:rsidRPr="007213A1" w:rsidRDefault="000334EA">
      <w:pPr>
        <w:rPr>
          <w:b/>
          <w:bCs/>
          <w:smallCaps/>
          <w:color w:val="000000"/>
          <w:sz w:val="20"/>
          <w:szCs w:val="20"/>
          <w:lang w:val="es-MX"/>
        </w:rPr>
      </w:pPr>
      <w:r w:rsidRPr="00112B9F">
        <w:rPr>
          <w:b/>
          <w:bCs/>
          <w:smallCaps/>
          <w:color w:val="000000"/>
          <w:sz w:val="20"/>
          <w:szCs w:val="20"/>
          <w:lang w:val="es-MX"/>
        </w:rPr>
        <w:br w:type="page"/>
      </w:r>
    </w:p>
    <w:p w14:paraId="3AE3CE73" w14:textId="545746B2" w:rsidR="000334EA" w:rsidRPr="007213A1" w:rsidRDefault="000334EA" w:rsidP="00512442">
      <w:pPr>
        <w:pStyle w:val="Textpara"/>
        <w:numPr>
          <w:ilvl w:val="0"/>
          <w:numId w:val="60"/>
        </w:numPr>
        <w:tabs>
          <w:tab w:val="clear" w:pos="9000"/>
        </w:tabs>
        <w:autoSpaceDE/>
        <w:autoSpaceDN/>
        <w:adjustRightInd/>
        <w:spacing w:after="0"/>
        <w:jc w:val="center"/>
        <w:rPr>
          <w:b/>
          <w:bCs/>
          <w:smallCaps/>
          <w:color w:val="000000"/>
          <w:lang w:val="es-MX"/>
        </w:rPr>
      </w:pPr>
      <w:r w:rsidRPr="007213A1">
        <w:rPr>
          <w:b/>
          <w:bCs/>
          <w:smallCaps/>
          <w:color w:val="000000"/>
          <w:lang w:val="es-MX"/>
        </w:rPr>
        <w:t xml:space="preserve"> INFORMACION DE LA EMISORA</w:t>
      </w:r>
    </w:p>
    <w:p w14:paraId="5073F2E2" w14:textId="77777777" w:rsidR="000334EA" w:rsidRPr="007213A1" w:rsidRDefault="000334EA" w:rsidP="000334EA">
      <w:pPr>
        <w:pStyle w:val="Textpara"/>
        <w:tabs>
          <w:tab w:val="clear" w:pos="9000"/>
        </w:tabs>
        <w:autoSpaceDE/>
        <w:autoSpaceDN/>
        <w:adjustRightInd/>
        <w:spacing w:after="0"/>
        <w:rPr>
          <w:b/>
          <w:bCs/>
          <w:smallCaps/>
          <w:color w:val="000000"/>
          <w:lang w:val="es-MX"/>
        </w:rPr>
      </w:pPr>
    </w:p>
    <w:p w14:paraId="0B39B187" w14:textId="32F26572" w:rsidR="000334EA" w:rsidRPr="007213A1" w:rsidRDefault="00606056" w:rsidP="000334EA">
      <w:pPr>
        <w:pStyle w:val="Prrafodelista"/>
        <w:widowControl w:val="0"/>
        <w:numPr>
          <w:ilvl w:val="0"/>
          <w:numId w:val="35"/>
        </w:numPr>
        <w:suppressLineNumbers/>
        <w:suppressAutoHyphens/>
        <w:jc w:val="both"/>
        <w:rPr>
          <w:rFonts w:ascii="Times New Roman" w:hAnsi="Times New Roman"/>
          <w:b/>
          <w:sz w:val="20"/>
          <w:szCs w:val="20"/>
          <w:lang w:val="es-ES" w:eastAsia="es-ES"/>
        </w:rPr>
      </w:pPr>
      <w:r>
        <w:rPr>
          <w:rFonts w:ascii="Times New Roman" w:hAnsi="Times New Roman"/>
          <w:b/>
          <w:sz w:val="20"/>
          <w:szCs w:val="20"/>
          <w:lang w:val="es-ES" w:eastAsia="es-ES"/>
        </w:rPr>
        <w:t>Datos y r</w:t>
      </w:r>
      <w:r w:rsidR="000334EA" w:rsidRPr="007213A1">
        <w:rPr>
          <w:rFonts w:ascii="Times New Roman" w:hAnsi="Times New Roman"/>
          <w:b/>
          <w:sz w:val="20"/>
          <w:szCs w:val="20"/>
          <w:lang w:val="es-ES" w:eastAsia="es-ES"/>
        </w:rPr>
        <w:t>eseña histórica de la emisora</w:t>
      </w:r>
    </w:p>
    <w:p w14:paraId="3F5C5153" w14:textId="77777777" w:rsidR="000334EA" w:rsidRPr="007213A1" w:rsidRDefault="000334EA" w:rsidP="000334EA">
      <w:pPr>
        <w:widowControl w:val="0"/>
        <w:suppressLineNumbers/>
        <w:suppressAutoHyphens/>
        <w:jc w:val="both"/>
        <w:rPr>
          <w:b/>
          <w:sz w:val="20"/>
          <w:szCs w:val="20"/>
          <w:lang w:val="es-ES" w:eastAsia="es-ES"/>
        </w:rPr>
      </w:pPr>
    </w:p>
    <w:p w14:paraId="2BD87834" w14:textId="3524DBB5" w:rsidR="000334EA" w:rsidRPr="007213A1" w:rsidRDefault="000334EA" w:rsidP="000334EA">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 xml:space="preserve">INVAP es una sociedad del estado constituida de acuerdo a las leyes de la República Argentina. INVAP se constituyó el 1 de septiembre de 1976 </w:t>
      </w:r>
      <w:r w:rsidR="00F542E5" w:rsidRPr="007213A1">
        <w:rPr>
          <w:color w:val="000000"/>
          <w:sz w:val="20"/>
          <w:szCs w:val="20"/>
          <w:lang w:val="es-AR"/>
        </w:rPr>
        <w:t>e inscripta en el Registro Público de Comercio de San Carlos de Bariloche el día 1 de octubre de 1976. D</w:t>
      </w:r>
      <w:r w:rsidRPr="007213A1">
        <w:rPr>
          <w:color w:val="000000"/>
          <w:sz w:val="20"/>
          <w:szCs w:val="20"/>
          <w:lang w:val="es-AR"/>
        </w:rPr>
        <w:t>e conformidad con sus estatutos, la duración de la misma es hasta el 1 de octubre de 2075, pudiendo dicho plazo prolongarse por medio de una resolución tomada en una asamblea extraordinaria de accionistas. Conforme a lo establecido en el Artículo Primero del Estatuto Social, INVAP tiene su domicilio legal y fiscal en Comandante Luis Piedrabuena 4950, San Carlos de Bariloche, Provincia de Río Negro.</w:t>
      </w:r>
    </w:p>
    <w:p w14:paraId="2A8839A9"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tbl>
      <w:tblPr>
        <w:tblW w:w="8820" w:type="dxa"/>
        <w:jc w:val="center"/>
        <w:tblBorders>
          <w:top w:val="single" w:sz="4" w:space="0" w:color="auto"/>
          <w:bottom w:val="single" w:sz="4" w:space="0" w:color="auto"/>
          <w:insideH w:val="single" w:sz="4" w:space="0" w:color="auto"/>
        </w:tblBorders>
        <w:tblLayout w:type="fixed"/>
        <w:tblCellMar>
          <w:left w:w="28" w:type="dxa"/>
          <w:right w:w="28" w:type="dxa"/>
        </w:tblCellMar>
        <w:tblLook w:val="0000" w:firstRow="0" w:lastRow="0" w:firstColumn="0" w:lastColumn="0" w:noHBand="0" w:noVBand="0"/>
      </w:tblPr>
      <w:tblGrid>
        <w:gridCol w:w="2114"/>
        <w:gridCol w:w="6706"/>
      </w:tblGrid>
      <w:tr w:rsidR="000334EA" w:rsidRPr="007213A1" w14:paraId="6530AAF0" w14:textId="77777777" w:rsidTr="00BA304B">
        <w:trPr>
          <w:jc w:val="center"/>
        </w:trPr>
        <w:tc>
          <w:tcPr>
            <w:tcW w:w="2114" w:type="dxa"/>
          </w:tcPr>
          <w:p w14:paraId="4718C8E8" w14:textId="77777777" w:rsidR="000334EA" w:rsidRPr="007213A1" w:rsidRDefault="000334EA" w:rsidP="000334EA">
            <w:pPr>
              <w:tabs>
                <w:tab w:val="left" w:pos="9543"/>
              </w:tabs>
              <w:jc w:val="both"/>
              <w:rPr>
                <w:color w:val="000000"/>
                <w:sz w:val="20"/>
                <w:szCs w:val="20"/>
                <w:lang w:val="es-AR"/>
              </w:rPr>
            </w:pPr>
            <w:r w:rsidRPr="007213A1">
              <w:rPr>
                <w:color w:val="000000"/>
                <w:sz w:val="20"/>
                <w:szCs w:val="20"/>
                <w:lang w:val="es-AR"/>
              </w:rPr>
              <w:t>Denominación</w:t>
            </w:r>
          </w:p>
        </w:tc>
        <w:tc>
          <w:tcPr>
            <w:tcW w:w="6706" w:type="dxa"/>
          </w:tcPr>
          <w:p w14:paraId="1CE0552F" w14:textId="77777777" w:rsidR="000334EA" w:rsidRPr="007213A1" w:rsidRDefault="000334EA" w:rsidP="000334EA">
            <w:pPr>
              <w:rPr>
                <w:color w:val="000000"/>
                <w:sz w:val="20"/>
                <w:szCs w:val="20"/>
                <w:lang w:val="es-AR"/>
              </w:rPr>
            </w:pPr>
            <w:r w:rsidRPr="007213A1">
              <w:rPr>
                <w:color w:val="000000"/>
                <w:sz w:val="20"/>
                <w:szCs w:val="20"/>
                <w:lang w:val="es-AR"/>
              </w:rPr>
              <w:t>INVAP S.E.</w:t>
            </w:r>
          </w:p>
        </w:tc>
      </w:tr>
      <w:tr w:rsidR="000334EA" w:rsidRPr="007213A1" w14:paraId="5F4D202C" w14:textId="77777777" w:rsidTr="00BA304B">
        <w:trPr>
          <w:jc w:val="center"/>
        </w:trPr>
        <w:tc>
          <w:tcPr>
            <w:tcW w:w="2114" w:type="dxa"/>
          </w:tcPr>
          <w:p w14:paraId="171AA23D" w14:textId="77777777" w:rsidR="000334EA" w:rsidRPr="007213A1" w:rsidRDefault="000334EA" w:rsidP="000334EA">
            <w:pPr>
              <w:rPr>
                <w:color w:val="000000"/>
                <w:sz w:val="20"/>
                <w:szCs w:val="20"/>
                <w:lang w:val="es-AR"/>
              </w:rPr>
            </w:pPr>
            <w:r w:rsidRPr="007213A1">
              <w:rPr>
                <w:color w:val="000000"/>
                <w:sz w:val="20"/>
                <w:szCs w:val="20"/>
                <w:lang w:val="es-AR"/>
              </w:rPr>
              <w:t>Forma legal</w:t>
            </w:r>
          </w:p>
        </w:tc>
        <w:tc>
          <w:tcPr>
            <w:tcW w:w="6706" w:type="dxa"/>
          </w:tcPr>
          <w:p w14:paraId="73CECAF5" w14:textId="77777777" w:rsidR="000334EA" w:rsidRPr="007213A1" w:rsidRDefault="000334EA" w:rsidP="000334EA">
            <w:pPr>
              <w:rPr>
                <w:color w:val="000000"/>
                <w:sz w:val="20"/>
                <w:szCs w:val="20"/>
                <w:lang w:val="es-AR"/>
              </w:rPr>
            </w:pPr>
            <w:r w:rsidRPr="007213A1">
              <w:rPr>
                <w:color w:val="000000"/>
                <w:sz w:val="20"/>
                <w:szCs w:val="20"/>
                <w:lang w:val="es-AR"/>
              </w:rPr>
              <w:t>Sociedad del Estado</w:t>
            </w:r>
          </w:p>
        </w:tc>
      </w:tr>
      <w:tr w:rsidR="000334EA" w:rsidRPr="007213A1" w14:paraId="63C8447E" w14:textId="77777777" w:rsidTr="00BA304B">
        <w:trPr>
          <w:jc w:val="center"/>
        </w:trPr>
        <w:tc>
          <w:tcPr>
            <w:tcW w:w="2114" w:type="dxa"/>
          </w:tcPr>
          <w:p w14:paraId="2CD82BE6" w14:textId="77777777" w:rsidR="000334EA" w:rsidRPr="007213A1" w:rsidRDefault="000334EA" w:rsidP="000334EA">
            <w:pPr>
              <w:rPr>
                <w:color w:val="000000"/>
                <w:sz w:val="20"/>
                <w:szCs w:val="20"/>
                <w:lang w:val="es-AR"/>
              </w:rPr>
            </w:pPr>
            <w:r w:rsidRPr="007213A1">
              <w:rPr>
                <w:color w:val="000000"/>
                <w:sz w:val="20"/>
                <w:szCs w:val="20"/>
                <w:lang w:val="es-AR"/>
              </w:rPr>
              <w:t>Fecha de constitución</w:t>
            </w:r>
          </w:p>
        </w:tc>
        <w:tc>
          <w:tcPr>
            <w:tcW w:w="6706" w:type="dxa"/>
          </w:tcPr>
          <w:p w14:paraId="7C18F051" w14:textId="77777777" w:rsidR="000334EA" w:rsidRPr="007213A1" w:rsidRDefault="000334EA" w:rsidP="000334EA">
            <w:pPr>
              <w:rPr>
                <w:color w:val="000000"/>
                <w:sz w:val="20"/>
                <w:szCs w:val="20"/>
                <w:lang w:val="es-AR"/>
              </w:rPr>
            </w:pPr>
            <w:r w:rsidRPr="007213A1">
              <w:rPr>
                <w:color w:val="000000"/>
                <w:sz w:val="20"/>
                <w:szCs w:val="20"/>
                <w:lang w:val="es-AR"/>
              </w:rPr>
              <w:t>1 de septiembre de 1976</w:t>
            </w:r>
          </w:p>
        </w:tc>
      </w:tr>
      <w:tr w:rsidR="000334EA" w:rsidRPr="00512442" w14:paraId="182EC6AE" w14:textId="77777777" w:rsidTr="00BA304B">
        <w:trPr>
          <w:jc w:val="center"/>
        </w:trPr>
        <w:tc>
          <w:tcPr>
            <w:tcW w:w="2114" w:type="dxa"/>
          </w:tcPr>
          <w:p w14:paraId="14F8735D" w14:textId="77777777" w:rsidR="000334EA" w:rsidRPr="007213A1" w:rsidRDefault="000334EA" w:rsidP="000334EA">
            <w:pPr>
              <w:rPr>
                <w:color w:val="000000"/>
                <w:sz w:val="20"/>
                <w:szCs w:val="20"/>
                <w:lang w:val="es-AR"/>
              </w:rPr>
            </w:pPr>
            <w:r w:rsidRPr="007213A1">
              <w:rPr>
                <w:color w:val="000000"/>
                <w:sz w:val="20"/>
                <w:szCs w:val="20"/>
                <w:lang w:val="es-AR"/>
              </w:rPr>
              <w:t>Plazo de duración</w:t>
            </w:r>
          </w:p>
        </w:tc>
        <w:tc>
          <w:tcPr>
            <w:tcW w:w="6706" w:type="dxa"/>
          </w:tcPr>
          <w:p w14:paraId="1A6E653E" w14:textId="77777777" w:rsidR="000334EA" w:rsidRPr="007213A1" w:rsidRDefault="000334EA" w:rsidP="000334EA">
            <w:pPr>
              <w:rPr>
                <w:color w:val="000000"/>
                <w:sz w:val="20"/>
                <w:szCs w:val="20"/>
                <w:lang w:val="es-AR"/>
              </w:rPr>
            </w:pPr>
            <w:r w:rsidRPr="007213A1">
              <w:rPr>
                <w:color w:val="000000"/>
                <w:sz w:val="20"/>
                <w:szCs w:val="20"/>
                <w:lang w:val="es-AR"/>
              </w:rPr>
              <w:t>Conforme a sus estatutos, hasta el 1 de octubre del año 2075, sin perjuicio de poder ser prorrogado dicho término por resolución de una asamblea general.</w:t>
            </w:r>
          </w:p>
        </w:tc>
      </w:tr>
      <w:tr w:rsidR="000334EA" w:rsidRPr="00512442" w14:paraId="1701A6AD" w14:textId="77777777" w:rsidTr="00BA304B">
        <w:trPr>
          <w:jc w:val="center"/>
        </w:trPr>
        <w:tc>
          <w:tcPr>
            <w:tcW w:w="2114" w:type="dxa"/>
          </w:tcPr>
          <w:p w14:paraId="5588BBCE" w14:textId="77777777" w:rsidR="000334EA" w:rsidRPr="007213A1" w:rsidRDefault="000334EA" w:rsidP="000334EA">
            <w:pPr>
              <w:rPr>
                <w:color w:val="000000"/>
                <w:sz w:val="20"/>
                <w:szCs w:val="20"/>
                <w:lang w:val="es-AR"/>
              </w:rPr>
            </w:pPr>
            <w:r w:rsidRPr="007213A1">
              <w:rPr>
                <w:color w:val="000000"/>
                <w:sz w:val="20"/>
                <w:szCs w:val="20"/>
                <w:lang w:val="es-AR"/>
              </w:rPr>
              <w:t>Legislación aplicable</w:t>
            </w:r>
          </w:p>
        </w:tc>
        <w:tc>
          <w:tcPr>
            <w:tcW w:w="6706" w:type="dxa"/>
          </w:tcPr>
          <w:p w14:paraId="7999A952" w14:textId="77777777" w:rsidR="000334EA" w:rsidRPr="007213A1" w:rsidRDefault="000334EA" w:rsidP="000334EA">
            <w:pPr>
              <w:rPr>
                <w:color w:val="000000"/>
                <w:sz w:val="20"/>
                <w:szCs w:val="20"/>
                <w:lang w:val="es-AR"/>
              </w:rPr>
            </w:pPr>
            <w:r w:rsidRPr="007213A1">
              <w:rPr>
                <w:color w:val="000000"/>
                <w:sz w:val="20"/>
                <w:szCs w:val="20"/>
                <w:lang w:val="es-AR"/>
              </w:rPr>
              <w:t>La sociedad está sujeta a la legislación vigente en la República Argentina</w:t>
            </w:r>
          </w:p>
        </w:tc>
      </w:tr>
      <w:tr w:rsidR="000334EA" w:rsidRPr="00512442" w14:paraId="4F2F500E" w14:textId="77777777" w:rsidTr="00BA304B">
        <w:trPr>
          <w:jc w:val="center"/>
        </w:trPr>
        <w:tc>
          <w:tcPr>
            <w:tcW w:w="2114" w:type="dxa"/>
          </w:tcPr>
          <w:p w14:paraId="3564064D" w14:textId="77777777" w:rsidR="000334EA" w:rsidRPr="007213A1" w:rsidRDefault="000334EA" w:rsidP="000334EA">
            <w:pPr>
              <w:rPr>
                <w:color w:val="000000"/>
                <w:sz w:val="20"/>
                <w:szCs w:val="20"/>
                <w:lang w:val="es-AR"/>
              </w:rPr>
            </w:pPr>
            <w:r w:rsidRPr="007213A1">
              <w:rPr>
                <w:color w:val="000000"/>
                <w:sz w:val="20"/>
                <w:szCs w:val="20"/>
                <w:lang w:val="es-AR"/>
              </w:rPr>
              <w:t>Domicilio legal</w:t>
            </w:r>
          </w:p>
        </w:tc>
        <w:tc>
          <w:tcPr>
            <w:tcW w:w="6706" w:type="dxa"/>
          </w:tcPr>
          <w:p w14:paraId="59528E70" w14:textId="77777777" w:rsidR="000334EA" w:rsidRPr="007213A1" w:rsidRDefault="000334EA" w:rsidP="000334EA">
            <w:pPr>
              <w:jc w:val="both"/>
              <w:rPr>
                <w:color w:val="000000"/>
                <w:sz w:val="20"/>
                <w:szCs w:val="20"/>
                <w:lang w:val="es-AR"/>
              </w:rPr>
            </w:pPr>
            <w:r w:rsidRPr="007213A1">
              <w:rPr>
                <w:color w:val="000000"/>
                <w:sz w:val="20"/>
                <w:szCs w:val="20"/>
                <w:lang w:val="es-AR" w:eastAsia="es-ES"/>
              </w:rPr>
              <w:t>Comandante Luis Piedrabuena 4950 (R8403CPV), San Carlos de Bariloche, Provincia de Río Negro, Argentina</w:t>
            </w:r>
          </w:p>
        </w:tc>
      </w:tr>
      <w:tr w:rsidR="000334EA" w:rsidRPr="00512442" w14:paraId="3D222DE8" w14:textId="77777777" w:rsidTr="00BA304B">
        <w:trPr>
          <w:jc w:val="center"/>
        </w:trPr>
        <w:tc>
          <w:tcPr>
            <w:tcW w:w="2114" w:type="dxa"/>
          </w:tcPr>
          <w:p w14:paraId="651EFC1B" w14:textId="77777777" w:rsidR="000334EA" w:rsidRPr="007213A1" w:rsidRDefault="000334EA" w:rsidP="000334EA">
            <w:pPr>
              <w:rPr>
                <w:color w:val="000000"/>
                <w:sz w:val="20"/>
                <w:szCs w:val="20"/>
                <w:lang w:val="es-AR"/>
              </w:rPr>
            </w:pPr>
            <w:r w:rsidRPr="007213A1">
              <w:rPr>
                <w:color w:val="000000"/>
                <w:sz w:val="20"/>
                <w:szCs w:val="20"/>
                <w:lang w:val="es-AR"/>
              </w:rPr>
              <w:t>Sede</w:t>
            </w:r>
          </w:p>
        </w:tc>
        <w:tc>
          <w:tcPr>
            <w:tcW w:w="6706" w:type="dxa"/>
          </w:tcPr>
          <w:p w14:paraId="70BA7B89" w14:textId="77777777" w:rsidR="000334EA" w:rsidRPr="007213A1" w:rsidRDefault="000334EA" w:rsidP="000334EA">
            <w:pPr>
              <w:jc w:val="both"/>
              <w:rPr>
                <w:color w:val="000000"/>
                <w:sz w:val="20"/>
                <w:szCs w:val="20"/>
                <w:lang w:val="es-AR"/>
              </w:rPr>
            </w:pPr>
            <w:r w:rsidRPr="007213A1">
              <w:rPr>
                <w:color w:val="000000"/>
                <w:sz w:val="20"/>
                <w:szCs w:val="20"/>
                <w:lang w:val="es-AR" w:eastAsia="es-ES"/>
              </w:rPr>
              <w:t>Comandante Luis Piedrabuena 4950 (R8403CPV), San Carlos de Bariloche, Provincia de Río Negro, Argentina</w:t>
            </w:r>
          </w:p>
        </w:tc>
      </w:tr>
      <w:tr w:rsidR="000334EA" w:rsidRPr="007213A1" w14:paraId="0B80C1B7" w14:textId="77777777" w:rsidTr="00BA304B">
        <w:trPr>
          <w:jc w:val="center"/>
        </w:trPr>
        <w:tc>
          <w:tcPr>
            <w:tcW w:w="2114" w:type="dxa"/>
          </w:tcPr>
          <w:p w14:paraId="6347EFED" w14:textId="77777777" w:rsidR="000334EA" w:rsidRPr="007213A1" w:rsidRDefault="000334EA" w:rsidP="000334EA">
            <w:pPr>
              <w:rPr>
                <w:color w:val="000000"/>
                <w:sz w:val="20"/>
                <w:szCs w:val="20"/>
                <w:lang w:val="es-AR"/>
              </w:rPr>
            </w:pPr>
            <w:r w:rsidRPr="007213A1">
              <w:rPr>
                <w:color w:val="000000"/>
                <w:sz w:val="20"/>
                <w:szCs w:val="20"/>
                <w:lang w:val="es-AR"/>
              </w:rPr>
              <w:t>Representante en la Ciudad Autónoma de Buenos Aires</w:t>
            </w:r>
          </w:p>
        </w:tc>
        <w:tc>
          <w:tcPr>
            <w:tcW w:w="6706" w:type="dxa"/>
          </w:tcPr>
          <w:p w14:paraId="59CC3E59" w14:textId="33EA73EF" w:rsidR="000334EA" w:rsidRPr="007213A1" w:rsidRDefault="000334EA" w:rsidP="000334EA">
            <w:pPr>
              <w:jc w:val="both"/>
              <w:rPr>
                <w:color w:val="000000"/>
                <w:sz w:val="20"/>
                <w:szCs w:val="20"/>
                <w:lang w:val="es-AR" w:eastAsia="es-ES"/>
              </w:rPr>
            </w:pPr>
            <w:r w:rsidRPr="00A61C89">
              <w:rPr>
                <w:color w:val="000000"/>
                <w:sz w:val="20"/>
                <w:szCs w:val="20"/>
                <w:lang w:val="es-AR" w:eastAsia="es-ES"/>
              </w:rPr>
              <w:t>Raúl Benavídez es el representante de INVAP en la Ciudad Autónoma de Buenos Aires. Su domicilio es Esmeralda 356 3° piso, Ciudad Autónoma de Buenos Aires. Tel: (54- 11) 4394 3344. Fax: (54-11) 4394 3543.</w:t>
            </w:r>
          </w:p>
        </w:tc>
      </w:tr>
      <w:tr w:rsidR="000334EA" w:rsidRPr="007213A1" w14:paraId="502F69AF" w14:textId="77777777" w:rsidTr="00BA304B">
        <w:trPr>
          <w:jc w:val="center"/>
        </w:trPr>
        <w:tc>
          <w:tcPr>
            <w:tcW w:w="2114" w:type="dxa"/>
          </w:tcPr>
          <w:p w14:paraId="659433BD" w14:textId="77777777" w:rsidR="000334EA" w:rsidRPr="007213A1" w:rsidRDefault="000334EA" w:rsidP="000334EA">
            <w:pPr>
              <w:rPr>
                <w:color w:val="000000"/>
                <w:sz w:val="20"/>
                <w:szCs w:val="20"/>
                <w:lang w:val="es-AR"/>
              </w:rPr>
            </w:pPr>
            <w:r w:rsidRPr="007213A1">
              <w:rPr>
                <w:color w:val="000000"/>
                <w:sz w:val="20"/>
                <w:szCs w:val="20"/>
                <w:lang w:val="es-AR"/>
              </w:rPr>
              <w:t xml:space="preserve">CUIT </w:t>
            </w:r>
          </w:p>
        </w:tc>
        <w:tc>
          <w:tcPr>
            <w:tcW w:w="6706" w:type="dxa"/>
          </w:tcPr>
          <w:p w14:paraId="0191C496" w14:textId="77777777" w:rsidR="000334EA" w:rsidRPr="007213A1" w:rsidRDefault="000334EA" w:rsidP="000334EA">
            <w:pPr>
              <w:jc w:val="both"/>
              <w:rPr>
                <w:color w:val="000000"/>
                <w:sz w:val="20"/>
                <w:szCs w:val="20"/>
                <w:lang w:val="es-AR" w:eastAsia="es-ES"/>
              </w:rPr>
            </w:pPr>
            <w:r w:rsidRPr="007213A1">
              <w:rPr>
                <w:color w:val="000000"/>
                <w:sz w:val="20"/>
                <w:szCs w:val="20"/>
                <w:lang w:val="es-AR" w:eastAsia="es-ES"/>
              </w:rPr>
              <w:t>30-58558124-7</w:t>
            </w:r>
          </w:p>
        </w:tc>
      </w:tr>
      <w:tr w:rsidR="000334EA" w:rsidRPr="007213A1" w14:paraId="2077F68B" w14:textId="77777777" w:rsidTr="00BA304B">
        <w:trPr>
          <w:jc w:val="center"/>
        </w:trPr>
        <w:tc>
          <w:tcPr>
            <w:tcW w:w="2114" w:type="dxa"/>
          </w:tcPr>
          <w:p w14:paraId="45F64B72" w14:textId="77777777" w:rsidR="000334EA" w:rsidRPr="007213A1" w:rsidRDefault="000334EA" w:rsidP="000334EA">
            <w:pPr>
              <w:rPr>
                <w:color w:val="000000"/>
                <w:sz w:val="20"/>
                <w:szCs w:val="20"/>
                <w:lang w:val="es-AR"/>
              </w:rPr>
            </w:pPr>
            <w:r w:rsidRPr="007213A1">
              <w:rPr>
                <w:color w:val="000000"/>
                <w:sz w:val="20"/>
                <w:szCs w:val="20"/>
                <w:lang w:val="es-AR"/>
              </w:rPr>
              <w:t>Teléfono</w:t>
            </w:r>
          </w:p>
        </w:tc>
        <w:tc>
          <w:tcPr>
            <w:tcW w:w="6706" w:type="dxa"/>
          </w:tcPr>
          <w:p w14:paraId="14B936CC" w14:textId="77777777" w:rsidR="000334EA" w:rsidRPr="007213A1" w:rsidRDefault="000334EA" w:rsidP="000334EA">
            <w:pPr>
              <w:rPr>
                <w:color w:val="000000"/>
                <w:sz w:val="20"/>
                <w:szCs w:val="20"/>
                <w:lang w:val="es-AR"/>
              </w:rPr>
            </w:pPr>
            <w:r w:rsidRPr="007213A1">
              <w:rPr>
                <w:color w:val="000000"/>
                <w:sz w:val="20"/>
                <w:szCs w:val="20"/>
                <w:lang w:val="es-AR"/>
              </w:rPr>
              <w:t>(54-0294) 4409300</w:t>
            </w:r>
          </w:p>
        </w:tc>
      </w:tr>
      <w:tr w:rsidR="000334EA" w:rsidRPr="007213A1" w14:paraId="015F20D5" w14:textId="77777777" w:rsidTr="00BA304B">
        <w:trPr>
          <w:jc w:val="center"/>
        </w:trPr>
        <w:tc>
          <w:tcPr>
            <w:tcW w:w="2114" w:type="dxa"/>
          </w:tcPr>
          <w:p w14:paraId="353A0272" w14:textId="77777777" w:rsidR="000334EA" w:rsidRPr="007213A1" w:rsidRDefault="000334EA" w:rsidP="000334EA">
            <w:pPr>
              <w:rPr>
                <w:color w:val="000000"/>
                <w:sz w:val="20"/>
                <w:szCs w:val="20"/>
                <w:lang w:val="es-AR"/>
              </w:rPr>
            </w:pPr>
            <w:r w:rsidRPr="007213A1">
              <w:rPr>
                <w:color w:val="000000"/>
                <w:sz w:val="20"/>
                <w:szCs w:val="20"/>
                <w:lang w:val="es-AR"/>
              </w:rPr>
              <w:t>Fax</w:t>
            </w:r>
          </w:p>
        </w:tc>
        <w:tc>
          <w:tcPr>
            <w:tcW w:w="6706" w:type="dxa"/>
          </w:tcPr>
          <w:p w14:paraId="0D7CA1FD" w14:textId="77777777" w:rsidR="000334EA" w:rsidRPr="007213A1" w:rsidRDefault="000334EA" w:rsidP="000334EA">
            <w:pPr>
              <w:rPr>
                <w:color w:val="000000"/>
                <w:sz w:val="20"/>
                <w:szCs w:val="20"/>
                <w:lang w:val="es-AR"/>
              </w:rPr>
            </w:pPr>
            <w:r w:rsidRPr="007213A1">
              <w:rPr>
                <w:color w:val="000000"/>
                <w:sz w:val="20"/>
                <w:szCs w:val="20"/>
                <w:lang w:val="es-AR"/>
              </w:rPr>
              <w:t>(54-0294) 4409336</w:t>
            </w:r>
          </w:p>
        </w:tc>
      </w:tr>
      <w:tr w:rsidR="000334EA" w:rsidRPr="007213A1" w14:paraId="28E21470" w14:textId="77777777" w:rsidTr="00BA304B">
        <w:trPr>
          <w:jc w:val="center"/>
        </w:trPr>
        <w:tc>
          <w:tcPr>
            <w:tcW w:w="2114" w:type="dxa"/>
          </w:tcPr>
          <w:p w14:paraId="397B4E84" w14:textId="77777777" w:rsidR="000334EA" w:rsidRPr="007213A1" w:rsidRDefault="000334EA" w:rsidP="000334EA">
            <w:pPr>
              <w:rPr>
                <w:color w:val="000000"/>
                <w:sz w:val="20"/>
                <w:szCs w:val="20"/>
                <w:lang w:val="es-AR"/>
              </w:rPr>
            </w:pPr>
            <w:r w:rsidRPr="007213A1">
              <w:rPr>
                <w:color w:val="000000"/>
                <w:sz w:val="20"/>
                <w:szCs w:val="20"/>
                <w:lang w:val="es-AR"/>
              </w:rPr>
              <w:t>Correo Electrónico</w:t>
            </w:r>
          </w:p>
        </w:tc>
        <w:tc>
          <w:tcPr>
            <w:tcW w:w="6706" w:type="dxa"/>
          </w:tcPr>
          <w:p w14:paraId="4A7FEE34" w14:textId="77777777" w:rsidR="000334EA" w:rsidRPr="007213A1" w:rsidRDefault="00783F8F" w:rsidP="000334EA">
            <w:pPr>
              <w:rPr>
                <w:color w:val="000000"/>
                <w:sz w:val="20"/>
                <w:szCs w:val="20"/>
                <w:lang w:val="es-AR"/>
              </w:rPr>
            </w:pPr>
            <w:hyperlink r:id="rId13" w:history="1">
              <w:r w:rsidR="000334EA" w:rsidRPr="007213A1">
                <w:rPr>
                  <w:color w:val="0000FF"/>
                  <w:sz w:val="20"/>
                  <w:szCs w:val="20"/>
                  <w:u w:val="single"/>
                  <w:lang w:val="es-AR"/>
                </w:rPr>
                <w:t>info@invap.com.ar</w:t>
              </w:r>
            </w:hyperlink>
          </w:p>
        </w:tc>
      </w:tr>
      <w:tr w:rsidR="000334EA" w:rsidRPr="007213A1" w14:paraId="7E908837" w14:textId="77777777" w:rsidTr="00BA304B">
        <w:trPr>
          <w:jc w:val="center"/>
        </w:trPr>
        <w:tc>
          <w:tcPr>
            <w:tcW w:w="2114" w:type="dxa"/>
          </w:tcPr>
          <w:p w14:paraId="0436D479" w14:textId="77777777" w:rsidR="000334EA" w:rsidRPr="007213A1" w:rsidRDefault="000334EA" w:rsidP="000334EA">
            <w:pPr>
              <w:rPr>
                <w:color w:val="000000"/>
                <w:sz w:val="20"/>
                <w:szCs w:val="20"/>
                <w:lang w:val="es-AR"/>
              </w:rPr>
            </w:pPr>
            <w:r w:rsidRPr="007213A1">
              <w:rPr>
                <w:color w:val="000000"/>
                <w:sz w:val="20"/>
                <w:szCs w:val="20"/>
                <w:lang w:val="es-AR"/>
              </w:rPr>
              <w:t>Página Web</w:t>
            </w:r>
          </w:p>
        </w:tc>
        <w:tc>
          <w:tcPr>
            <w:tcW w:w="6706" w:type="dxa"/>
          </w:tcPr>
          <w:p w14:paraId="4681D9E2" w14:textId="77777777" w:rsidR="000334EA" w:rsidRPr="007213A1" w:rsidRDefault="00783F8F" w:rsidP="000334EA">
            <w:pPr>
              <w:rPr>
                <w:color w:val="000000"/>
                <w:sz w:val="20"/>
                <w:szCs w:val="20"/>
                <w:lang w:val="es-AR"/>
              </w:rPr>
            </w:pPr>
            <w:hyperlink r:id="rId14" w:history="1">
              <w:r w:rsidR="000334EA" w:rsidRPr="007213A1">
                <w:rPr>
                  <w:color w:val="000000"/>
                  <w:sz w:val="20"/>
                  <w:szCs w:val="20"/>
                  <w:u w:val="single"/>
                  <w:lang w:val="es-AR"/>
                </w:rPr>
                <w:t>www.invap.com.ar</w:t>
              </w:r>
            </w:hyperlink>
          </w:p>
        </w:tc>
      </w:tr>
    </w:tbl>
    <w:p w14:paraId="09C6B360"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26DC1410"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En uso de las facultades otorgadas por la ley 20.075 mediante el Decreto Provincial N° 546 de fecha 11 de agosto de 1976 (publicado en el Boletín Oficial el 13 de septiembre de 1976), el Gobernador de la Provincia de Río Negro, el Contralmirante (R.E.) Aldo Luis Bachman decidió autorizar al ministro de economía de la provincia a crear una sociedad del estado a solicitud del Centro Atómico Bariloche, dependiente de la C</w:t>
      </w:r>
      <w:r w:rsidR="006D5DFD" w:rsidRPr="007213A1">
        <w:rPr>
          <w:color w:val="000000"/>
          <w:sz w:val="20"/>
          <w:szCs w:val="20"/>
          <w:lang w:val="es-AR"/>
        </w:rPr>
        <w:t>omisión Nacional de Energía Atómica (la “</w:t>
      </w:r>
      <w:r w:rsidR="006D5DFD" w:rsidRPr="007213A1">
        <w:rPr>
          <w:color w:val="000000"/>
          <w:sz w:val="20"/>
          <w:szCs w:val="20"/>
          <w:u w:val="single"/>
          <w:lang w:val="es-AR"/>
        </w:rPr>
        <w:t>C</w:t>
      </w:r>
      <w:r w:rsidRPr="00112B9F">
        <w:rPr>
          <w:color w:val="000000"/>
          <w:sz w:val="20"/>
          <w:szCs w:val="20"/>
          <w:u w:val="single"/>
          <w:lang w:val="es-AR"/>
        </w:rPr>
        <w:t>NEA</w:t>
      </w:r>
      <w:r w:rsidR="006D5DFD" w:rsidRPr="00112B9F">
        <w:rPr>
          <w:color w:val="000000"/>
          <w:sz w:val="20"/>
          <w:szCs w:val="20"/>
          <w:lang w:val="es-AR"/>
        </w:rPr>
        <w:t>”)</w:t>
      </w:r>
      <w:r w:rsidRPr="007213A1">
        <w:rPr>
          <w:color w:val="000000"/>
          <w:sz w:val="20"/>
          <w:szCs w:val="20"/>
          <w:lang w:val="es-AR"/>
        </w:rPr>
        <w:t>. El 1° de septiembre de 1976 fue constituida Investigaciones Aplicadas Sociedad del Estado -INVAP S.E.- como consecuencia de un acuerdo entre el Gobierno de la Provincia de Río Negro y la CNEA con la finalidad de participar en el Plan Nuclear Argentino y la creación de empleo genuino en el ámbito provincial.</w:t>
      </w:r>
    </w:p>
    <w:p w14:paraId="63FA6767"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185DC019" w14:textId="33A0CE53" w:rsidR="000334EA" w:rsidRPr="007213A1" w:rsidRDefault="000F6B7C" w:rsidP="000334EA">
      <w:pPr>
        <w:overflowPunct w:val="0"/>
        <w:autoSpaceDE w:val="0"/>
        <w:autoSpaceDN w:val="0"/>
        <w:adjustRightInd w:val="0"/>
        <w:jc w:val="both"/>
        <w:textAlignment w:val="baseline"/>
        <w:rPr>
          <w:color w:val="000000"/>
          <w:sz w:val="20"/>
          <w:szCs w:val="20"/>
          <w:lang w:val="es-AR"/>
        </w:rPr>
      </w:pPr>
      <w:r w:rsidRPr="003F2DB8">
        <w:rPr>
          <w:color w:val="000000"/>
          <w:sz w:val="20"/>
          <w:szCs w:val="20"/>
          <w:lang w:val="es-AR"/>
        </w:rPr>
        <w:t xml:space="preserve">Al 30 de junio de 2019, el capital social de </w:t>
      </w:r>
      <w:r w:rsidR="000334EA" w:rsidRPr="00AE498C">
        <w:rPr>
          <w:color w:val="000000"/>
          <w:sz w:val="20"/>
          <w:szCs w:val="20"/>
          <w:lang w:val="es-AR"/>
        </w:rPr>
        <w:t>INVAP</w:t>
      </w:r>
      <w:r w:rsidR="00721D21" w:rsidRPr="003F2DB8">
        <w:rPr>
          <w:color w:val="000000"/>
          <w:sz w:val="20"/>
          <w:szCs w:val="20"/>
          <w:lang w:val="es-AR"/>
        </w:rPr>
        <w:t xml:space="preserve"> </w:t>
      </w:r>
      <w:r w:rsidRPr="003F2DB8">
        <w:rPr>
          <w:color w:val="000000"/>
          <w:sz w:val="20"/>
          <w:szCs w:val="20"/>
          <w:lang w:val="es-AR"/>
        </w:rPr>
        <w:t>era</w:t>
      </w:r>
      <w:r w:rsidR="000334EA" w:rsidRPr="00AE498C">
        <w:rPr>
          <w:color w:val="000000"/>
          <w:sz w:val="20"/>
          <w:szCs w:val="20"/>
          <w:lang w:val="es-AR"/>
        </w:rPr>
        <w:t xml:space="preserve"> de $</w:t>
      </w:r>
      <w:r w:rsidR="002D1556" w:rsidRPr="00AE498C">
        <w:rPr>
          <w:color w:val="000000"/>
          <w:sz w:val="20"/>
          <w:szCs w:val="20"/>
          <w:lang w:val="es-AR"/>
        </w:rPr>
        <w:t>350</w:t>
      </w:r>
      <w:r w:rsidR="000334EA" w:rsidRPr="00AE498C">
        <w:rPr>
          <w:color w:val="000000"/>
          <w:sz w:val="20"/>
          <w:szCs w:val="20"/>
          <w:lang w:val="es-AR"/>
        </w:rPr>
        <w:t>.000.000 (Pesos</w:t>
      </w:r>
      <w:r w:rsidR="000334EA" w:rsidRPr="00721D21">
        <w:rPr>
          <w:color w:val="000000"/>
          <w:sz w:val="20"/>
          <w:szCs w:val="20"/>
          <w:lang w:val="es-AR"/>
        </w:rPr>
        <w:t xml:space="preserve"> </w:t>
      </w:r>
      <w:r w:rsidR="002D1556" w:rsidRPr="00937E02">
        <w:rPr>
          <w:color w:val="000000"/>
          <w:sz w:val="20"/>
          <w:szCs w:val="20"/>
          <w:lang w:val="es-AR"/>
        </w:rPr>
        <w:t>Trescientos Cincuenta</w:t>
      </w:r>
      <w:r w:rsidR="000334EA" w:rsidRPr="00937E02">
        <w:rPr>
          <w:color w:val="000000"/>
          <w:sz w:val="20"/>
          <w:szCs w:val="20"/>
          <w:lang w:val="es-AR"/>
        </w:rPr>
        <w:t xml:space="preserve"> Millones) representado por </w:t>
      </w:r>
      <w:r w:rsidR="002D1556" w:rsidRPr="003E0362">
        <w:rPr>
          <w:color w:val="000000"/>
          <w:sz w:val="20"/>
          <w:szCs w:val="20"/>
          <w:lang w:val="es-AR"/>
        </w:rPr>
        <w:t>35.0</w:t>
      </w:r>
      <w:r w:rsidR="000334EA" w:rsidRPr="003E0362">
        <w:rPr>
          <w:color w:val="000000"/>
          <w:sz w:val="20"/>
          <w:szCs w:val="20"/>
          <w:lang w:val="es-AR"/>
        </w:rPr>
        <w:t xml:space="preserve">00 títulos nominativos de $10.000 (Pesos Diez Mil) </w:t>
      </w:r>
      <w:r w:rsidR="008C1812" w:rsidRPr="003F7895">
        <w:rPr>
          <w:color w:val="000000"/>
          <w:sz w:val="20"/>
          <w:szCs w:val="20"/>
          <w:lang w:val="es-AR"/>
        </w:rPr>
        <w:t xml:space="preserve">de </w:t>
      </w:r>
      <w:r w:rsidR="000334EA" w:rsidRPr="003F7895">
        <w:rPr>
          <w:color w:val="000000"/>
          <w:sz w:val="20"/>
          <w:szCs w:val="20"/>
          <w:lang w:val="es-AR"/>
        </w:rPr>
        <w:t>valor nominal cada uno</w:t>
      </w:r>
      <w:r w:rsidR="008C1812" w:rsidRPr="003D5F53">
        <w:rPr>
          <w:rFonts w:eastAsia="Calibri"/>
          <w:sz w:val="20"/>
          <w:szCs w:val="20"/>
          <w:lang w:val="es-ES"/>
        </w:rPr>
        <w:t xml:space="preserve">. </w:t>
      </w:r>
      <w:r w:rsidR="00DA1AF1" w:rsidRPr="003F2DB8">
        <w:rPr>
          <w:color w:val="000000"/>
          <w:sz w:val="20"/>
          <w:szCs w:val="20"/>
          <w:lang w:val="es-AR"/>
        </w:rPr>
        <w:t>Mediante Asamblea de accionistas de fecha 29 de octubre de 2019, se decidió el aumento del capital social de INVAP por $ 1.340.000.000, pasando de $350.000</w:t>
      </w:r>
      <w:r w:rsidR="00421767">
        <w:rPr>
          <w:color w:val="000000"/>
          <w:sz w:val="20"/>
          <w:szCs w:val="20"/>
          <w:lang w:val="es-AR"/>
        </w:rPr>
        <w:t>.000</w:t>
      </w:r>
      <w:r w:rsidR="00DA1AF1" w:rsidRPr="003F2DB8">
        <w:rPr>
          <w:color w:val="000000"/>
          <w:sz w:val="20"/>
          <w:szCs w:val="20"/>
          <w:lang w:val="es-AR"/>
        </w:rPr>
        <w:t xml:space="preserve"> a $1.690.000.000, representado por 169.000 títulos nominativos de $10.000 (Pesos diez mil) de valor nominal cada uno</w:t>
      </w:r>
      <w:r w:rsidR="009A7942" w:rsidRPr="003F7895">
        <w:rPr>
          <w:color w:val="000000"/>
          <w:sz w:val="20"/>
          <w:szCs w:val="20"/>
          <w:lang w:val="es-AR"/>
        </w:rPr>
        <w:t xml:space="preserve">, que otorgan </w:t>
      </w:r>
      <w:r w:rsidR="009A7942" w:rsidRPr="004C2CEC">
        <w:rPr>
          <w:color w:val="000000"/>
          <w:sz w:val="20"/>
          <w:lang w:val="es-AR"/>
        </w:rPr>
        <w:t>derecho a cinco votos las Clase “A”, a un voto las Clase “B” y sin derecho a voto las acciones preferidas, las cuales tendrán derecho a un pago de dividendo acumulativo o no, o preferencia de reembolso de capital, según lo determine la Asamblea.</w:t>
      </w:r>
      <w:r w:rsidR="009A7942" w:rsidRPr="003F2DB8">
        <w:rPr>
          <w:color w:val="000000"/>
          <w:sz w:val="20"/>
          <w:szCs w:val="20"/>
          <w:lang w:val="es-AR"/>
        </w:rPr>
        <w:t xml:space="preserve"> </w:t>
      </w:r>
      <w:r w:rsidR="009A7942">
        <w:rPr>
          <w:color w:val="000000"/>
          <w:sz w:val="20"/>
          <w:szCs w:val="20"/>
          <w:lang w:val="es-AR"/>
        </w:rPr>
        <w:t>Dicho aumento de capital se encuentra a la fecha pendiente de inscripción.</w:t>
      </w:r>
      <w:r w:rsidR="003824A6" w:rsidRPr="00BA304B" w:rsidDel="003824A6">
        <w:rPr>
          <w:rStyle w:val="Refdenotaalpie"/>
          <w:color w:val="000000"/>
          <w:lang w:val="es-AR"/>
        </w:rPr>
        <w:t xml:space="preserve"> </w:t>
      </w:r>
      <w:r w:rsidR="008C1812" w:rsidRPr="003D5F53">
        <w:rPr>
          <w:rFonts w:eastAsia="Calibri"/>
          <w:sz w:val="20"/>
          <w:szCs w:val="20"/>
          <w:lang w:val="es-ES"/>
        </w:rPr>
        <w:t xml:space="preserve">Todas las acciones se encuentran </w:t>
      </w:r>
      <w:r w:rsidR="008C1812" w:rsidRPr="003D5F53">
        <w:rPr>
          <w:color w:val="000000"/>
          <w:sz w:val="20"/>
          <w:szCs w:val="20"/>
          <w:lang w:val="es-AR"/>
        </w:rPr>
        <w:t xml:space="preserve">suscriptas </w:t>
      </w:r>
      <w:r w:rsidR="000334EA" w:rsidRPr="003D5F53">
        <w:rPr>
          <w:color w:val="000000"/>
          <w:sz w:val="20"/>
          <w:szCs w:val="20"/>
          <w:lang w:val="es-AR"/>
        </w:rPr>
        <w:t>en su totalidad por la Provincia de Río Negro. Todos los certificados han sido y son de titularidad de dicha Provincia. Sin perjuicio de ello, mediante un acuerdo de fecha 6 de septiembre de 1976 la Provincia de Río Negro acep</w:t>
      </w:r>
      <w:r w:rsidR="000334EA" w:rsidRPr="002D344D">
        <w:rPr>
          <w:color w:val="000000"/>
          <w:sz w:val="20"/>
          <w:szCs w:val="20"/>
          <w:lang w:val="es-AR"/>
        </w:rPr>
        <w:t xml:space="preserve">tó que la CNEA se propusiera como accionista de INVAP y cedió a su favor la capacidad de nombrar un miembro titular y uno suplente de la comisión fiscalizadora. Posteriormente se reformó el Estatuto Social de INVAP, reflejando en su Artículo 4 que la CNEA </w:t>
      </w:r>
      <w:r w:rsidR="000334EA" w:rsidRPr="00721D21">
        <w:rPr>
          <w:color w:val="000000"/>
          <w:sz w:val="20"/>
          <w:szCs w:val="20"/>
          <w:lang w:val="es-AR"/>
        </w:rPr>
        <w:t>goza del privilegio para suscribir y mantener hasta el 51% del capital social, no pudiendo bajo ningún concepto ser disminuido tal porcentaje. A su vez, mediante convenio de fecha 16 de diciembre de 1977, la Provincia cedió los derechos de voto en asamblea equivalentes al 51% de la tenencia accionaria de la Provincia de Río Negro, hasta tanto se efectivice la incorporación como accionista de la CNEA. A la fecha del presente, la CNEA no se ha incorporado como accionista de INVAP.</w:t>
      </w:r>
    </w:p>
    <w:p w14:paraId="5F9F4537"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7C2F296A" w14:textId="74B0658F" w:rsidR="000334EA" w:rsidRPr="007213A1" w:rsidRDefault="000334EA" w:rsidP="000334EA">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 xml:space="preserve">INVAP es una empresa dedicada al diseño y construcción de sistemas tecnológicos complejos, con una trayectoria de </w:t>
      </w:r>
      <w:r w:rsidR="006D5DFD" w:rsidRPr="007213A1">
        <w:rPr>
          <w:color w:val="000000"/>
          <w:sz w:val="20"/>
          <w:szCs w:val="20"/>
          <w:lang w:val="es-AR"/>
        </w:rPr>
        <w:t>más de 40 años</w:t>
      </w:r>
      <w:r w:rsidRPr="007213A1">
        <w:rPr>
          <w:color w:val="000000"/>
          <w:sz w:val="20"/>
          <w:szCs w:val="20"/>
          <w:lang w:val="es-AR"/>
        </w:rPr>
        <w:t xml:space="preserve"> en el ámbito nacional e internacional.</w:t>
      </w:r>
    </w:p>
    <w:p w14:paraId="3854D0ED"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28DFF309" w14:textId="2E35261F" w:rsidR="000334EA" w:rsidRPr="007213A1" w:rsidRDefault="000334EA" w:rsidP="000334EA">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El nacimiento de INVAP como Sociedad del Estado surge como consecuencia natural de la aplicación exitosa del Programa de Investigación Aplicada de la CNEA (“</w:t>
      </w:r>
      <w:r w:rsidRPr="007213A1">
        <w:rPr>
          <w:color w:val="000000"/>
          <w:sz w:val="20"/>
          <w:szCs w:val="20"/>
          <w:u w:val="single"/>
          <w:lang w:val="es-AR"/>
        </w:rPr>
        <w:t>PIA</w:t>
      </w:r>
      <w:r w:rsidRPr="007213A1">
        <w:rPr>
          <w:color w:val="000000"/>
          <w:sz w:val="20"/>
          <w:szCs w:val="20"/>
          <w:lang w:val="es-AR"/>
        </w:rPr>
        <w:t>”), por un grupo de expertos liderados por el Dr. Conrado Franco Varotto, quien se desempeñaba en el Centro Atómico Bariloche.</w:t>
      </w:r>
    </w:p>
    <w:p w14:paraId="327B5911"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4114AEE0"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Esta etapa llevó paulatinamente a la convicción de que era conveniente crear una empresa independiente que generara ingresos genuinos provenientes de desarrollos tecnológicos complejos como soluciones a problemas reales de la industria y la ingeniería aplicada. Para ello se utilizaron las posibilidades abiertas por la ley 20.705 promulgada en 1974. Esta ley otorgaba a las Sociedades del Estado facultades similares a las de una sociedad anónima sujeta a la ley 19.550, con la diferencia que los accionistas podían ser solamente entidades del Estado, ya fuera nacional, provincial o municipal.</w:t>
      </w:r>
    </w:p>
    <w:p w14:paraId="5185AF13"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109A54BB"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 xml:space="preserve">Las negociaciones entre la CNEA y la Provincia de Río Negro llevaron cerca de dos años y el resultado de estas gestiones fue la fundación, el 1 de septiembre de 1976, de Investigación Aplicada Sociedad del Estado, INVAP S.E. </w:t>
      </w:r>
    </w:p>
    <w:p w14:paraId="0BB141D5"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2A374F30" w14:textId="3B5ABE3A" w:rsidR="000334EA" w:rsidRPr="007213A1" w:rsidRDefault="000334EA" w:rsidP="000334EA">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La vida de la Compañía ha tenido etapas entrelazadas. Durante la primera etapa, fue, en forma casi exclusiva, el “brazo ejecutor” de la CNEA. Esta institución se encontraba en su período más ambicioso, uno de cuyos máximos objetivos fue la obtención de la tecnología del enriquecimiento de Uranio, proyecto en el que INVAP fue el contratista principal.</w:t>
      </w:r>
    </w:p>
    <w:p w14:paraId="26E5B0DE"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54BEF29D"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En ese período, INVAP se estructuró como empresa de proyectos, creció en tamaño, sentó las bases de su estilo y fue creciendo en amplitud y en profundidad. Cumplió todos los contratos que le confiaron, abordando con éxito desafíos tecnológicos pocas veces igualados en el ámbito nacional.</w:t>
      </w:r>
    </w:p>
    <w:p w14:paraId="3C6E5331"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6F7A56B0"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La mayoría de los proyectos ejecutados en ese período servían al Plan Nuclear Argentino, ejecutado a través de la CNEA. Se realizaron contribuciones al desarrollo de la tecnología de fabricación de los combustibles nucleares. Se avanzó decididamente en el camino hacia el dominio completo del ciclo del combustible, con el desarrollo de tecnologías como la obtención de esponja de Circonio de calidad nuclear, y se adquirió solidez y autonomía en el diseño de reactores nucleares de investigación construyendo el Reactor Nuclear de Investigación - RA6 en el Centro Atómico Bariloche.</w:t>
      </w:r>
    </w:p>
    <w:p w14:paraId="435CA09D"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538A787B"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Al mismo tiempo, se trabajó para otros clientes, algunos privados y otros estatales, avanzando en conocimientos de electrónica aplicada, materiales magnéticos y el tratamiento de diversos minerales. También se hicieron los primeros intentos de ingresar al mercado privado con equipos dedicados a la medicina.</w:t>
      </w:r>
    </w:p>
    <w:p w14:paraId="023CF189"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770AC8FE"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La segunda etapa comenzó hacia 1984, época en que, si bien el Gobierno Nacional abandonó el Plan Nuclear de los ´70, dio un fuerte impulso a la proyección internacional de las actividades nucleares del país a través de la Dirección General de Asuntos Nucleares de la Cancillería (“</w:t>
      </w:r>
      <w:r w:rsidRPr="007213A1">
        <w:rPr>
          <w:color w:val="000000"/>
          <w:sz w:val="20"/>
          <w:szCs w:val="20"/>
          <w:u w:val="single"/>
          <w:lang w:val="es-AR"/>
        </w:rPr>
        <w:t>DIGAN</w:t>
      </w:r>
      <w:r w:rsidRPr="007213A1">
        <w:rPr>
          <w:color w:val="000000"/>
          <w:sz w:val="20"/>
          <w:szCs w:val="20"/>
          <w:lang w:val="es-AR"/>
        </w:rPr>
        <w:t>”), creada en ese mismo año.</w:t>
      </w:r>
    </w:p>
    <w:p w14:paraId="73CDA944"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33E38353"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Los primeros años de la vida de la empresa se vieron marcados también por el surgimiento de proyectos relacionados con aparatos auxiliares de la medicina, en especial para estudios de anatomía patológica. A mediados de 1985, la CNEA impulsó un programa para el desarrollo de las aplicaciones médicas de la tecnología nuclear, donde INVAP ha participado con una serie de desarrollos propios, llevando a cabo tareas múltiples y ambiciosas, que dejaron como resultado la producción de equipos de alta complejidad: equipos de terapia radiante denominados “bomba de cobalto” para tratamientos de cáncer que se comercializan con la marca “TERADI” y el simulador universal para tratamientos de radioterapia, que está en el mercado con la marca “UNISIM”.</w:t>
      </w:r>
    </w:p>
    <w:p w14:paraId="3A31D71A" w14:textId="77777777" w:rsidR="000334EA" w:rsidRPr="007213A1" w:rsidRDefault="000334EA" w:rsidP="000334EA">
      <w:pPr>
        <w:widowControl w:val="0"/>
        <w:jc w:val="both"/>
        <w:rPr>
          <w:color w:val="000000"/>
          <w:sz w:val="20"/>
          <w:szCs w:val="20"/>
          <w:lang w:val="es-AR"/>
        </w:rPr>
      </w:pPr>
    </w:p>
    <w:p w14:paraId="2515D305" w14:textId="77777777" w:rsidR="000334EA" w:rsidRPr="007213A1" w:rsidRDefault="000334EA" w:rsidP="000334EA">
      <w:pPr>
        <w:widowControl w:val="0"/>
        <w:jc w:val="both"/>
        <w:rPr>
          <w:bCs/>
          <w:color w:val="000000"/>
          <w:sz w:val="20"/>
          <w:szCs w:val="20"/>
          <w:lang w:val="es-AR"/>
        </w:rPr>
      </w:pPr>
      <w:r w:rsidRPr="007213A1">
        <w:rPr>
          <w:color w:val="000000"/>
          <w:sz w:val="20"/>
          <w:szCs w:val="20"/>
          <w:lang w:val="es-AR"/>
        </w:rPr>
        <w:t xml:space="preserve">Fuera del campo de la medicina nuclear, se han efectuado otros desarrollos destacables: prótesis de cadera de Titanio para óseo-integración, irradiadores vinculados a la técnica de irradiación de materiales con rayos gamma que se usan para combatir ciertas plagas y otros equipamientos científicos como el espectómetro del TANDAR (un acelerador de iones pesados para la investigación en física de propiedad de la CNEA), y varios espectrómetros que se emplearon con éxito en la planta de enriquecimiento de Uranio de la </w:t>
      </w:r>
      <w:r w:rsidRPr="007213A1">
        <w:rPr>
          <w:bCs/>
          <w:color w:val="000000"/>
          <w:sz w:val="20"/>
          <w:szCs w:val="20"/>
          <w:lang w:val="es-AR"/>
        </w:rPr>
        <w:t>CNEA</w:t>
      </w:r>
      <w:r w:rsidRPr="007213A1">
        <w:rPr>
          <w:color w:val="000000"/>
          <w:sz w:val="20"/>
          <w:szCs w:val="20"/>
          <w:lang w:val="es-AR"/>
        </w:rPr>
        <w:t xml:space="preserve"> en </w:t>
      </w:r>
      <w:r w:rsidRPr="007213A1">
        <w:rPr>
          <w:bCs/>
          <w:color w:val="000000"/>
          <w:sz w:val="20"/>
          <w:szCs w:val="20"/>
          <w:lang w:val="es-AR"/>
        </w:rPr>
        <w:t xml:space="preserve">Pilcaniyeu. </w:t>
      </w:r>
    </w:p>
    <w:p w14:paraId="514D20BC"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16EDB5CC"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El proyecto de la planta de enriquecimiento de Uranio alcanzó su máxima expansión en ese período, al trascender la etapa de desarrollo y entrar de lleno en la preparación de la etapa industrial. Ante la intención de exportar reactores nucleares, Argentina debía ser un proveedor confiable de tales instalaciones y poder comprometerse a proveer el combustible para los reactores que vendiera. Sin embargo, los medios financieros de la CNEA, y por consiguiente aquellos disponibles para ese proyecto, fueron mermando y finalmente el proyecto fue puesto en espera, cuando la caída de la URSS y el fin de la guerra fría abrieron el mercado del Uranio enriquecido.</w:t>
      </w:r>
    </w:p>
    <w:p w14:paraId="3864235C"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74AD4880"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Varios años antes la Sociedad comenzó a diversificar su oferta de productos y a ampliar sus mercados, gracias al nivel de excelencia alcanzado en tecnología de reactores de investigación. Por un lado, el reactor de Perú –en el que INVAP actuó como subcontratista de la CNEA- y el reactor de Argelia. Por otro lado, en ese período se avanzó con la microelectrónica, la informática, la química, la búsqueda de clientes en otras áreas del gobierno y en el exterior y, por último, el salto hacia la tecnología espacial. Se logró proyectar la Sociedad hacia el exterior y al campo espacial, aunque también hubo intentos que no lograron los resultados esperados. El nacimiento del Proyecto CAREM en 1984, y su demorado desarrollo, fue un intento de incursión en el vasto mercado de los reactores de potencia que también corresponde a esta etapa.</w:t>
      </w:r>
    </w:p>
    <w:p w14:paraId="36C34CAA"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7D60DA77"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 xml:space="preserve">Este período de la vida de INVAP se cierra con el alejamiento de su creador, Conrado Varotto, y con una crisis financiera que, entre 1990 y 1992 impactó significativamente en los resultados de la Compañía. No obstante, sus trabajos en el exterior hicieron que INVAP superara las dificultades económicas del país en esa época. </w:t>
      </w:r>
    </w:p>
    <w:p w14:paraId="07A9F6BA"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1E6AFBD7" w14:textId="77777777" w:rsidR="000334EA" w:rsidRPr="007213A1" w:rsidRDefault="000334EA" w:rsidP="00157673">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Superado ese trance, se inicia la tercera etapa, caracterizada por una menor participación de la CNEA como cliente y por un viraje hacia dos emprendimientos principales: la exportación de un reactor moderno de investigación a Egipto (mediante un contrato obtenido por una licitación internacional), y la consolidación del sector espacial. Este sector cobra relevancia desde 1991 con la construcción del SAC-B, que fue el primer satélite argentino, en su condición de contratista principal de la Comisión Nacional de Actividades Espaciales (la “</w:t>
      </w:r>
      <w:r w:rsidRPr="007213A1">
        <w:rPr>
          <w:color w:val="000000"/>
          <w:sz w:val="20"/>
          <w:szCs w:val="20"/>
          <w:u w:val="single"/>
          <w:lang w:val="es-AR"/>
        </w:rPr>
        <w:t>CONAE</w:t>
      </w:r>
      <w:r w:rsidRPr="007213A1">
        <w:rPr>
          <w:color w:val="000000"/>
          <w:sz w:val="20"/>
          <w:szCs w:val="20"/>
          <w:lang w:val="es-AR"/>
        </w:rPr>
        <w:t>”). La promulgación del Plan Espacial Nacional, formulada en 1994 por el creador de INVAP, en su nueva posición de funcionario principal del sector espacial, fue la clave fundamental de la consolidación de la Empresa en dicho sector. El Plan permitió dar un nuevo impulso a INVAP y aseguró por varios años el desarrollo local de la tecnología espacial. En 1998, INVAP fue precalificado internacionalmente para construir un nuevo reactor de investigación y producción de radiosótopos en Australia, denominado OPAL. A principios de 2000 se presentaron las ofertas y en julio de ese año se firmó el contrato entre INVAP y ANSTO, que es la Organización Australiana de Ciencia y Tecnología Nuclear. Este hecho que fue acompañado por la firma, en 2001, de un Acuerdo de Cooperación en materia nuclear entre Argentina y Australia. En 2006 se concluyó exitosamente con la puesta en marcha del reactor. Para Australia, ha sido la mayor adquisición de una herramienta de investigación científica de su historia, utilizada en los campos de la medicina, el medio ambiente, la industria y energía y en la educación.</w:t>
      </w:r>
    </w:p>
    <w:p w14:paraId="094C1869" w14:textId="77777777" w:rsidR="000334EA" w:rsidRPr="007213A1" w:rsidRDefault="000334EA" w:rsidP="000334EA">
      <w:pPr>
        <w:overflowPunct w:val="0"/>
        <w:autoSpaceDE w:val="0"/>
        <w:autoSpaceDN w:val="0"/>
        <w:adjustRightInd w:val="0"/>
        <w:jc w:val="both"/>
        <w:textAlignment w:val="baseline"/>
        <w:rPr>
          <w:color w:val="000000"/>
          <w:sz w:val="20"/>
          <w:szCs w:val="20"/>
          <w:lang w:val="es-AR"/>
        </w:rPr>
      </w:pPr>
    </w:p>
    <w:p w14:paraId="316D5029" w14:textId="14BA8665" w:rsidR="001C7D00" w:rsidRDefault="001C7D00" w:rsidP="001C7D00">
      <w:pPr>
        <w:overflowPunct w:val="0"/>
        <w:autoSpaceDE w:val="0"/>
        <w:autoSpaceDN w:val="0"/>
        <w:adjustRightInd w:val="0"/>
        <w:jc w:val="both"/>
        <w:textAlignment w:val="baseline"/>
        <w:rPr>
          <w:color w:val="000000"/>
          <w:sz w:val="20"/>
          <w:szCs w:val="20"/>
          <w:lang w:val="es-AR"/>
        </w:rPr>
      </w:pPr>
      <w:r w:rsidRPr="007213A1">
        <w:rPr>
          <w:color w:val="000000"/>
          <w:sz w:val="20"/>
          <w:szCs w:val="20"/>
          <w:lang w:val="es-AR"/>
        </w:rPr>
        <w:t>La cuarta etapa se inició en 2010, cuando ya se había consolidado en el área de reactores de investigación y había logrado una gran madurez en el área satelital</w:t>
      </w:r>
      <w:r>
        <w:rPr>
          <w:color w:val="000000"/>
          <w:sz w:val="20"/>
          <w:szCs w:val="20"/>
          <w:lang w:val="es-AR"/>
        </w:rPr>
        <w:t xml:space="preserve">, la cual quedó de manifiesto con el </w:t>
      </w:r>
      <w:r w:rsidRPr="007213A1">
        <w:rPr>
          <w:sz w:val="20"/>
          <w:szCs w:val="20"/>
          <w:lang w:val="es-AR"/>
        </w:rPr>
        <w:t xml:space="preserve">proyecto conjunto entre la </w:t>
      </w:r>
      <w:r>
        <w:rPr>
          <w:sz w:val="20"/>
          <w:szCs w:val="20"/>
          <w:lang w:val="es-AR"/>
        </w:rPr>
        <w:t xml:space="preserve">Agencia </w:t>
      </w:r>
      <w:r w:rsidRPr="007213A1">
        <w:rPr>
          <w:sz w:val="20"/>
          <w:szCs w:val="20"/>
          <w:lang w:val="es-AR"/>
        </w:rPr>
        <w:t>NASA</w:t>
      </w:r>
      <w:r>
        <w:rPr>
          <w:sz w:val="20"/>
          <w:szCs w:val="20"/>
          <w:lang w:val="es-AR"/>
        </w:rPr>
        <w:t xml:space="preserve"> (EEUU)</w:t>
      </w:r>
      <w:r w:rsidRPr="007213A1">
        <w:rPr>
          <w:sz w:val="20"/>
          <w:szCs w:val="20"/>
          <w:lang w:val="es-AR"/>
        </w:rPr>
        <w:t xml:space="preserve"> y la CONAE, llamado SAC-D/Aquarius, destinado a medir la salinidad marina </w:t>
      </w:r>
      <w:r>
        <w:rPr>
          <w:sz w:val="20"/>
          <w:szCs w:val="20"/>
          <w:lang w:val="es-AR"/>
        </w:rPr>
        <w:t xml:space="preserve">y otras variables ambientales </w:t>
      </w:r>
      <w:r w:rsidRPr="007213A1">
        <w:rPr>
          <w:sz w:val="20"/>
          <w:szCs w:val="20"/>
          <w:lang w:val="es-AR"/>
        </w:rPr>
        <w:t>en escala global</w:t>
      </w:r>
      <w:r>
        <w:rPr>
          <w:sz w:val="20"/>
          <w:szCs w:val="20"/>
          <w:lang w:val="es-AR"/>
        </w:rPr>
        <w:t xml:space="preserve">, con el </w:t>
      </w:r>
      <w:r>
        <w:rPr>
          <w:color w:val="000000"/>
          <w:sz w:val="20"/>
          <w:szCs w:val="20"/>
          <w:lang w:val="es-AR"/>
        </w:rPr>
        <w:t>exitoso diseño, construcción y lanzamiento de los satélites SAOCOM-1A, Arsat1 y Arsat2, y con la constitución de una empresa entre INVAP y ARSAT para ensayos satelitales denominada CEAT SA</w:t>
      </w:r>
      <w:r w:rsidRPr="007213A1">
        <w:rPr>
          <w:color w:val="000000"/>
          <w:sz w:val="20"/>
          <w:szCs w:val="20"/>
          <w:lang w:val="es-AR"/>
        </w:rPr>
        <w:t xml:space="preserve">. </w:t>
      </w:r>
      <w:r>
        <w:rPr>
          <w:color w:val="000000"/>
          <w:sz w:val="20"/>
          <w:szCs w:val="20"/>
          <w:lang w:val="es-AR"/>
        </w:rPr>
        <w:t xml:space="preserve">A partir de entonces </w:t>
      </w:r>
      <w:r w:rsidRPr="007213A1">
        <w:rPr>
          <w:color w:val="000000"/>
          <w:sz w:val="20"/>
          <w:szCs w:val="20"/>
          <w:lang w:val="es-AR"/>
        </w:rPr>
        <w:t xml:space="preserve">INVAP se insertó en </w:t>
      </w:r>
      <w:r>
        <w:rPr>
          <w:color w:val="000000"/>
          <w:sz w:val="20"/>
          <w:szCs w:val="20"/>
          <w:lang w:val="es-AR"/>
        </w:rPr>
        <w:t xml:space="preserve">nuevos </w:t>
      </w:r>
      <w:r w:rsidRPr="007213A1">
        <w:rPr>
          <w:color w:val="000000"/>
          <w:sz w:val="20"/>
          <w:szCs w:val="20"/>
          <w:lang w:val="es-AR"/>
        </w:rPr>
        <w:t>mercado</w:t>
      </w:r>
      <w:r>
        <w:rPr>
          <w:color w:val="000000"/>
          <w:sz w:val="20"/>
          <w:szCs w:val="20"/>
          <w:lang w:val="es-AR"/>
        </w:rPr>
        <w:t>s</w:t>
      </w:r>
      <w:r w:rsidRPr="007213A1">
        <w:rPr>
          <w:color w:val="000000"/>
          <w:sz w:val="20"/>
          <w:szCs w:val="20"/>
          <w:lang w:val="es-AR"/>
        </w:rPr>
        <w:t xml:space="preserve"> </w:t>
      </w:r>
      <w:r>
        <w:rPr>
          <w:color w:val="000000"/>
          <w:sz w:val="20"/>
          <w:szCs w:val="20"/>
          <w:lang w:val="es-AR"/>
        </w:rPr>
        <w:t>y comenzó una etapa de mayor diversificación de negocios y, consecuente con ello, de expansión a nivel internacional.</w:t>
      </w:r>
    </w:p>
    <w:p w14:paraId="49A8F8DB" w14:textId="77777777" w:rsidR="001C7D00" w:rsidRDefault="001C7D00" w:rsidP="001C7D00">
      <w:pPr>
        <w:overflowPunct w:val="0"/>
        <w:autoSpaceDE w:val="0"/>
        <w:autoSpaceDN w:val="0"/>
        <w:adjustRightInd w:val="0"/>
        <w:jc w:val="both"/>
        <w:textAlignment w:val="baseline"/>
        <w:rPr>
          <w:color w:val="000000"/>
          <w:sz w:val="20"/>
          <w:szCs w:val="20"/>
          <w:lang w:val="es-AR"/>
        </w:rPr>
      </w:pPr>
    </w:p>
    <w:p w14:paraId="725FB9BB" w14:textId="77777777" w:rsidR="001C7D00" w:rsidRDefault="001C7D00" w:rsidP="001C7D00">
      <w:pPr>
        <w:overflowPunct w:val="0"/>
        <w:autoSpaceDE w:val="0"/>
        <w:autoSpaceDN w:val="0"/>
        <w:adjustRightInd w:val="0"/>
        <w:jc w:val="both"/>
        <w:textAlignment w:val="baseline"/>
        <w:rPr>
          <w:color w:val="000000"/>
          <w:sz w:val="20"/>
          <w:szCs w:val="20"/>
          <w:lang w:val="es-AR"/>
        </w:rPr>
      </w:pPr>
      <w:r>
        <w:rPr>
          <w:color w:val="000000"/>
          <w:sz w:val="20"/>
          <w:szCs w:val="20"/>
          <w:lang w:val="es-AR"/>
        </w:rPr>
        <w:t xml:space="preserve">En materia </w:t>
      </w:r>
      <w:r w:rsidRPr="007213A1">
        <w:rPr>
          <w:color w:val="000000"/>
          <w:sz w:val="20"/>
          <w:szCs w:val="20"/>
          <w:lang w:val="es-AR"/>
        </w:rPr>
        <w:t>de televisión digital</w:t>
      </w:r>
      <w:r>
        <w:rPr>
          <w:color w:val="000000"/>
          <w:sz w:val="20"/>
          <w:szCs w:val="20"/>
          <w:lang w:val="es-AR"/>
        </w:rPr>
        <w:t xml:space="preserve"> se firmaron grandes contratos tanto en el ámbito local como en el exterior, los cuales ya han sido ejecutados.</w:t>
      </w:r>
    </w:p>
    <w:p w14:paraId="5D652268" w14:textId="77777777" w:rsidR="001C7D00" w:rsidRDefault="001C7D00" w:rsidP="001C7D00">
      <w:pPr>
        <w:overflowPunct w:val="0"/>
        <w:autoSpaceDE w:val="0"/>
        <w:autoSpaceDN w:val="0"/>
        <w:adjustRightInd w:val="0"/>
        <w:jc w:val="both"/>
        <w:textAlignment w:val="baseline"/>
        <w:rPr>
          <w:color w:val="000000"/>
          <w:sz w:val="20"/>
          <w:szCs w:val="20"/>
          <w:lang w:val="es-AR"/>
        </w:rPr>
      </w:pPr>
    </w:p>
    <w:p w14:paraId="0BE5EA25" w14:textId="20BE65DC" w:rsidR="001C7D00" w:rsidRDefault="001C7D00" w:rsidP="001C7D00">
      <w:pPr>
        <w:overflowPunct w:val="0"/>
        <w:autoSpaceDE w:val="0"/>
        <w:autoSpaceDN w:val="0"/>
        <w:adjustRightInd w:val="0"/>
        <w:jc w:val="both"/>
        <w:textAlignment w:val="baseline"/>
        <w:rPr>
          <w:color w:val="000000"/>
          <w:sz w:val="20"/>
          <w:szCs w:val="20"/>
          <w:lang w:val="es-AR"/>
        </w:rPr>
      </w:pPr>
      <w:r>
        <w:rPr>
          <w:color w:val="000000"/>
          <w:sz w:val="20"/>
          <w:szCs w:val="20"/>
          <w:lang w:val="es-AR"/>
        </w:rPr>
        <w:t>El área de radares terminó conformando una unidad de negocios en sí misma, denominada Gerencia de negocios de Gobierno con una amplia gama de productos y de aplicaciones, tanto en el ámbito de comunicaciones y defensa, como en materia aeronáutica y meteorológica.</w:t>
      </w:r>
    </w:p>
    <w:p w14:paraId="43567B45" w14:textId="77777777" w:rsidR="00C5653F" w:rsidRDefault="00C5653F" w:rsidP="001C7D00">
      <w:pPr>
        <w:overflowPunct w:val="0"/>
        <w:autoSpaceDE w:val="0"/>
        <w:autoSpaceDN w:val="0"/>
        <w:adjustRightInd w:val="0"/>
        <w:jc w:val="both"/>
        <w:textAlignment w:val="baseline"/>
        <w:rPr>
          <w:color w:val="000000"/>
          <w:sz w:val="20"/>
          <w:szCs w:val="20"/>
          <w:lang w:val="es-AR"/>
        </w:rPr>
      </w:pPr>
    </w:p>
    <w:p w14:paraId="0E54324F" w14:textId="7892AD23" w:rsidR="001C7D00" w:rsidRDefault="001C7D00" w:rsidP="001C7D00">
      <w:pPr>
        <w:overflowPunct w:val="0"/>
        <w:autoSpaceDE w:val="0"/>
        <w:autoSpaceDN w:val="0"/>
        <w:adjustRightInd w:val="0"/>
        <w:jc w:val="both"/>
        <w:textAlignment w:val="baseline"/>
        <w:rPr>
          <w:color w:val="000000"/>
          <w:sz w:val="20"/>
          <w:szCs w:val="20"/>
          <w:lang w:val="es-AR"/>
        </w:rPr>
      </w:pPr>
      <w:r>
        <w:rPr>
          <w:color w:val="000000"/>
          <w:sz w:val="20"/>
          <w:szCs w:val="20"/>
          <w:lang w:val="es-AR"/>
        </w:rPr>
        <w:t>Vinculado a la aplicación de medicina nuclear, INVAP paso a consolidarse como contratista principal para el diseño, construcción e instalación de Centros Médicos de Radioterapia, siendo contratado por CNEA en Argentina y ABEN en Bolivia a tal efecto, a fin de ampliar sendas redes de Centros de Médicos de Radioterapia.</w:t>
      </w:r>
    </w:p>
    <w:p w14:paraId="2E091718" w14:textId="77777777" w:rsidR="00C5653F" w:rsidRDefault="00C5653F" w:rsidP="001C7D00">
      <w:pPr>
        <w:overflowPunct w:val="0"/>
        <w:autoSpaceDE w:val="0"/>
        <w:autoSpaceDN w:val="0"/>
        <w:adjustRightInd w:val="0"/>
        <w:jc w:val="both"/>
        <w:textAlignment w:val="baseline"/>
        <w:rPr>
          <w:color w:val="000000"/>
          <w:sz w:val="20"/>
          <w:szCs w:val="20"/>
          <w:lang w:val="es-AR"/>
        </w:rPr>
      </w:pPr>
    </w:p>
    <w:p w14:paraId="4F1AC243" w14:textId="77777777" w:rsidR="001C7D00" w:rsidRDefault="001C7D00" w:rsidP="001C7D00">
      <w:pPr>
        <w:overflowPunct w:val="0"/>
        <w:autoSpaceDE w:val="0"/>
        <w:autoSpaceDN w:val="0"/>
        <w:adjustRightInd w:val="0"/>
        <w:jc w:val="both"/>
        <w:textAlignment w:val="baseline"/>
        <w:rPr>
          <w:color w:val="000000"/>
          <w:sz w:val="20"/>
          <w:szCs w:val="20"/>
          <w:lang w:val="es-AR"/>
        </w:rPr>
      </w:pPr>
      <w:r>
        <w:rPr>
          <w:color w:val="000000"/>
          <w:sz w:val="20"/>
          <w:szCs w:val="20"/>
          <w:lang w:val="es-AR"/>
        </w:rPr>
        <w:t>A su vez, en lo que hace a los negocios vinculados a distintas fases o tecnologías de reactores nucleares, los últimos años se han caracterizado por una diversificación en materia geográfica tomando una mayor preponderancia los contratos en el exterior en la cartera de la empresa.</w:t>
      </w:r>
    </w:p>
    <w:p w14:paraId="509B5BB5" w14:textId="77777777" w:rsidR="001C7D00" w:rsidRDefault="001C7D00" w:rsidP="001C7D00">
      <w:pPr>
        <w:overflowPunct w:val="0"/>
        <w:autoSpaceDE w:val="0"/>
        <w:autoSpaceDN w:val="0"/>
        <w:adjustRightInd w:val="0"/>
        <w:jc w:val="both"/>
        <w:textAlignment w:val="baseline"/>
        <w:rPr>
          <w:color w:val="000000"/>
          <w:sz w:val="20"/>
          <w:szCs w:val="20"/>
          <w:lang w:val="es-AR"/>
        </w:rPr>
      </w:pPr>
    </w:p>
    <w:p w14:paraId="731A00A6" w14:textId="3B181727" w:rsidR="001C7D00" w:rsidRPr="007213A1" w:rsidRDefault="001C7D00" w:rsidP="001C7D00">
      <w:pPr>
        <w:overflowPunct w:val="0"/>
        <w:autoSpaceDE w:val="0"/>
        <w:autoSpaceDN w:val="0"/>
        <w:adjustRightInd w:val="0"/>
        <w:jc w:val="both"/>
        <w:textAlignment w:val="baseline"/>
        <w:rPr>
          <w:color w:val="000000"/>
          <w:sz w:val="20"/>
          <w:szCs w:val="20"/>
          <w:lang w:val="es-AR"/>
        </w:rPr>
      </w:pPr>
      <w:r>
        <w:rPr>
          <w:color w:val="000000"/>
          <w:sz w:val="20"/>
          <w:szCs w:val="20"/>
          <w:lang w:val="es-AR"/>
        </w:rPr>
        <w:t>Cabe destacar que la trayectoria y reputación de la empresa han sido reconocidos en 2018 con los premios Konex Platino y Konex de Brillante, máxima distinción que otorga la Fundación Konex a las instituciones y personalidades más distinguidas en su ramo de actividad, que sirven de ejemplo a la juventud.</w:t>
      </w:r>
      <w:r w:rsidRPr="007213A1">
        <w:rPr>
          <w:color w:val="000000"/>
          <w:sz w:val="20"/>
          <w:szCs w:val="20"/>
          <w:lang w:val="es-AR"/>
        </w:rPr>
        <w:t xml:space="preserve"> </w:t>
      </w:r>
    </w:p>
    <w:p w14:paraId="4797CE99" w14:textId="77777777" w:rsidR="001C7D00" w:rsidRPr="007213A1" w:rsidRDefault="001C7D00" w:rsidP="001C7D00">
      <w:pPr>
        <w:overflowPunct w:val="0"/>
        <w:autoSpaceDE w:val="0"/>
        <w:autoSpaceDN w:val="0"/>
        <w:adjustRightInd w:val="0"/>
        <w:jc w:val="both"/>
        <w:textAlignment w:val="baseline"/>
        <w:rPr>
          <w:color w:val="000000"/>
          <w:sz w:val="20"/>
          <w:szCs w:val="20"/>
          <w:lang w:val="es-AR"/>
        </w:rPr>
      </w:pPr>
    </w:p>
    <w:p w14:paraId="352B4FAD" w14:textId="77777777" w:rsidR="00A2503F" w:rsidRDefault="001C7D00" w:rsidP="000334EA">
      <w:pPr>
        <w:widowControl w:val="0"/>
        <w:suppressLineNumbers/>
        <w:suppressAutoHyphens/>
        <w:jc w:val="both"/>
        <w:rPr>
          <w:color w:val="000000"/>
          <w:sz w:val="20"/>
          <w:szCs w:val="20"/>
          <w:lang w:val="es-AR"/>
        </w:rPr>
      </w:pPr>
      <w:r w:rsidRPr="007213A1">
        <w:rPr>
          <w:color w:val="000000"/>
          <w:sz w:val="20"/>
          <w:szCs w:val="20"/>
          <w:lang w:val="es-AR"/>
        </w:rPr>
        <w:t xml:space="preserve">Actualmente la empresa </w:t>
      </w:r>
      <w:r>
        <w:rPr>
          <w:color w:val="000000"/>
          <w:sz w:val="20"/>
          <w:szCs w:val="20"/>
          <w:lang w:val="es-AR"/>
        </w:rPr>
        <w:t>constituye</w:t>
      </w:r>
      <w:r w:rsidRPr="007213A1">
        <w:rPr>
          <w:color w:val="000000"/>
          <w:sz w:val="20"/>
          <w:szCs w:val="20"/>
          <w:lang w:val="es-AR"/>
        </w:rPr>
        <w:t xml:space="preserve"> una herramienta para el desarrollo estratégico de la Argentina y en uno de los principales referentes del sistema científico-tecnológico de Latinoamérica. Se especializa en generar productos y servicios de acuerdo a los requerimientos específicos del cliente, satisfaciendo todas las etapas de un proyecto, desde el asesoramiento del cliente hasta la entrega de plantas llave en mano. Asimismo, se realizan trabajos que comprenden alguna o todas de las siguientes etapas: estudios de factibilidad, desarrollo de productos, diseño, ingeniería, abastecimiento, construcción, montaje, puesta en marcha, operación y servicio de postventa</w:t>
      </w:r>
    </w:p>
    <w:p w14:paraId="620C5115" w14:textId="77777777" w:rsidR="00A2503F" w:rsidRDefault="00A2503F" w:rsidP="000334EA">
      <w:pPr>
        <w:widowControl w:val="0"/>
        <w:suppressLineNumbers/>
        <w:suppressAutoHyphens/>
        <w:jc w:val="both"/>
        <w:rPr>
          <w:color w:val="000000"/>
          <w:sz w:val="20"/>
          <w:szCs w:val="20"/>
          <w:lang w:val="es-AR"/>
        </w:rPr>
      </w:pPr>
    </w:p>
    <w:p w14:paraId="2B0F8FA5" w14:textId="599C739E" w:rsidR="000334EA" w:rsidRPr="007213A1" w:rsidRDefault="000334EA" w:rsidP="000334EA">
      <w:pPr>
        <w:widowControl w:val="0"/>
        <w:suppressLineNumbers/>
        <w:suppressAutoHyphens/>
        <w:jc w:val="both"/>
        <w:rPr>
          <w:b/>
          <w:sz w:val="20"/>
          <w:szCs w:val="20"/>
          <w:lang w:val="es-AR" w:eastAsia="es-ES"/>
        </w:rPr>
      </w:pPr>
      <w:r w:rsidRPr="007213A1">
        <w:rPr>
          <w:b/>
          <w:sz w:val="20"/>
          <w:szCs w:val="20"/>
          <w:lang w:val="es-AR" w:eastAsia="es-ES"/>
        </w:rPr>
        <w:t>Visión, Misión y Valores</w:t>
      </w:r>
    </w:p>
    <w:p w14:paraId="0F0668D0" w14:textId="77777777" w:rsidR="000334EA" w:rsidRPr="007213A1" w:rsidRDefault="000334EA" w:rsidP="000334EA">
      <w:pPr>
        <w:widowControl w:val="0"/>
        <w:suppressLineNumbers/>
        <w:suppressAutoHyphens/>
        <w:jc w:val="both"/>
        <w:rPr>
          <w:b/>
          <w:sz w:val="20"/>
          <w:szCs w:val="20"/>
          <w:lang w:val="es-AR" w:eastAsia="es-ES"/>
        </w:rPr>
      </w:pPr>
    </w:p>
    <w:p w14:paraId="03EFAC10" w14:textId="77777777" w:rsidR="000334EA" w:rsidRPr="007213A1" w:rsidRDefault="000334EA" w:rsidP="000334EA">
      <w:pPr>
        <w:widowControl w:val="0"/>
        <w:suppressLineNumbers/>
        <w:suppressAutoHyphens/>
        <w:jc w:val="both"/>
        <w:rPr>
          <w:bCs/>
          <w:i/>
          <w:iCs/>
          <w:sz w:val="20"/>
          <w:szCs w:val="20"/>
          <w:lang w:val="es-AR" w:eastAsia="es-ES"/>
        </w:rPr>
      </w:pPr>
      <w:r w:rsidRPr="007213A1">
        <w:rPr>
          <w:bCs/>
          <w:i/>
          <w:iCs/>
          <w:sz w:val="20"/>
          <w:szCs w:val="20"/>
          <w:lang w:val="es-AR" w:eastAsia="es-ES"/>
        </w:rPr>
        <w:t>Visión</w:t>
      </w:r>
    </w:p>
    <w:p w14:paraId="03F25106" w14:textId="6B63A26A" w:rsidR="00194C39" w:rsidRPr="007213A1" w:rsidRDefault="00A61C89" w:rsidP="000334EA">
      <w:pPr>
        <w:widowControl w:val="0"/>
        <w:suppressLineNumbers/>
        <w:suppressAutoHyphens/>
        <w:jc w:val="both"/>
        <w:rPr>
          <w:bCs/>
          <w:i/>
          <w:iCs/>
          <w:sz w:val="20"/>
          <w:szCs w:val="20"/>
          <w:lang w:val="es-AR" w:eastAsia="es-ES"/>
        </w:rPr>
      </w:pPr>
      <w:r>
        <w:rPr>
          <w:color w:val="000000"/>
          <w:sz w:val="20"/>
          <w:szCs w:val="20"/>
          <w:lang w:val="es-AR"/>
        </w:rPr>
        <w:t>Ser</w:t>
      </w:r>
      <w:r w:rsidR="00194C39" w:rsidRPr="00DC6AD3">
        <w:rPr>
          <w:color w:val="000000"/>
          <w:sz w:val="20"/>
          <w:szCs w:val="20"/>
          <w:lang w:val="es-AR"/>
        </w:rPr>
        <w:t xml:space="preserve"> empresa referente en proyectos tecnológicos a nivel mundial y protagonista del desarrollo de la Argentina.</w:t>
      </w:r>
      <w:r w:rsidR="00194C39">
        <w:rPr>
          <w:color w:val="000000"/>
          <w:sz w:val="20"/>
          <w:szCs w:val="20"/>
          <w:lang w:val="es-AR"/>
        </w:rPr>
        <w:t xml:space="preserve"> </w:t>
      </w:r>
    </w:p>
    <w:p w14:paraId="3BDEB821" w14:textId="77777777" w:rsidR="00FB3B77" w:rsidRDefault="00FB3B77" w:rsidP="000334EA">
      <w:pPr>
        <w:widowControl w:val="0"/>
        <w:suppressLineNumbers/>
        <w:suppressAutoHyphens/>
        <w:jc w:val="both"/>
        <w:rPr>
          <w:bCs/>
          <w:i/>
          <w:iCs/>
          <w:sz w:val="20"/>
          <w:szCs w:val="20"/>
          <w:lang w:val="es-AR" w:eastAsia="es-ES"/>
        </w:rPr>
      </w:pPr>
    </w:p>
    <w:p w14:paraId="0A34CC67" w14:textId="53C807C3" w:rsidR="000334EA" w:rsidRPr="007213A1" w:rsidRDefault="000334EA" w:rsidP="000334EA">
      <w:pPr>
        <w:widowControl w:val="0"/>
        <w:suppressLineNumbers/>
        <w:suppressAutoHyphens/>
        <w:jc w:val="both"/>
        <w:rPr>
          <w:bCs/>
          <w:i/>
          <w:iCs/>
          <w:sz w:val="20"/>
          <w:szCs w:val="20"/>
          <w:lang w:val="es-AR" w:eastAsia="es-ES"/>
        </w:rPr>
      </w:pPr>
      <w:r w:rsidRPr="007213A1">
        <w:rPr>
          <w:bCs/>
          <w:i/>
          <w:iCs/>
          <w:sz w:val="20"/>
          <w:szCs w:val="20"/>
          <w:lang w:val="es-AR" w:eastAsia="es-ES"/>
        </w:rPr>
        <w:t>Misión</w:t>
      </w:r>
    </w:p>
    <w:p w14:paraId="65F517AF" w14:textId="6C431709" w:rsidR="00194C39" w:rsidRDefault="00A61C89" w:rsidP="00194C39">
      <w:pPr>
        <w:widowControl w:val="0"/>
        <w:suppressLineNumbers/>
        <w:suppressAutoHyphens/>
        <w:jc w:val="both"/>
        <w:rPr>
          <w:color w:val="000000"/>
          <w:sz w:val="20"/>
          <w:szCs w:val="20"/>
          <w:lang w:val="es-AR"/>
        </w:rPr>
      </w:pPr>
      <w:r>
        <w:rPr>
          <w:color w:val="000000"/>
          <w:sz w:val="20"/>
          <w:szCs w:val="20"/>
          <w:lang w:val="es-AR"/>
        </w:rPr>
        <w:t>Desarrollar</w:t>
      </w:r>
      <w:r w:rsidR="00194C39" w:rsidRPr="00DC6AD3">
        <w:rPr>
          <w:color w:val="000000"/>
          <w:sz w:val="20"/>
          <w:szCs w:val="20"/>
          <w:lang w:val="es-AR"/>
        </w:rPr>
        <w:t xml:space="preserve"> y ejecutar proyectos tecnológicos aportando valor estratégico a sus clientes, en el marco de una empresa autosustentable</w:t>
      </w:r>
      <w:r w:rsidR="00050A32">
        <w:rPr>
          <w:color w:val="000000"/>
          <w:sz w:val="20"/>
          <w:szCs w:val="20"/>
          <w:lang w:val="es-AR"/>
        </w:rPr>
        <w:t>, generando</w:t>
      </w:r>
      <w:r w:rsidR="00194C39" w:rsidRPr="00DC6AD3">
        <w:rPr>
          <w:color w:val="000000"/>
          <w:sz w:val="20"/>
          <w:szCs w:val="20"/>
          <w:lang w:val="es-AR"/>
        </w:rPr>
        <w:t xml:space="preserve"> fuentes genuinas de trabajo, fomentando el desarrollo de su personal y de las comunidades donde opera, respetando el medio ambiente.</w:t>
      </w:r>
    </w:p>
    <w:p w14:paraId="5F7CA7FD" w14:textId="77777777" w:rsidR="00194C39" w:rsidRPr="00DC6AD3" w:rsidRDefault="00194C39" w:rsidP="00194C39">
      <w:pPr>
        <w:widowControl w:val="0"/>
        <w:suppressLineNumbers/>
        <w:suppressAutoHyphens/>
        <w:jc w:val="both"/>
        <w:rPr>
          <w:bCs/>
          <w:i/>
          <w:iCs/>
          <w:sz w:val="20"/>
          <w:szCs w:val="20"/>
          <w:lang w:val="es-ES" w:eastAsia="es-ES"/>
        </w:rPr>
      </w:pPr>
    </w:p>
    <w:p w14:paraId="55891195" w14:textId="77777777" w:rsidR="000334EA" w:rsidRPr="007213A1" w:rsidRDefault="000334EA" w:rsidP="000334EA">
      <w:pPr>
        <w:widowControl w:val="0"/>
        <w:suppressLineNumbers/>
        <w:suppressAutoHyphens/>
        <w:jc w:val="both"/>
        <w:rPr>
          <w:bCs/>
          <w:i/>
          <w:iCs/>
          <w:sz w:val="20"/>
          <w:szCs w:val="20"/>
          <w:lang w:val="es-AR" w:eastAsia="es-ES"/>
        </w:rPr>
      </w:pPr>
      <w:r w:rsidRPr="007213A1">
        <w:rPr>
          <w:bCs/>
          <w:i/>
          <w:iCs/>
          <w:sz w:val="20"/>
          <w:szCs w:val="20"/>
          <w:lang w:val="es-AR" w:eastAsia="es-ES"/>
        </w:rPr>
        <w:t>Valores</w:t>
      </w:r>
    </w:p>
    <w:p w14:paraId="6EF068A2" w14:textId="07372F2F" w:rsidR="00194C39" w:rsidRPr="00050A32" w:rsidRDefault="00194C39" w:rsidP="00A61C89">
      <w:pPr>
        <w:numPr>
          <w:ilvl w:val="0"/>
          <w:numId w:val="54"/>
        </w:numPr>
        <w:spacing w:before="100" w:beforeAutospacing="1" w:after="100" w:afterAutospacing="1"/>
        <w:rPr>
          <w:color w:val="000000"/>
          <w:sz w:val="20"/>
          <w:szCs w:val="20"/>
          <w:lang w:val="es-AR"/>
        </w:rPr>
      </w:pPr>
      <w:r w:rsidRPr="00050A32">
        <w:rPr>
          <w:color w:val="000000"/>
          <w:sz w:val="20"/>
          <w:szCs w:val="20"/>
          <w:lang w:val="es-AR"/>
        </w:rPr>
        <w:t>Ética e Integridad.</w:t>
      </w:r>
      <w:r w:rsidR="00050A32">
        <w:rPr>
          <w:color w:val="000000"/>
          <w:sz w:val="20"/>
          <w:szCs w:val="20"/>
          <w:lang w:val="es-AR"/>
        </w:rPr>
        <w:t xml:space="preserve"> La Sociedad es</w:t>
      </w:r>
      <w:r w:rsidRPr="00050A32">
        <w:rPr>
          <w:color w:val="000000"/>
          <w:sz w:val="20"/>
          <w:szCs w:val="20"/>
          <w:lang w:val="es-AR"/>
        </w:rPr>
        <w:t xml:space="preserve"> socialmente responsable y sost</w:t>
      </w:r>
      <w:r w:rsidR="00050A32">
        <w:rPr>
          <w:color w:val="000000"/>
          <w:sz w:val="20"/>
          <w:szCs w:val="20"/>
          <w:lang w:val="es-AR"/>
        </w:rPr>
        <w:t>iene</w:t>
      </w:r>
      <w:r w:rsidRPr="00050A32">
        <w:rPr>
          <w:color w:val="000000"/>
          <w:sz w:val="20"/>
          <w:szCs w:val="20"/>
          <w:lang w:val="es-AR"/>
        </w:rPr>
        <w:t xml:space="preserve"> una línea de conducta íntegra y transparente.</w:t>
      </w:r>
    </w:p>
    <w:p w14:paraId="17EB0398" w14:textId="0448978D" w:rsidR="00194C39" w:rsidRPr="00050A32" w:rsidRDefault="00194C39" w:rsidP="00A61C89">
      <w:pPr>
        <w:numPr>
          <w:ilvl w:val="0"/>
          <w:numId w:val="54"/>
        </w:numPr>
        <w:spacing w:before="100" w:beforeAutospacing="1" w:after="100" w:afterAutospacing="1"/>
        <w:rPr>
          <w:color w:val="000000"/>
          <w:sz w:val="20"/>
          <w:szCs w:val="20"/>
          <w:lang w:val="es-AR"/>
        </w:rPr>
      </w:pPr>
      <w:r w:rsidRPr="00050A32">
        <w:rPr>
          <w:color w:val="000000"/>
          <w:sz w:val="20"/>
          <w:szCs w:val="20"/>
          <w:lang w:val="es-AR"/>
        </w:rPr>
        <w:t>Trabajo en Equipo.</w:t>
      </w:r>
      <w:r w:rsidR="001C7D00">
        <w:rPr>
          <w:color w:val="000000"/>
          <w:sz w:val="20"/>
          <w:szCs w:val="20"/>
          <w:lang w:val="es-AR"/>
        </w:rPr>
        <w:t xml:space="preserve"> </w:t>
      </w:r>
      <w:r w:rsidR="00050A32">
        <w:rPr>
          <w:color w:val="000000"/>
          <w:sz w:val="20"/>
          <w:szCs w:val="20"/>
          <w:lang w:val="es-AR"/>
        </w:rPr>
        <w:t>INVAP se c</w:t>
      </w:r>
      <w:r w:rsidRPr="00050A32">
        <w:rPr>
          <w:color w:val="000000"/>
          <w:sz w:val="20"/>
          <w:szCs w:val="20"/>
          <w:lang w:val="es-AR"/>
        </w:rPr>
        <w:t>ompromete con el objetivo común y compart</w:t>
      </w:r>
      <w:r w:rsidR="00050A32">
        <w:rPr>
          <w:color w:val="000000"/>
          <w:sz w:val="20"/>
          <w:szCs w:val="20"/>
          <w:lang w:val="es-AR"/>
        </w:rPr>
        <w:t>e</w:t>
      </w:r>
      <w:r w:rsidRPr="00050A32">
        <w:rPr>
          <w:color w:val="000000"/>
          <w:sz w:val="20"/>
          <w:szCs w:val="20"/>
          <w:lang w:val="es-AR"/>
        </w:rPr>
        <w:t xml:space="preserve"> la responsabilidad en el resultado de todas las acciones de la empresa.</w:t>
      </w:r>
    </w:p>
    <w:p w14:paraId="2DF591B2" w14:textId="57948668" w:rsidR="00194C39" w:rsidRPr="00050A32" w:rsidRDefault="00194C39" w:rsidP="00A61C89">
      <w:pPr>
        <w:numPr>
          <w:ilvl w:val="0"/>
          <w:numId w:val="54"/>
        </w:numPr>
        <w:spacing w:before="100" w:beforeAutospacing="1" w:after="100" w:afterAutospacing="1"/>
        <w:rPr>
          <w:color w:val="000000"/>
          <w:sz w:val="20"/>
          <w:szCs w:val="20"/>
          <w:lang w:val="es-AR"/>
        </w:rPr>
      </w:pPr>
      <w:r w:rsidRPr="00050A32">
        <w:rPr>
          <w:color w:val="000000"/>
          <w:sz w:val="20"/>
          <w:szCs w:val="20"/>
          <w:lang w:val="es-AR"/>
        </w:rPr>
        <w:t>Compromiso.</w:t>
      </w:r>
      <w:r w:rsidR="00050A32">
        <w:rPr>
          <w:color w:val="000000"/>
          <w:sz w:val="20"/>
          <w:szCs w:val="20"/>
          <w:lang w:val="es-AR"/>
        </w:rPr>
        <w:t xml:space="preserve"> La Sociedad se esfuerza por</w:t>
      </w:r>
      <w:r w:rsidRPr="00050A32">
        <w:rPr>
          <w:color w:val="000000"/>
          <w:sz w:val="20"/>
          <w:szCs w:val="20"/>
          <w:lang w:val="es-AR"/>
        </w:rPr>
        <w:t xml:space="preserve"> lograr los objetivos</w:t>
      </w:r>
      <w:r w:rsidR="00050A32">
        <w:rPr>
          <w:color w:val="000000"/>
          <w:sz w:val="20"/>
          <w:szCs w:val="20"/>
          <w:lang w:val="es-AR"/>
        </w:rPr>
        <w:t xml:space="preserve">, sintiendo la </w:t>
      </w:r>
      <w:r w:rsidRPr="00050A32">
        <w:rPr>
          <w:color w:val="000000"/>
          <w:sz w:val="20"/>
          <w:szCs w:val="20"/>
          <w:lang w:val="es-AR"/>
        </w:rPr>
        <w:t>a la empresa como propia.</w:t>
      </w:r>
    </w:p>
    <w:p w14:paraId="40E32B56" w14:textId="79A40CA0" w:rsidR="00194C39" w:rsidRPr="00050A32" w:rsidRDefault="00194C39" w:rsidP="00A61C89">
      <w:pPr>
        <w:numPr>
          <w:ilvl w:val="0"/>
          <w:numId w:val="54"/>
        </w:numPr>
        <w:spacing w:before="100" w:beforeAutospacing="1" w:after="100" w:afterAutospacing="1"/>
        <w:rPr>
          <w:color w:val="000000"/>
          <w:sz w:val="20"/>
          <w:szCs w:val="20"/>
          <w:lang w:val="es-AR"/>
        </w:rPr>
      </w:pPr>
      <w:r w:rsidRPr="00050A32">
        <w:rPr>
          <w:color w:val="000000"/>
          <w:sz w:val="20"/>
          <w:szCs w:val="20"/>
          <w:lang w:val="es-AR"/>
        </w:rPr>
        <w:t>Profesionalismo.</w:t>
      </w:r>
      <w:r w:rsidR="00050A32">
        <w:rPr>
          <w:color w:val="000000"/>
          <w:sz w:val="20"/>
          <w:szCs w:val="20"/>
          <w:lang w:val="es-AR"/>
        </w:rPr>
        <w:t xml:space="preserve"> La Sociedad d</w:t>
      </w:r>
      <w:r w:rsidRPr="00050A32">
        <w:rPr>
          <w:color w:val="000000"/>
          <w:sz w:val="20"/>
          <w:szCs w:val="20"/>
          <w:lang w:val="es-AR"/>
        </w:rPr>
        <w:t xml:space="preserve">esempeña </w:t>
      </w:r>
      <w:r w:rsidR="00050A32">
        <w:rPr>
          <w:color w:val="000000"/>
          <w:sz w:val="20"/>
          <w:szCs w:val="20"/>
          <w:lang w:val="es-AR"/>
        </w:rPr>
        <w:t>su</w:t>
      </w:r>
      <w:r w:rsidRPr="00050A32">
        <w:rPr>
          <w:color w:val="000000"/>
          <w:sz w:val="20"/>
          <w:szCs w:val="20"/>
          <w:lang w:val="es-AR"/>
        </w:rPr>
        <w:t xml:space="preserve"> actividad con responsabilidad, preparándo</w:t>
      </w:r>
      <w:r w:rsidR="00050A32">
        <w:rPr>
          <w:color w:val="000000"/>
          <w:sz w:val="20"/>
          <w:szCs w:val="20"/>
          <w:lang w:val="es-AR"/>
        </w:rPr>
        <w:t>se</w:t>
      </w:r>
      <w:r w:rsidRPr="00050A32">
        <w:rPr>
          <w:color w:val="000000"/>
          <w:sz w:val="20"/>
          <w:szCs w:val="20"/>
          <w:lang w:val="es-AR"/>
        </w:rPr>
        <w:t xml:space="preserve"> para hacer bien el trabajo y afrontando los desafíos con seriedad. </w:t>
      </w:r>
      <w:r w:rsidR="00050A32">
        <w:rPr>
          <w:color w:val="000000"/>
          <w:sz w:val="20"/>
          <w:szCs w:val="20"/>
          <w:lang w:val="es-AR"/>
        </w:rPr>
        <w:t>La Sociedad p</w:t>
      </w:r>
      <w:r w:rsidRPr="00050A32">
        <w:rPr>
          <w:color w:val="000000"/>
          <w:sz w:val="20"/>
          <w:szCs w:val="20"/>
          <w:lang w:val="es-AR"/>
        </w:rPr>
        <w:t xml:space="preserve">otencia </w:t>
      </w:r>
      <w:r w:rsidR="00050A32">
        <w:rPr>
          <w:color w:val="000000"/>
          <w:sz w:val="20"/>
          <w:szCs w:val="20"/>
          <w:lang w:val="es-AR"/>
        </w:rPr>
        <w:t>sus</w:t>
      </w:r>
      <w:r w:rsidRPr="00050A32">
        <w:rPr>
          <w:color w:val="000000"/>
          <w:sz w:val="20"/>
          <w:szCs w:val="20"/>
          <w:lang w:val="es-AR"/>
        </w:rPr>
        <w:t xml:space="preserve"> capacidades aprendiendo de la experiencia e incorporando las lecciones aprendidas.</w:t>
      </w:r>
    </w:p>
    <w:p w14:paraId="66025BA1" w14:textId="778C4633" w:rsidR="00194C39" w:rsidRPr="00050A32" w:rsidRDefault="00194C39" w:rsidP="00A61C89">
      <w:pPr>
        <w:numPr>
          <w:ilvl w:val="0"/>
          <w:numId w:val="54"/>
        </w:numPr>
        <w:spacing w:before="100" w:beforeAutospacing="1" w:after="100" w:afterAutospacing="1"/>
        <w:rPr>
          <w:color w:val="000000"/>
          <w:sz w:val="20"/>
          <w:szCs w:val="20"/>
          <w:lang w:val="es-AR"/>
        </w:rPr>
      </w:pPr>
      <w:r w:rsidRPr="00050A32">
        <w:rPr>
          <w:color w:val="000000"/>
          <w:sz w:val="20"/>
          <w:szCs w:val="20"/>
          <w:lang w:val="es-AR"/>
        </w:rPr>
        <w:t>Comunicación.</w:t>
      </w:r>
      <w:r w:rsidR="00050A32">
        <w:rPr>
          <w:color w:val="000000"/>
          <w:sz w:val="20"/>
          <w:szCs w:val="20"/>
          <w:lang w:val="es-AR"/>
        </w:rPr>
        <w:t xml:space="preserve"> INVAP p</w:t>
      </w:r>
      <w:r w:rsidRPr="00050A32">
        <w:rPr>
          <w:color w:val="000000"/>
          <w:sz w:val="20"/>
          <w:szCs w:val="20"/>
          <w:lang w:val="es-AR"/>
        </w:rPr>
        <w:t xml:space="preserve">ropicia el diálogo, </w:t>
      </w:r>
      <w:r w:rsidR="00050A32">
        <w:rPr>
          <w:color w:val="000000"/>
          <w:sz w:val="20"/>
          <w:szCs w:val="20"/>
          <w:lang w:val="es-AR"/>
        </w:rPr>
        <w:t>generando los espacios</w:t>
      </w:r>
      <w:r w:rsidRPr="00050A32">
        <w:rPr>
          <w:color w:val="000000"/>
          <w:sz w:val="20"/>
          <w:szCs w:val="20"/>
          <w:lang w:val="es-AR"/>
        </w:rPr>
        <w:t xml:space="preserve"> para reuni</w:t>
      </w:r>
      <w:r w:rsidR="00050A32">
        <w:rPr>
          <w:color w:val="000000"/>
          <w:sz w:val="20"/>
          <w:szCs w:val="20"/>
          <w:lang w:val="es-AR"/>
        </w:rPr>
        <w:t>ones, fomentando la escucha y entendimiento de todos los colaboradores.</w:t>
      </w:r>
    </w:p>
    <w:p w14:paraId="03822415" w14:textId="5C99A0B5" w:rsidR="00194C39" w:rsidRPr="00050A32" w:rsidRDefault="00194C39" w:rsidP="00A61C89">
      <w:pPr>
        <w:numPr>
          <w:ilvl w:val="0"/>
          <w:numId w:val="54"/>
        </w:numPr>
        <w:spacing w:before="100" w:beforeAutospacing="1" w:after="100" w:afterAutospacing="1"/>
        <w:rPr>
          <w:color w:val="000000"/>
          <w:sz w:val="20"/>
          <w:szCs w:val="20"/>
          <w:lang w:val="es-AR"/>
        </w:rPr>
      </w:pPr>
      <w:r w:rsidRPr="00050A32">
        <w:rPr>
          <w:color w:val="000000"/>
          <w:sz w:val="20"/>
          <w:szCs w:val="20"/>
          <w:lang w:val="es-AR"/>
        </w:rPr>
        <w:t>Respeto.</w:t>
      </w:r>
      <w:r w:rsidR="00050A32">
        <w:rPr>
          <w:color w:val="000000"/>
          <w:sz w:val="20"/>
          <w:szCs w:val="20"/>
          <w:lang w:val="es-AR"/>
        </w:rPr>
        <w:t xml:space="preserve"> La Sociedad v</w:t>
      </w:r>
      <w:r w:rsidRPr="00050A32">
        <w:rPr>
          <w:color w:val="000000"/>
          <w:sz w:val="20"/>
          <w:szCs w:val="20"/>
          <w:lang w:val="es-AR"/>
        </w:rPr>
        <w:t xml:space="preserve">alora a las personas, escucha sus opiniones, reconoce las diferencias y </w:t>
      </w:r>
      <w:r w:rsidR="00050A32">
        <w:rPr>
          <w:color w:val="000000"/>
          <w:sz w:val="20"/>
          <w:szCs w:val="20"/>
          <w:lang w:val="es-AR"/>
        </w:rPr>
        <w:t>se tienen</w:t>
      </w:r>
      <w:r w:rsidRPr="00050A32">
        <w:rPr>
          <w:color w:val="000000"/>
          <w:sz w:val="20"/>
          <w:szCs w:val="20"/>
          <w:lang w:val="es-AR"/>
        </w:rPr>
        <w:t xml:space="preserve"> en cuenta en la toma de decisiones.</w:t>
      </w:r>
    </w:p>
    <w:p w14:paraId="32AEDF05" w14:textId="76EADCD2" w:rsidR="00194C39" w:rsidRPr="00050A32" w:rsidRDefault="00194C39" w:rsidP="00A61C89">
      <w:pPr>
        <w:numPr>
          <w:ilvl w:val="0"/>
          <w:numId w:val="54"/>
        </w:numPr>
        <w:spacing w:before="100" w:beforeAutospacing="1" w:after="100" w:afterAutospacing="1"/>
        <w:rPr>
          <w:color w:val="000000"/>
          <w:sz w:val="20"/>
          <w:szCs w:val="20"/>
          <w:lang w:val="es-AR"/>
        </w:rPr>
      </w:pPr>
      <w:r w:rsidRPr="00050A32">
        <w:rPr>
          <w:color w:val="000000"/>
          <w:sz w:val="20"/>
          <w:szCs w:val="20"/>
          <w:lang w:val="es-AR"/>
        </w:rPr>
        <w:t>Motivación.</w:t>
      </w:r>
      <w:r w:rsidR="00050A32">
        <w:rPr>
          <w:color w:val="000000"/>
          <w:sz w:val="20"/>
          <w:szCs w:val="20"/>
          <w:lang w:val="es-AR"/>
        </w:rPr>
        <w:t xml:space="preserve"> INVAP c</w:t>
      </w:r>
      <w:r w:rsidRPr="00050A32">
        <w:rPr>
          <w:color w:val="000000"/>
          <w:sz w:val="20"/>
          <w:szCs w:val="20"/>
          <w:lang w:val="es-AR"/>
        </w:rPr>
        <w:t xml:space="preserve">onsidera importante a cada uno de los integrantes de la empresa. </w:t>
      </w:r>
      <w:r w:rsidR="00050A32">
        <w:rPr>
          <w:color w:val="000000"/>
          <w:sz w:val="20"/>
          <w:szCs w:val="20"/>
          <w:lang w:val="es-AR"/>
        </w:rPr>
        <w:t>La Sociedad tiene</w:t>
      </w:r>
      <w:r w:rsidRPr="00050A32">
        <w:rPr>
          <w:color w:val="000000"/>
          <w:sz w:val="20"/>
          <w:szCs w:val="20"/>
          <w:lang w:val="es-AR"/>
        </w:rPr>
        <w:t xml:space="preserve"> objetivos claros y desafiantes. </w:t>
      </w:r>
    </w:p>
    <w:p w14:paraId="79AE8ECA" w14:textId="15726465" w:rsidR="00194C39" w:rsidRPr="00050A32" w:rsidRDefault="00194C39" w:rsidP="00A61C89">
      <w:pPr>
        <w:numPr>
          <w:ilvl w:val="0"/>
          <w:numId w:val="54"/>
        </w:numPr>
        <w:spacing w:before="100" w:beforeAutospacing="1" w:after="100" w:afterAutospacing="1"/>
        <w:rPr>
          <w:color w:val="000000"/>
          <w:sz w:val="20"/>
          <w:szCs w:val="20"/>
          <w:lang w:val="es-AR"/>
        </w:rPr>
      </w:pPr>
      <w:r w:rsidRPr="00050A32">
        <w:rPr>
          <w:color w:val="000000"/>
          <w:sz w:val="20"/>
          <w:szCs w:val="20"/>
          <w:lang w:val="es-AR"/>
        </w:rPr>
        <w:t>Austeridad.</w:t>
      </w:r>
      <w:r w:rsidR="00050A32">
        <w:rPr>
          <w:color w:val="000000"/>
          <w:sz w:val="20"/>
          <w:szCs w:val="20"/>
          <w:lang w:val="es-AR"/>
        </w:rPr>
        <w:t xml:space="preserve"> La Sociedad c</w:t>
      </w:r>
      <w:r w:rsidRPr="00050A32">
        <w:rPr>
          <w:color w:val="000000"/>
          <w:sz w:val="20"/>
          <w:szCs w:val="20"/>
          <w:lang w:val="es-AR"/>
        </w:rPr>
        <w:t xml:space="preserve">uida y utiliza eficientemente </w:t>
      </w:r>
      <w:r w:rsidR="00050A32">
        <w:rPr>
          <w:color w:val="000000"/>
          <w:sz w:val="20"/>
          <w:szCs w:val="20"/>
          <w:lang w:val="es-AR"/>
        </w:rPr>
        <w:t>su</w:t>
      </w:r>
      <w:r w:rsidRPr="00050A32">
        <w:rPr>
          <w:color w:val="000000"/>
          <w:sz w:val="20"/>
          <w:szCs w:val="20"/>
          <w:lang w:val="es-AR"/>
        </w:rPr>
        <w:t>s recursos, gasta lo necesario y prescind</w:t>
      </w:r>
      <w:r w:rsidR="00050A32">
        <w:rPr>
          <w:color w:val="000000"/>
          <w:sz w:val="20"/>
          <w:szCs w:val="20"/>
          <w:lang w:val="es-AR"/>
        </w:rPr>
        <w:t>e</w:t>
      </w:r>
      <w:r w:rsidRPr="00050A32">
        <w:rPr>
          <w:color w:val="000000"/>
          <w:sz w:val="20"/>
          <w:szCs w:val="20"/>
          <w:lang w:val="es-AR"/>
        </w:rPr>
        <w:t xml:space="preserve"> de lo inútil o superfluo. </w:t>
      </w:r>
      <w:r w:rsidR="00050A32">
        <w:rPr>
          <w:color w:val="000000"/>
          <w:sz w:val="20"/>
          <w:szCs w:val="20"/>
          <w:lang w:val="es-AR"/>
        </w:rPr>
        <w:t xml:space="preserve">Se aplican </w:t>
      </w:r>
      <w:r w:rsidRPr="00050A32">
        <w:rPr>
          <w:color w:val="000000"/>
          <w:sz w:val="20"/>
          <w:szCs w:val="20"/>
          <w:lang w:val="es-AR"/>
        </w:rPr>
        <w:t>las mismas reglas en todos los niveles.</w:t>
      </w:r>
    </w:p>
    <w:p w14:paraId="38A8E2A1" w14:textId="5F52E9D0" w:rsidR="00194C39" w:rsidRPr="00050A32" w:rsidRDefault="00194C39" w:rsidP="00A61C89">
      <w:pPr>
        <w:numPr>
          <w:ilvl w:val="0"/>
          <w:numId w:val="54"/>
        </w:numPr>
        <w:spacing w:before="100" w:beforeAutospacing="1" w:after="100" w:afterAutospacing="1"/>
        <w:rPr>
          <w:color w:val="000000"/>
          <w:sz w:val="20"/>
          <w:szCs w:val="20"/>
          <w:lang w:val="es-AR"/>
        </w:rPr>
      </w:pPr>
      <w:r w:rsidRPr="00050A32">
        <w:rPr>
          <w:color w:val="000000"/>
          <w:sz w:val="20"/>
          <w:szCs w:val="20"/>
          <w:lang w:val="es-AR"/>
        </w:rPr>
        <w:t>Creatividad e Innovación.</w:t>
      </w:r>
      <w:r w:rsidR="00050A32">
        <w:rPr>
          <w:color w:val="000000"/>
          <w:sz w:val="20"/>
          <w:szCs w:val="20"/>
          <w:lang w:val="es-AR"/>
        </w:rPr>
        <w:t xml:space="preserve"> INVAP c</w:t>
      </w:r>
      <w:r w:rsidRPr="00050A32">
        <w:rPr>
          <w:color w:val="000000"/>
          <w:sz w:val="20"/>
          <w:szCs w:val="20"/>
          <w:lang w:val="es-AR"/>
        </w:rPr>
        <w:t xml:space="preserve">orre </w:t>
      </w:r>
      <w:r w:rsidR="00050A32">
        <w:rPr>
          <w:color w:val="000000"/>
          <w:sz w:val="20"/>
          <w:szCs w:val="20"/>
          <w:lang w:val="es-AR"/>
        </w:rPr>
        <w:t>sus</w:t>
      </w:r>
      <w:r w:rsidRPr="00050A32">
        <w:rPr>
          <w:color w:val="000000"/>
          <w:sz w:val="20"/>
          <w:szCs w:val="20"/>
          <w:lang w:val="es-AR"/>
        </w:rPr>
        <w:t xml:space="preserve"> límites y busca nuevas fronteras.</w:t>
      </w:r>
    </w:p>
    <w:p w14:paraId="420B0F15" w14:textId="3CE1A22E" w:rsidR="00194C39" w:rsidRPr="00050A32" w:rsidRDefault="00194C39" w:rsidP="00A61C89">
      <w:pPr>
        <w:numPr>
          <w:ilvl w:val="0"/>
          <w:numId w:val="54"/>
        </w:numPr>
        <w:spacing w:before="100" w:beforeAutospacing="1" w:after="100" w:afterAutospacing="1"/>
        <w:rPr>
          <w:color w:val="000000"/>
          <w:sz w:val="20"/>
          <w:szCs w:val="20"/>
          <w:lang w:val="es-AR"/>
        </w:rPr>
      </w:pPr>
      <w:r w:rsidRPr="00050A32">
        <w:rPr>
          <w:color w:val="000000"/>
          <w:sz w:val="20"/>
          <w:szCs w:val="20"/>
          <w:lang w:val="es-AR"/>
        </w:rPr>
        <w:t>Audacia.</w:t>
      </w:r>
      <w:r w:rsidR="00050A32">
        <w:rPr>
          <w:color w:val="000000"/>
          <w:sz w:val="20"/>
          <w:szCs w:val="20"/>
          <w:lang w:val="es-AR"/>
        </w:rPr>
        <w:t xml:space="preserve"> La Sociedad tienen</w:t>
      </w:r>
      <w:r w:rsidRPr="00050A32">
        <w:rPr>
          <w:color w:val="000000"/>
          <w:sz w:val="20"/>
          <w:szCs w:val="20"/>
          <w:lang w:val="es-AR"/>
        </w:rPr>
        <w:t xml:space="preserve"> la convicción de que p</w:t>
      </w:r>
      <w:r w:rsidR="00050A32">
        <w:rPr>
          <w:color w:val="000000"/>
          <w:sz w:val="20"/>
          <w:szCs w:val="20"/>
          <w:lang w:val="es-AR"/>
        </w:rPr>
        <w:t>uede</w:t>
      </w:r>
      <w:r w:rsidRPr="00050A32">
        <w:rPr>
          <w:color w:val="000000"/>
          <w:sz w:val="20"/>
          <w:szCs w:val="20"/>
          <w:lang w:val="es-AR"/>
        </w:rPr>
        <w:t xml:space="preserve"> desarrollar y ejecutar proyectos que implican grandes desafíos. </w:t>
      </w:r>
      <w:r w:rsidR="00050A32">
        <w:rPr>
          <w:color w:val="000000"/>
          <w:sz w:val="20"/>
          <w:szCs w:val="20"/>
          <w:lang w:val="es-AR"/>
        </w:rPr>
        <w:t>La Sociedad s</w:t>
      </w:r>
      <w:r w:rsidRPr="00050A32">
        <w:rPr>
          <w:color w:val="000000"/>
          <w:sz w:val="20"/>
          <w:szCs w:val="20"/>
          <w:lang w:val="es-AR"/>
        </w:rPr>
        <w:t>abe que si el problema tiene solución lo lograr</w:t>
      </w:r>
      <w:r w:rsidR="00050A32">
        <w:rPr>
          <w:color w:val="000000"/>
          <w:sz w:val="20"/>
          <w:szCs w:val="20"/>
          <w:lang w:val="es-AR"/>
        </w:rPr>
        <w:t>á</w:t>
      </w:r>
      <w:r w:rsidRPr="00050A32">
        <w:rPr>
          <w:color w:val="000000"/>
          <w:sz w:val="20"/>
          <w:szCs w:val="20"/>
          <w:lang w:val="es-AR"/>
        </w:rPr>
        <w:t xml:space="preserve">. </w:t>
      </w:r>
      <w:r w:rsidR="00050A32">
        <w:rPr>
          <w:color w:val="000000"/>
          <w:sz w:val="20"/>
          <w:szCs w:val="20"/>
          <w:lang w:val="es-AR"/>
        </w:rPr>
        <w:t xml:space="preserve">INVAP es </w:t>
      </w:r>
      <w:r w:rsidRPr="00050A32">
        <w:rPr>
          <w:color w:val="000000"/>
          <w:sz w:val="20"/>
          <w:szCs w:val="20"/>
          <w:lang w:val="es-AR"/>
        </w:rPr>
        <w:t>un equipo positivo y con energía.</w:t>
      </w:r>
    </w:p>
    <w:p w14:paraId="3D4E753E" w14:textId="62811165" w:rsidR="00194C39" w:rsidRPr="00050A32" w:rsidRDefault="00194C39" w:rsidP="00A61C89">
      <w:pPr>
        <w:numPr>
          <w:ilvl w:val="0"/>
          <w:numId w:val="54"/>
        </w:numPr>
        <w:spacing w:before="100" w:beforeAutospacing="1" w:after="100" w:afterAutospacing="1"/>
        <w:rPr>
          <w:color w:val="000000"/>
          <w:sz w:val="20"/>
          <w:szCs w:val="20"/>
          <w:lang w:val="es-AR"/>
        </w:rPr>
      </w:pPr>
      <w:r w:rsidRPr="00050A32">
        <w:rPr>
          <w:color w:val="000000"/>
          <w:sz w:val="20"/>
          <w:szCs w:val="20"/>
          <w:lang w:val="es-AR"/>
        </w:rPr>
        <w:t>Éxito.</w:t>
      </w:r>
      <w:r w:rsidR="00050A32">
        <w:rPr>
          <w:color w:val="000000"/>
          <w:sz w:val="20"/>
          <w:szCs w:val="20"/>
          <w:lang w:val="es-AR"/>
        </w:rPr>
        <w:t xml:space="preserve"> La Sociedad cumple</w:t>
      </w:r>
      <w:r w:rsidRPr="00050A32">
        <w:rPr>
          <w:color w:val="000000"/>
          <w:sz w:val="20"/>
          <w:szCs w:val="20"/>
          <w:lang w:val="es-AR"/>
        </w:rPr>
        <w:t xml:space="preserve"> con </w:t>
      </w:r>
      <w:r w:rsidR="00050A32">
        <w:rPr>
          <w:color w:val="000000"/>
          <w:sz w:val="20"/>
          <w:szCs w:val="20"/>
          <w:lang w:val="es-AR"/>
        </w:rPr>
        <w:t>sus</w:t>
      </w:r>
      <w:r w:rsidRPr="00050A32">
        <w:rPr>
          <w:color w:val="000000"/>
          <w:sz w:val="20"/>
          <w:szCs w:val="20"/>
          <w:lang w:val="es-AR"/>
        </w:rPr>
        <w:t xml:space="preserve"> objetivos y compromisos</w:t>
      </w:r>
      <w:r w:rsidR="00050A32">
        <w:rPr>
          <w:color w:val="000000"/>
          <w:sz w:val="20"/>
          <w:szCs w:val="20"/>
          <w:lang w:val="es-AR"/>
        </w:rPr>
        <w:t>, aportando y sumando</w:t>
      </w:r>
      <w:r w:rsidRPr="00050A32">
        <w:rPr>
          <w:color w:val="000000"/>
          <w:sz w:val="20"/>
          <w:szCs w:val="20"/>
          <w:lang w:val="es-AR"/>
        </w:rPr>
        <w:t xml:space="preserve"> a la comunidad donde pertenece.</w:t>
      </w:r>
    </w:p>
    <w:p w14:paraId="05F4927C" w14:textId="0C8BC056" w:rsidR="00194C39" w:rsidRPr="00050A32" w:rsidRDefault="00194C39" w:rsidP="00A61C89">
      <w:pPr>
        <w:numPr>
          <w:ilvl w:val="0"/>
          <w:numId w:val="54"/>
        </w:numPr>
        <w:spacing w:before="100" w:beforeAutospacing="1" w:after="100" w:afterAutospacing="1"/>
        <w:rPr>
          <w:color w:val="000000"/>
          <w:sz w:val="20"/>
          <w:szCs w:val="20"/>
          <w:lang w:val="es-AR"/>
        </w:rPr>
      </w:pPr>
      <w:r w:rsidRPr="00050A32">
        <w:rPr>
          <w:color w:val="000000"/>
          <w:sz w:val="20"/>
          <w:szCs w:val="20"/>
          <w:lang w:val="es-AR"/>
        </w:rPr>
        <w:t>Ganancia.</w:t>
      </w:r>
      <w:r w:rsidR="00050A32">
        <w:rPr>
          <w:color w:val="000000"/>
          <w:sz w:val="20"/>
          <w:szCs w:val="20"/>
          <w:lang w:val="es-AR"/>
        </w:rPr>
        <w:t xml:space="preserve"> INVAP g</w:t>
      </w:r>
      <w:r w:rsidRPr="00050A32">
        <w:rPr>
          <w:color w:val="000000"/>
          <w:sz w:val="20"/>
          <w:szCs w:val="20"/>
          <w:lang w:val="es-AR"/>
        </w:rPr>
        <w:t xml:space="preserve">enera los recursos económicos necesarios para asegurar el crecimiento sostenido de la empresa y </w:t>
      </w:r>
      <w:r w:rsidR="00050A32">
        <w:rPr>
          <w:color w:val="000000"/>
          <w:sz w:val="20"/>
          <w:szCs w:val="20"/>
          <w:lang w:val="es-AR"/>
        </w:rPr>
        <w:t>de sus</w:t>
      </w:r>
      <w:r w:rsidRPr="00050A32">
        <w:rPr>
          <w:color w:val="000000"/>
          <w:sz w:val="20"/>
          <w:szCs w:val="20"/>
          <w:lang w:val="es-AR"/>
        </w:rPr>
        <w:t xml:space="preserve"> ingresos.</w:t>
      </w:r>
    </w:p>
    <w:p w14:paraId="12A4530D" w14:textId="0DE784A8" w:rsidR="00194C39" w:rsidRPr="00050A32" w:rsidRDefault="00194C39" w:rsidP="00A61C89">
      <w:pPr>
        <w:numPr>
          <w:ilvl w:val="0"/>
          <w:numId w:val="54"/>
        </w:numPr>
        <w:spacing w:before="100" w:beforeAutospacing="1" w:after="100" w:afterAutospacing="1"/>
        <w:rPr>
          <w:color w:val="000000"/>
          <w:sz w:val="20"/>
          <w:szCs w:val="20"/>
          <w:lang w:val="es-AR"/>
        </w:rPr>
      </w:pPr>
      <w:r w:rsidRPr="00050A32">
        <w:rPr>
          <w:color w:val="000000"/>
          <w:sz w:val="20"/>
          <w:szCs w:val="20"/>
          <w:lang w:val="es-AR"/>
        </w:rPr>
        <w:t>Flexibilidad.</w:t>
      </w:r>
      <w:r w:rsidR="00050A32">
        <w:rPr>
          <w:color w:val="000000"/>
          <w:sz w:val="20"/>
          <w:szCs w:val="20"/>
          <w:lang w:val="es-AR"/>
        </w:rPr>
        <w:t xml:space="preserve"> La Sociedad tiene</w:t>
      </w:r>
      <w:r w:rsidRPr="00050A32">
        <w:rPr>
          <w:color w:val="000000"/>
          <w:sz w:val="20"/>
          <w:szCs w:val="20"/>
          <w:lang w:val="es-AR"/>
        </w:rPr>
        <w:t xml:space="preserve"> la capacidad de cambiar cuando lo cree necesario y de adaptar</w:t>
      </w:r>
      <w:r w:rsidR="00050A32">
        <w:rPr>
          <w:color w:val="000000"/>
          <w:sz w:val="20"/>
          <w:szCs w:val="20"/>
          <w:lang w:val="es-AR"/>
        </w:rPr>
        <w:t>se</w:t>
      </w:r>
      <w:r w:rsidRPr="00050A32">
        <w:rPr>
          <w:color w:val="000000"/>
          <w:sz w:val="20"/>
          <w:szCs w:val="20"/>
          <w:lang w:val="es-AR"/>
        </w:rPr>
        <w:t xml:space="preserve"> a entornos variables.</w:t>
      </w:r>
    </w:p>
    <w:p w14:paraId="4512CF72" w14:textId="3BE4B6F6" w:rsidR="00194C39" w:rsidRPr="00050A32" w:rsidRDefault="00194C39" w:rsidP="00A61C89">
      <w:pPr>
        <w:numPr>
          <w:ilvl w:val="0"/>
          <w:numId w:val="54"/>
        </w:numPr>
        <w:spacing w:before="100" w:beforeAutospacing="1" w:after="100" w:afterAutospacing="1"/>
        <w:rPr>
          <w:color w:val="000000"/>
          <w:sz w:val="20"/>
          <w:szCs w:val="20"/>
          <w:lang w:val="es-AR"/>
        </w:rPr>
      </w:pPr>
      <w:r w:rsidRPr="00050A32">
        <w:rPr>
          <w:color w:val="000000"/>
          <w:sz w:val="20"/>
          <w:szCs w:val="20"/>
          <w:lang w:val="es-AR"/>
        </w:rPr>
        <w:t>Conocimiento.</w:t>
      </w:r>
      <w:r w:rsidR="00050A32">
        <w:rPr>
          <w:color w:val="000000"/>
          <w:sz w:val="20"/>
          <w:szCs w:val="20"/>
          <w:lang w:val="es-AR"/>
        </w:rPr>
        <w:t xml:space="preserve"> INVAP e</w:t>
      </w:r>
      <w:r w:rsidRPr="00050A32">
        <w:rPr>
          <w:color w:val="000000"/>
          <w:sz w:val="20"/>
          <w:szCs w:val="20"/>
          <w:lang w:val="es-AR"/>
        </w:rPr>
        <w:t xml:space="preserve">studia, </w:t>
      </w:r>
      <w:r w:rsidR="00050A32">
        <w:rPr>
          <w:color w:val="000000"/>
          <w:sz w:val="20"/>
          <w:szCs w:val="20"/>
          <w:lang w:val="es-AR"/>
        </w:rPr>
        <w:t xml:space="preserve">se </w:t>
      </w:r>
      <w:r w:rsidRPr="00050A32">
        <w:rPr>
          <w:color w:val="000000"/>
          <w:sz w:val="20"/>
          <w:szCs w:val="20"/>
          <w:lang w:val="es-AR"/>
        </w:rPr>
        <w:t>actualiza y prepara</w:t>
      </w:r>
      <w:r w:rsidR="00050A32">
        <w:rPr>
          <w:color w:val="000000"/>
          <w:sz w:val="20"/>
          <w:szCs w:val="20"/>
          <w:lang w:val="es-AR"/>
        </w:rPr>
        <w:t xml:space="preserve"> a sus colaboradores</w:t>
      </w:r>
      <w:r w:rsidRPr="00050A32">
        <w:rPr>
          <w:color w:val="000000"/>
          <w:sz w:val="20"/>
          <w:szCs w:val="20"/>
          <w:lang w:val="es-AR"/>
        </w:rPr>
        <w:t xml:space="preserve"> mental y emocionalmente para dar lo mejor de </w:t>
      </w:r>
      <w:r w:rsidR="00050A32">
        <w:rPr>
          <w:color w:val="000000"/>
          <w:sz w:val="20"/>
          <w:szCs w:val="20"/>
          <w:lang w:val="es-AR"/>
        </w:rPr>
        <w:t>cada uno</w:t>
      </w:r>
      <w:r w:rsidRPr="00050A32">
        <w:rPr>
          <w:color w:val="000000"/>
          <w:sz w:val="20"/>
          <w:szCs w:val="20"/>
          <w:lang w:val="es-AR"/>
        </w:rPr>
        <w:t>.</w:t>
      </w:r>
    </w:p>
    <w:p w14:paraId="3C92C292" w14:textId="77777777" w:rsidR="000334EA" w:rsidRPr="007213A1" w:rsidRDefault="000334EA" w:rsidP="000334EA">
      <w:pPr>
        <w:widowControl w:val="0"/>
        <w:suppressLineNumbers/>
        <w:suppressAutoHyphens/>
        <w:jc w:val="both"/>
        <w:rPr>
          <w:b/>
          <w:i/>
          <w:iCs/>
          <w:sz w:val="20"/>
          <w:szCs w:val="20"/>
          <w:lang w:val="es-AR" w:eastAsia="es-ES"/>
        </w:rPr>
      </w:pPr>
    </w:p>
    <w:p w14:paraId="653F3912" w14:textId="77777777" w:rsidR="000334EA" w:rsidRPr="007213A1" w:rsidRDefault="000334EA" w:rsidP="000334EA">
      <w:pPr>
        <w:pStyle w:val="Prrafodelista"/>
        <w:widowControl w:val="0"/>
        <w:numPr>
          <w:ilvl w:val="0"/>
          <w:numId w:val="35"/>
        </w:numPr>
        <w:suppressLineNumbers/>
        <w:suppressAutoHyphens/>
        <w:jc w:val="both"/>
        <w:rPr>
          <w:rFonts w:ascii="Times New Roman" w:hAnsi="Times New Roman"/>
          <w:b/>
          <w:sz w:val="20"/>
          <w:szCs w:val="20"/>
          <w:lang w:eastAsia="es-ES"/>
        </w:rPr>
      </w:pPr>
      <w:r w:rsidRPr="007213A1">
        <w:rPr>
          <w:rFonts w:ascii="Times New Roman" w:hAnsi="Times New Roman"/>
          <w:b/>
          <w:sz w:val="20"/>
          <w:szCs w:val="20"/>
          <w:lang w:eastAsia="es-ES"/>
        </w:rPr>
        <w:t>Descripción del sector en el que desarrolla su actividad</w:t>
      </w:r>
    </w:p>
    <w:p w14:paraId="457D662B" w14:textId="77777777" w:rsidR="000334EA" w:rsidRPr="007213A1" w:rsidRDefault="000334EA" w:rsidP="000334EA">
      <w:pPr>
        <w:widowControl w:val="0"/>
        <w:suppressLineNumbers/>
        <w:suppressAutoHyphens/>
        <w:jc w:val="both"/>
        <w:rPr>
          <w:b/>
          <w:sz w:val="20"/>
          <w:szCs w:val="20"/>
          <w:lang w:val="es-MX" w:eastAsia="es-ES"/>
        </w:rPr>
      </w:pPr>
    </w:p>
    <w:p w14:paraId="76C55868" w14:textId="77777777" w:rsidR="000334EA" w:rsidRPr="007213A1" w:rsidRDefault="000334EA" w:rsidP="000334EA">
      <w:pPr>
        <w:pStyle w:val="Text"/>
        <w:widowControl w:val="0"/>
        <w:spacing w:after="0"/>
        <w:ind w:firstLine="0"/>
        <w:jc w:val="both"/>
        <w:rPr>
          <w:color w:val="000000"/>
          <w:sz w:val="20"/>
          <w:szCs w:val="20"/>
          <w:lang w:val="es-AR"/>
        </w:rPr>
      </w:pPr>
      <w:r w:rsidRPr="007213A1">
        <w:rPr>
          <w:color w:val="000000"/>
          <w:sz w:val="20"/>
          <w:szCs w:val="20"/>
          <w:lang w:val="es-AR"/>
        </w:rPr>
        <w:t>La Emisora ha sido constituida por la Provincia de Río Negro, mediante el dictado del Decreto Provincial 549 de fecha 11 de agosto de 1976, como Sociedad del Estado en el marco de la Ley N° 20.705. Dicha ley permite la creación a ciertas entidades estatales (Estado Nacional y provinciales, entre otros) de sociedades unipersonales, cuyas acciones (certificados) deben ser de propiedad de las entidades enumeradas en el art. 1 de dicha ley.</w:t>
      </w:r>
    </w:p>
    <w:p w14:paraId="0BDD975A" w14:textId="48044C5A" w:rsidR="000334EA" w:rsidRPr="007213A1" w:rsidRDefault="000334EA" w:rsidP="000334EA">
      <w:pPr>
        <w:pStyle w:val="Text"/>
        <w:widowControl w:val="0"/>
        <w:spacing w:after="0"/>
        <w:ind w:firstLine="0"/>
        <w:jc w:val="both"/>
        <w:rPr>
          <w:color w:val="000000"/>
          <w:sz w:val="20"/>
          <w:szCs w:val="20"/>
          <w:lang w:val="es-AR"/>
        </w:rPr>
      </w:pPr>
    </w:p>
    <w:p w14:paraId="4F041E0D" w14:textId="2C3048CD" w:rsidR="000334EA" w:rsidRPr="007213A1" w:rsidRDefault="000334EA" w:rsidP="000334EA">
      <w:pPr>
        <w:pStyle w:val="Text"/>
        <w:widowControl w:val="0"/>
        <w:spacing w:after="0"/>
        <w:ind w:firstLine="0"/>
        <w:jc w:val="both"/>
        <w:rPr>
          <w:color w:val="000000"/>
          <w:sz w:val="20"/>
          <w:szCs w:val="20"/>
          <w:lang w:val="es-AR"/>
        </w:rPr>
      </w:pPr>
      <w:r w:rsidRPr="007213A1">
        <w:rPr>
          <w:color w:val="000000"/>
          <w:sz w:val="20"/>
          <w:szCs w:val="20"/>
          <w:lang w:val="es-AR"/>
        </w:rPr>
        <w:t xml:space="preserve">El funcionamiento de sus diversos órganos societarios se encuentra regulado por Ley </w:t>
      </w:r>
      <w:r w:rsidR="00157673" w:rsidRPr="007213A1">
        <w:rPr>
          <w:color w:val="000000"/>
          <w:sz w:val="20"/>
          <w:szCs w:val="20"/>
          <w:lang w:val="es-AR"/>
        </w:rPr>
        <w:t xml:space="preserve">General de Sociedades </w:t>
      </w:r>
      <w:r w:rsidRPr="007213A1">
        <w:rPr>
          <w:color w:val="000000"/>
          <w:sz w:val="20"/>
          <w:szCs w:val="20"/>
          <w:lang w:val="es-AR"/>
        </w:rPr>
        <w:t xml:space="preserve">N° 19.550 </w:t>
      </w:r>
      <w:r w:rsidR="00F61975" w:rsidRPr="007213A1">
        <w:rPr>
          <w:color w:val="000000"/>
          <w:sz w:val="20"/>
          <w:szCs w:val="20"/>
          <w:lang w:val="es-AR"/>
        </w:rPr>
        <w:t>(con sus modificatorias, la “</w:t>
      </w:r>
      <w:r w:rsidR="00F61975" w:rsidRPr="00112B9F">
        <w:rPr>
          <w:color w:val="000000"/>
          <w:sz w:val="20"/>
          <w:szCs w:val="20"/>
          <w:lang w:val="es-AR"/>
        </w:rPr>
        <w:t>LGS</w:t>
      </w:r>
      <w:r w:rsidR="00F61975" w:rsidRPr="007213A1">
        <w:rPr>
          <w:color w:val="000000"/>
          <w:sz w:val="20"/>
          <w:szCs w:val="20"/>
          <w:lang w:val="es-AR"/>
        </w:rPr>
        <w:t>”)</w:t>
      </w:r>
      <w:r w:rsidRPr="007213A1">
        <w:rPr>
          <w:color w:val="000000"/>
          <w:sz w:val="20"/>
          <w:szCs w:val="20"/>
          <w:lang w:val="es-AR"/>
        </w:rPr>
        <w:t>, por lo que se encuentra sometido al control del Registro Público de Comercio de su jurisdicción</w:t>
      </w:r>
    </w:p>
    <w:p w14:paraId="6C01C810" w14:textId="360C766B" w:rsidR="000334EA" w:rsidRPr="007213A1" w:rsidRDefault="000334EA" w:rsidP="000334EA">
      <w:pPr>
        <w:pStyle w:val="Text"/>
        <w:widowControl w:val="0"/>
        <w:spacing w:after="0"/>
        <w:ind w:firstLine="0"/>
        <w:jc w:val="both"/>
        <w:rPr>
          <w:color w:val="000000"/>
          <w:sz w:val="20"/>
          <w:szCs w:val="20"/>
          <w:lang w:val="es-AR"/>
        </w:rPr>
      </w:pPr>
    </w:p>
    <w:p w14:paraId="1B650ADF" w14:textId="77777777" w:rsidR="000334EA" w:rsidRPr="007213A1" w:rsidRDefault="000334EA" w:rsidP="000334EA">
      <w:pPr>
        <w:pStyle w:val="Text"/>
        <w:widowControl w:val="0"/>
        <w:spacing w:after="0"/>
        <w:ind w:firstLine="0"/>
        <w:jc w:val="both"/>
        <w:rPr>
          <w:color w:val="000000"/>
          <w:sz w:val="20"/>
          <w:szCs w:val="20"/>
          <w:lang w:val="es-AR"/>
        </w:rPr>
      </w:pPr>
      <w:r w:rsidRPr="007213A1">
        <w:rPr>
          <w:color w:val="000000"/>
          <w:sz w:val="20"/>
          <w:szCs w:val="20"/>
          <w:lang w:val="es-AR"/>
        </w:rPr>
        <w:t>A su vez, dada su condición de Sociedad del Estado de la Provincia de Río Negro se encuentra sometida al control de los organismos de control de la provincia, a saber, la Fiscalía de Estado, la Contaduría General, la Sindicatura General y el Tribunal de Cuentas de la Provincia de Río Negro. Dichos controles se efectúan a través de envío de informes periódicos e inspecciones.</w:t>
      </w:r>
    </w:p>
    <w:p w14:paraId="0E5EC6A3" w14:textId="77777777" w:rsidR="000334EA" w:rsidRPr="007213A1" w:rsidRDefault="000334EA" w:rsidP="000334EA">
      <w:pPr>
        <w:pStyle w:val="Text"/>
        <w:widowControl w:val="0"/>
        <w:spacing w:after="0"/>
        <w:ind w:firstLine="0"/>
        <w:jc w:val="both"/>
        <w:rPr>
          <w:b/>
          <w:bCs/>
          <w:color w:val="000000"/>
          <w:sz w:val="20"/>
          <w:szCs w:val="20"/>
          <w:lang w:val="es-AR"/>
        </w:rPr>
      </w:pPr>
    </w:p>
    <w:p w14:paraId="64F7027A" w14:textId="51A8759E" w:rsidR="000334EA" w:rsidRPr="007213A1" w:rsidRDefault="000334EA" w:rsidP="000334EA">
      <w:pPr>
        <w:pStyle w:val="Text"/>
        <w:widowControl w:val="0"/>
        <w:spacing w:after="0"/>
        <w:ind w:firstLine="0"/>
        <w:jc w:val="both"/>
        <w:rPr>
          <w:color w:val="000000"/>
          <w:sz w:val="20"/>
          <w:szCs w:val="20"/>
          <w:lang w:val="es-AR"/>
        </w:rPr>
      </w:pPr>
      <w:r w:rsidRPr="007213A1">
        <w:rPr>
          <w:color w:val="000000"/>
          <w:sz w:val="20"/>
          <w:szCs w:val="20"/>
          <w:lang w:val="es-AR"/>
        </w:rPr>
        <w:t>Por otro lado, la exportación de los productos que comercializa INVAP se encuentra regulada por el Decreto N° 603/92, el cual establece un procedimiento especial para el control de los productos nucleares o satelitales a exportarse.</w:t>
      </w:r>
    </w:p>
    <w:p w14:paraId="7326E30D" w14:textId="77777777" w:rsidR="000334EA" w:rsidRPr="007213A1" w:rsidRDefault="000334EA" w:rsidP="000334EA">
      <w:pPr>
        <w:pStyle w:val="Text"/>
        <w:widowControl w:val="0"/>
        <w:spacing w:after="0"/>
        <w:ind w:firstLine="0"/>
        <w:jc w:val="both"/>
        <w:rPr>
          <w:color w:val="000000"/>
          <w:sz w:val="20"/>
          <w:szCs w:val="20"/>
          <w:lang w:val="es-AR"/>
        </w:rPr>
      </w:pPr>
    </w:p>
    <w:p w14:paraId="032D22CD" w14:textId="0913DA5C" w:rsidR="000334EA" w:rsidRPr="007213A1" w:rsidRDefault="000334EA" w:rsidP="000334EA">
      <w:pPr>
        <w:pStyle w:val="Prrafodelista"/>
        <w:widowControl w:val="0"/>
        <w:numPr>
          <w:ilvl w:val="0"/>
          <w:numId w:val="35"/>
        </w:numPr>
        <w:suppressLineNumbers/>
        <w:suppressAutoHyphens/>
        <w:jc w:val="both"/>
        <w:rPr>
          <w:rFonts w:ascii="Times New Roman" w:hAnsi="Times New Roman"/>
          <w:b/>
          <w:sz w:val="20"/>
          <w:szCs w:val="20"/>
          <w:lang w:eastAsia="es-ES"/>
        </w:rPr>
      </w:pPr>
      <w:r w:rsidRPr="007213A1">
        <w:rPr>
          <w:rFonts w:ascii="Times New Roman" w:hAnsi="Times New Roman"/>
          <w:b/>
          <w:sz w:val="20"/>
          <w:szCs w:val="20"/>
          <w:lang w:eastAsia="es-ES"/>
        </w:rPr>
        <w:t>Descripción del negocio de INVAP</w:t>
      </w:r>
    </w:p>
    <w:p w14:paraId="759CC4E5" w14:textId="77777777" w:rsidR="000334EA" w:rsidRPr="001622AF" w:rsidRDefault="000334EA" w:rsidP="000334EA">
      <w:pPr>
        <w:widowControl w:val="0"/>
        <w:suppressLineNumbers/>
        <w:suppressAutoHyphens/>
        <w:jc w:val="both"/>
        <w:rPr>
          <w:b/>
          <w:sz w:val="20"/>
          <w:lang w:val="es-AR"/>
        </w:rPr>
      </w:pPr>
    </w:p>
    <w:p w14:paraId="1A3A8EC4" w14:textId="77777777" w:rsidR="000334EA" w:rsidRPr="007213A1" w:rsidRDefault="000334EA" w:rsidP="000334EA">
      <w:pPr>
        <w:widowControl w:val="0"/>
        <w:tabs>
          <w:tab w:val="left" w:pos="664"/>
          <w:tab w:val="left" w:pos="993"/>
        </w:tabs>
        <w:jc w:val="both"/>
        <w:rPr>
          <w:b/>
          <w:color w:val="000000"/>
          <w:sz w:val="20"/>
          <w:szCs w:val="20"/>
          <w:u w:val="single"/>
          <w:lang w:val="es-AR"/>
        </w:rPr>
      </w:pPr>
      <w:r w:rsidRPr="007213A1">
        <w:rPr>
          <w:b/>
          <w:color w:val="000000"/>
          <w:sz w:val="20"/>
          <w:szCs w:val="20"/>
          <w:u w:val="single"/>
          <w:lang w:val="es-AR"/>
        </w:rPr>
        <w:t>Introducción</w:t>
      </w:r>
    </w:p>
    <w:p w14:paraId="5383AC46" w14:textId="77777777" w:rsidR="000334EA" w:rsidRPr="007213A1" w:rsidRDefault="000334EA" w:rsidP="000334EA">
      <w:pPr>
        <w:widowControl w:val="0"/>
        <w:tabs>
          <w:tab w:val="left" w:pos="664"/>
          <w:tab w:val="left" w:pos="993"/>
        </w:tabs>
        <w:jc w:val="both"/>
        <w:rPr>
          <w:b/>
          <w:color w:val="000000"/>
          <w:sz w:val="20"/>
          <w:szCs w:val="20"/>
          <w:u w:val="single"/>
          <w:lang w:val="es-AR"/>
        </w:rPr>
      </w:pPr>
    </w:p>
    <w:p w14:paraId="7D74E6AC" w14:textId="77777777" w:rsidR="000334EA" w:rsidRPr="007213A1" w:rsidRDefault="000334EA" w:rsidP="000334EA">
      <w:pPr>
        <w:widowControl w:val="0"/>
        <w:tabs>
          <w:tab w:val="left" w:pos="664"/>
          <w:tab w:val="left" w:pos="993"/>
        </w:tabs>
        <w:jc w:val="both"/>
        <w:rPr>
          <w:color w:val="000000"/>
          <w:sz w:val="20"/>
          <w:szCs w:val="20"/>
          <w:lang w:val="es-AR"/>
        </w:rPr>
      </w:pPr>
      <w:r w:rsidRPr="007213A1">
        <w:rPr>
          <w:color w:val="000000"/>
          <w:sz w:val="20"/>
          <w:szCs w:val="20"/>
          <w:lang w:val="es-AR"/>
        </w:rPr>
        <w:t xml:space="preserve">Entre sus finalidades se destaca la contribución al desarrollo económico de la República Argentina, mediante la creación de fuentes genuinas de trabajo, a través del desarrollo de tecnologías en áreas de avanzada como lo son, entre otras, la tecnología nuclear para usos pacíficos y la espacial, la medicina nuclear, los sistemas de radar, la televisión digital, las energías alternativas, la industria y la protección ambiental. </w:t>
      </w:r>
    </w:p>
    <w:p w14:paraId="08C24E3F" w14:textId="77777777" w:rsidR="000334EA" w:rsidRPr="007213A1" w:rsidRDefault="000334EA" w:rsidP="000334EA">
      <w:pPr>
        <w:widowControl w:val="0"/>
        <w:tabs>
          <w:tab w:val="left" w:pos="664"/>
          <w:tab w:val="left" w:pos="993"/>
        </w:tabs>
        <w:jc w:val="both"/>
        <w:rPr>
          <w:color w:val="000000"/>
          <w:sz w:val="20"/>
          <w:szCs w:val="20"/>
          <w:lang w:val="es-AR"/>
        </w:rPr>
      </w:pPr>
    </w:p>
    <w:p w14:paraId="214080CF" w14:textId="50F7FCA4" w:rsidR="000334EA" w:rsidRPr="007213A1" w:rsidRDefault="000334EA" w:rsidP="000334EA">
      <w:pPr>
        <w:widowControl w:val="0"/>
        <w:tabs>
          <w:tab w:val="left" w:pos="664"/>
          <w:tab w:val="left" w:pos="993"/>
        </w:tabs>
        <w:jc w:val="both"/>
        <w:rPr>
          <w:color w:val="000000"/>
          <w:sz w:val="20"/>
          <w:szCs w:val="20"/>
          <w:lang w:val="es-AR"/>
        </w:rPr>
      </w:pPr>
      <w:r w:rsidRPr="007213A1">
        <w:rPr>
          <w:color w:val="000000"/>
          <w:sz w:val="20"/>
          <w:szCs w:val="20"/>
          <w:lang w:val="es-AR"/>
        </w:rPr>
        <w:t>En el ámbito local, INVAP mantiene una estrecha relación con la CNEA, la CONAE, el Ministerio de Defensa y las Fuerzas Armadas, la Empresa Argentina de Soluciones Satelitales S.A. (“</w:t>
      </w:r>
      <w:r w:rsidRPr="007213A1">
        <w:rPr>
          <w:color w:val="000000"/>
          <w:sz w:val="20"/>
          <w:szCs w:val="20"/>
          <w:u w:val="single"/>
          <w:lang w:val="es-AR"/>
        </w:rPr>
        <w:t>AR-SAT</w:t>
      </w:r>
      <w:r w:rsidRPr="007213A1">
        <w:rPr>
          <w:color w:val="000000"/>
          <w:sz w:val="20"/>
          <w:szCs w:val="20"/>
          <w:lang w:val="es-AR"/>
        </w:rPr>
        <w:t>”), Nucleoeléctrica Argentina S.A. (“</w:t>
      </w:r>
      <w:r w:rsidRPr="007213A1">
        <w:rPr>
          <w:color w:val="000000"/>
          <w:sz w:val="20"/>
          <w:szCs w:val="20"/>
          <w:u w:val="single"/>
          <w:lang w:val="es-AR"/>
        </w:rPr>
        <w:t>NA-SA</w:t>
      </w:r>
      <w:r w:rsidRPr="007213A1">
        <w:rPr>
          <w:color w:val="000000"/>
          <w:sz w:val="20"/>
          <w:szCs w:val="20"/>
          <w:lang w:val="es-AR"/>
        </w:rPr>
        <w:t xml:space="preserve">”), la Subsecretaría de Recursos Hídricos, el Ministerio de Seguridad de la Nación, Veng S.A., entre otras; entidades con las que ha llevado a término proyectos de gran envergadura. En definitiva, las actividades de la empresa implican una ágil articulación con las diversas organizaciones que integran el Sistema Nacional de Ciencia y Tecnología. </w:t>
      </w:r>
    </w:p>
    <w:p w14:paraId="429A4856" w14:textId="77777777" w:rsidR="000334EA" w:rsidRPr="007213A1" w:rsidRDefault="000334EA" w:rsidP="000334EA">
      <w:pPr>
        <w:widowControl w:val="0"/>
        <w:tabs>
          <w:tab w:val="left" w:pos="664"/>
          <w:tab w:val="left" w:pos="993"/>
        </w:tabs>
        <w:jc w:val="both"/>
        <w:rPr>
          <w:color w:val="000000"/>
          <w:sz w:val="20"/>
          <w:szCs w:val="20"/>
          <w:lang w:val="es-AR"/>
        </w:rPr>
      </w:pPr>
    </w:p>
    <w:p w14:paraId="33D5DB7E" w14:textId="432B2F73" w:rsidR="000334EA" w:rsidRPr="007213A1" w:rsidRDefault="000334EA" w:rsidP="000334EA">
      <w:pPr>
        <w:widowControl w:val="0"/>
        <w:tabs>
          <w:tab w:val="left" w:pos="664"/>
          <w:tab w:val="left" w:pos="993"/>
        </w:tabs>
        <w:jc w:val="both"/>
        <w:rPr>
          <w:color w:val="000000"/>
          <w:sz w:val="20"/>
          <w:szCs w:val="20"/>
          <w:lang w:val="es-AR"/>
        </w:rPr>
      </w:pPr>
      <w:r w:rsidRPr="007213A1">
        <w:rPr>
          <w:color w:val="000000"/>
          <w:sz w:val="20"/>
          <w:szCs w:val="20"/>
          <w:lang w:val="es-AR"/>
        </w:rPr>
        <w:t>A nivel internacional, la empresa se relaciona con numerosas organizaciones, entre las que se destacan la agencia espacial norteamericana NASA, el Organismo Internacional de Energía Atómica (“</w:t>
      </w:r>
      <w:r w:rsidRPr="007213A1">
        <w:rPr>
          <w:color w:val="000000"/>
          <w:sz w:val="20"/>
          <w:szCs w:val="20"/>
          <w:u w:val="single"/>
          <w:lang w:val="es-AR"/>
        </w:rPr>
        <w:t>OIEA</w:t>
      </w:r>
      <w:r w:rsidRPr="007213A1">
        <w:rPr>
          <w:color w:val="000000"/>
          <w:sz w:val="20"/>
          <w:szCs w:val="20"/>
          <w:lang w:val="es-AR"/>
        </w:rPr>
        <w:t>”), la Organización Australiana de Ciencia y Tecnología Nuclear (“</w:t>
      </w:r>
      <w:r w:rsidRPr="007213A1">
        <w:rPr>
          <w:color w:val="000000"/>
          <w:sz w:val="20"/>
          <w:szCs w:val="20"/>
          <w:u w:val="single"/>
          <w:lang w:val="es-AR"/>
        </w:rPr>
        <w:t>ANSTO</w:t>
      </w:r>
      <w:r w:rsidRPr="007213A1">
        <w:rPr>
          <w:color w:val="000000"/>
          <w:sz w:val="20"/>
          <w:szCs w:val="20"/>
          <w:lang w:val="es-AR"/>
        </w:rPr>
        <w:t>”), la Autoridad de Energía Atómica de Egipto (“</w:t>
      </w:r>
      <w:r w:rsidRPr="007213A1">
        <w:rPr>
          <w:color w:val="000000"/>
          <w:sz w:val="20"/>
          <w:szCs w:val="20"/>
          <w:u w:val="single"/>
          <w:lang w:val="es-AR"/>
        </w:rPr>
        <w:t>AEA”</w:t>
      </w:r>
      <w:r w:rsidRPr="007213A1">
        <w:rPr>
          <w:color w:val="000000"/>
          <w:sz w:val="20"/>
          <w:szCs w:val="20"/>
          <w:lang w:val="es-AR"/>
        </w:rPr>
        <w:t>), el Instituto Nacional de Pesquisas Espaciais (“</w:t>
      </w:r>
      <w:r w:rsidRPr="007213A1">
        <w:rPr>
          <w:color w:val="000000"/>
          <w:sz w:val="20"/>
          <w:szCs w:val="20"/>
          <w:u w:val="single"/>
          <w:lang w:val="es-AR"/>
        </w:rPr>
        <w:t>INPE</w:t>
      </w:r>
      <w:r w:rsidRPr="007213A1">
        <w:rPr>
          <w:color w:val="000000"/>
          <w:sz w:val="20"/>
          <w:szCs w:val="20"/>
          <w:lang w:val="es-AR"/>
        </w:rPr>
        <w:t>”) de Brasil, el King Abdulaziz City for Science &amp; Technology (“</w:t>
      </w:r>
      <w:r w:rsidRPr="007213A1">
        <w:rPr>
          <w:color w:val="000000"/>
          <w:sz w:val="20"/>
          <w:szCs w:val="20"/>
          <w:u w:val="single"/>
          <w:lang w:val="es-AR"/>
        </w:rPr>
        <w:t>KACST</w:t>
      </w:r>
      <w:r w:rsidRPr="007213A1">
        <w:rPr>
          <w:color w:val="000000"/>
          <w:sz w:val="20"/>
          <w:szCs w:val="20"/>
          <w:lang w:val="es-AR"/>
        </w:rPr>
        <w:t>”) de Arabia, el Rede de Tecnologia &amp; Inocacao do Rio de Janeiro (“</w:t>
      </w:r>
      <w:r w:rsidRPr="007213A1">
        <w:rPr>
          <w:color w:val="000000"/>
          <w:sz w:val="20"/>
          <w:szCs w:val="20"/>
          <w:u w:val="single"/>
          <w:lang w:val="es-AR"/>
        </w:rPr>
        <w:t>REDETEC</w:t>
      </w:r>
      <w:r w:rsidRPr="007213A1">
        <w:rPr>
          <w:color w:val="000000"/>
          <w:sz w:val="20"/>
          <w:szCs w:val="20"/>
          <w:lang w:val="es-AR"/>
        </w:rPr>
        <w:t xml:space="preserve">”) de </w:t>
      </w:r>
      <w:r w:rsidR="001C7D00" w:rsidRPr="007213A1">
        <w:rPr>
          <w:color w:val="000000"/>
          <w:sz w:val="20"/>
          <w:szCs w:val="20"/>
          <w:lang w:val="es-AR"/>
        </w:rPr>
        <w:t>Brasil</w:t>
      </w:r>
      <w:r w:rsidR="001C7D00">
        <w:rPr>
          <w:color w:val="000000"/>
          <w:sz w:val="20"/>
          <w:szCs w:val="20"/>
          <w:lang w:val="es-AR"/>
        </w:rPr>
        <w:t>,</w:t>
      </w:r>
      <w:r w:rsidR="001C7D00" w:rsidRPr="007213A1">
        <w:rPr>
          <w:color w:val="000000"/>
          <w:sz w:val="20"/>
          <w:szCs w:val="20"/>
          <w:lang w:val="es-AR"/>
        </w:rPr>
        <w:t xml:space="preserve"> el Centre de Recherche Nuclearire de Draria de Argelia</w:t>
      </w:r>
      <w:r w:rsidR="001C7D00">
        <w:rPr>
          <w:color w:val="000000"/>
          <w:sz w:val="20"/>
          <w:szCs w:val="20"/>
          <w:lang w:val="es-AR"/>
        </w:rPr>
        <w:t>, la Agencia Boliviana de Energía Nuclear (</w:t>
      </w:r>
      <w:r w:rsidR="00FB3B77">
        <w:rPr>
          <w:color w:val="000000"/>
          <w:sz w:val="20"/>
          <w:szCs w:val="20"/>
          <w:lang w:val="es-AR"/>
        </w:rPr>
        <w:t>“</w:t>
      </w:r>
      <w:r w:rsidR="001C7D00" w:rsidRPr="00512442">
        <w:rPr>
          <w:color w:val="000000"/>
          <w:sz w:val="20"/>
          <w:u w:val="single"/>
          <w:lang w:val="es-AR"/>
        </w:rPr>
        <w:t>ABEN</w:t>
      </w:r>
      <w:r w:rsidR="00FB3B77">
        <w:rPr>
          <w:color w:val="000000"/>
          <w:sz w:val="20"/>
          <w:szCs w:val="20"/>
          <w:lang w:val="es-AR"/>
        </w:rPr>
        <w:t>”</w:t>
      </w:r>
      <w:r w:rsidR="001C7D00">
        <w:rPr>
          <w:color w:val="000000"/>
          <w:sz w:val="20"/>
          <w:szCs w:val="20"/>
          <w:lang w:val="es-AR"/>
        </w:rPr>
        <w:t>), Turkish Aerospace Industries (</w:t>
      </w:r>
      <w:r w:rsidR="00FB3B77">
        <w:rPr>
          <w:color w:val="000000"/>
          <w:sz w:val="20"/>
          <w:szCs w:val="20"/>
          <w:lang w:val="es-AR"/>
        </w:rPr>
        <w:t>“</w:t>
      </w:r>
      <w:r w:rsidR="001C7D00" w:rsidRPr="00512442">
        <w:rPr>
          <w:color w:val="000000"/>
          <w:sz w:val="20"/>
          <w:u w:val="single"/>
          <w:lang w:val="es-AR"/>
        </w:rPr>
        <w:t>TAI</w:t>
      </w:r>
      <w:r w:rsidR="00FB3B77" w:rsidRPr="00FB3B77">
        <w:rPr>
          <w:color w:val="000000"/>
          <w:sz w:val="20"/>
          <w:szCs w:val="20"/>
          <w:lang w:val="es-AR"/>
        </w:rPr>
        <w:t>”</w:t>
      </w:r>
      <w:r w:rsidR="001C7D00">
        <w:rPr>
          <w:color w:val="000000"/>
          <w:sz w:val="20"/>
          <w:szCs w:val="20"/>
          <w:lang w:val="es-AR"/>
        </w:rPr>
        <w:t xml:space="preserve">), la </w:t>
      </w:r>
      <w:r w:rsidR="001C7D00" w:rsidRPr="007213A1">
        <w:rPr>
          <w:color w:val="000000"/>
          <w:sz w:val="20"/>
          <w:szCs w:val="20"/>
          <w:lang w:val="es-AR"/>
        </w:rPr>
        <w:t>Directorate of Purchase and Stores (DPS</w:t>
      </w:r>
      <w:r w:rsidR="001C7D00">
        <w:rPr>
          <w:color w:val="000000"/>
          <w:sz w:val="20"/>
          <w:szCs w:val="20"/>
          <w:lang w:val="es-AR"/>
        </w:rPr>
        <w:t>) de India, etc</w:t>
      </w:r>
      <w:r w:rsidR="001C7D00" w:rsidRPr="007213A1">
        <w:rPr>
          <w:color w:val="000000"/>
          <w:sz w:val="20"/>
          <w:szCs w:val="20"/>
          <w:lang w:val="es-AR"/>
        </w:rPr>
        <w:t>. Estos vínculos se ven fortalecidos por el respeto y cumplimiento de las normas técnicas de dichos organismos.</w:t>
      </w:r>
    </w:p>
    <w:p w14:paraId="2E5238DB" w14:textId="77777777" w:rsidR="000334EA" w:rsidRPr="007213A1" w:rsidRDefault="000334EA" w:rsidP="000334EA">
      <w:pPr>
        <w:keepNext/>
        <w:widowControl w:val="0"/>
        <w:autoSpaceDE w:val="0"/>
        <w:autoSpaceDN w:val="0"/>
        <w:adjustRightInd w:val="0"/>
        <w:jc w:val="both"/>
        <w:outlineLvl w:val="0"/>
        <w:rPr>
          <w:i/>
          <w:iCs/>
          <w:color w:val="000000"/>
          <w:sz w:val="20"/>
          <w:szCs w:val="20"/>
          <w:lang w:val="es-AR"/>
        </w:rPr>
      </w:pPr>
    </w:p>
    <w:p w14:paraId="235BF95C" w14:textId="77777777" w:rsidR="000334EA" w:rsidRPr="007213A1" w:rsidRDefault="000334EA" w:rsidP="000334EA">
      <w:pPr>
        <w:keepNext/>
        <w:widowControl w:val="0"/>
        <w:autoSpaceDE w:val="0"/>
        <w:autoSpaceDN w:val="0"/>
        <w:adjustRightInd w:val="0"/>
        <w:jc w:val="both"/>
        <w:outlineLvl w:val="0"/>
        <w:rPr>
          <w:i/>
          <w:iCs/>
          <w:color w:val="000000"/>
          <w:sz w:val="20"/>
          <w:szCs w:val="20"/>
          <w:lang w:val="es-AR"/>
        </w:rPr>
      </w:pPr>
      <w:r w:rsidRPr="007213A1">
        <w:rPr>
          <w:i/>
          <w:iCs/>
          <w:color w:val="000000"/>
          <w:sz w:val="20"/>
          <w:szCs w:val="20"/>
          <w:lang w:val="es-AR"/>
        </w:rPr>
        <w:t>Capacidad de ejecución integral de proyectos</w:t>
      </w:r>
    </w:p>
    <w:p w14:paraId="1A7A030F" w14:textId="77777777" w:rsidR="000334EA" w:rsidRPr="00112B9F" w:rsidRDefault="000334EA" w:rsidP="000334EA">
      <w:pPr>
        <w:rPr>
          <w:sz w:val="20"/>
          <w:szCs w:val="20"/>
          <w:lang w:val="es-AR"/>
        </w:rPr>
      </w:pPr>
    </w:p>
    <w:p w14:paraId="55D4189C" w14:textId="6AC8150F" w:rsidR="000334EA" w:rsidRPr="007213A1" w:rsidRDefault="000334EA" w:rsidP="000334EA">
      <w:pPr>
        <w:widowControl w:val="0"/>
        <w:tabs>
          <w:tab w:val="left" w:pos="664"/>
          <w:tab w:val="left" w:pos="993"/>
        </w:tabs>
        <w:jc w:val="both"/>
        <w:rPr>
          <w:color w:val="000000"/>
          <w:sz w:val="20"/>
          <w:szCs w:val="20"/>
          <w:lang w:val="es-AR"/>
        </w:rPr>
      </w:pPr>
      <w:r w:rsidRPr="007213A1">
        <w:rPr>
          <w:color w:val="000000"/>
          <w:sz w:val="20"/>
          <w:szCs w:val="20"/>
          <w:lang w:val="es-AR"/>
        </w:rPr>
        <w:t xml:space="preserve">INVAP es una empresa innovadora y cuenta con </w:t>
      </w:r>
      <w:r w:rsidR="001C7D00">
        <w:rPr>
          <w:color w:val="000000"/>
          <w:sz w:val="20"/>
          <w:szCs w:val="20"/>
          <w:lang w:val="es-AR"/>
        </w:rPr>
        <w:t xml:space="preserve">larga </w:t>
      </w:r>
      <w:r w:rsidRPr="007213A1">
        <w:rPr>
          <w:color w:val="000000"/>
          <w:sz w:val="20"/>
          <w:szCs w:val="20"/>
          <w:lang w:val="es-AR"/>
        </w:rPr>
        <w:t xml:space="preserve">experiencia en la administración de proyectos multidisciplinarios de alta complejidad y en aquellos en los que el conocimiento tecnológico es un factor importante en la toma de decisiones gerenciales. La empresa se dedica al diseño y construcción de sistemas tecnológicos complejos, con una trayectoria de más de </w:t>
      </w:r>
      <w:r w:rsidR="001C7D00">
        <w:rPr>
          <w:color w:val="000000"/>
          <w:sz w:val="20"/>
          <w:szCs w:val="20"/>
          <w:lang w:val="es-AR"/>
        </w:rPr>
        <w:t>cuarenta</w:t>
      </w:r>
      <w:r w:rsidRPr="007213A1">
        <w:rPr>
          <w:color w:val="000000"/>
          <w:sz w:val="20"/>
          <w:szCs w:val="20"/>
          <w:lang w:val="es-AR"/>
        </w:rPr>
        <w:t xml:space="preserve"> años en el mercado nacional y de más de </w:t>
      </w:r>
      <w:r w:rsidR="001C7D00">
        <w:rPr>
          <w:color w:val="000000"/>
          <w:sz w:val="20"/>
          <w:szCs w:val="20"/>
          <w:lang w:val="es-AR"/>
        </w:rPr>
        <w:t>treinta</w:t>
      </w:r>
      <w:r w:rsidR="001C7D00" w:rsidRPr="007213A1">
        <w:rPr>
          <w:color w:val="000000"/>
          <w:sz w:val="20"/>
          <w:szCs w:val="20"/>
          <w:lang w:val="es-AR"/>
        </w:rPr>
        <w:t xml:space="preserve"> </w:t>
      </w:r>
      <w:r w:rsidRPr="007213A1">
        <w:rPr>
          <w:color w:val="000000"/>
          <w:sz w:val="20"/>
          <w:szCs w:val="20"/>
          <w:lang w:val="es-AR"/>
        </w:rPr>
        <w:t>en la escena internacional. Esta experiencia en la gestación, implementación y administración de proyectos multidisciplinarios de alta complejidad permite a INVAP generar productos y servicios a medida de los requerimientos del cliente, satisfaciendo todas las etapas de un proyecto: desde el asesoramiento previo hasta la entrega de plantas llave en mano.</w:t>
      </w:r>
    </w:p>
    <w:p w14:paraId="44C1016C" w14:textId="77777777" w:rsidR="000334EA" w:rsidRPr="007213A1" w:rsidRDefault="000334EA" w:rsidP="000334EA">
      <w:pPr>
        <w:jc w:val="both"/>
        <w:rPr>
          <w:color w:val="000000"/>
          <w:sz w:val="20"/>
          <w:szCs w:val="20"/>
          <w:lang w:val="es-AR"/>
        </w:rPr>
      </w:pPr>
    </w:p>
    <w:p w14:paraId="3B606387" w14:textId="17D153A3" w:rsidR="000334EA" w:rsidRPr="007213A1" w:rsidRDefault="001C7D00" w:rsidP="000334EA">
      <w:pPr>
        <w:jc w:val="both"/>
        <w:rPr>
          <w:color w:val="000000"/>
          <w:sz w:val="20"/>
          <w:szCs w:val="20"/>
          <w:lang w:val="es-AR"/>
        </w:rPr>
      </w:pPr>
      <w:r w:rsidRPr="007213A1">
        <w:rPr>
          <w:color w:val="000000"/>
          <w:sz w:val="20"/>
          <w:szCs w:val="20"/>
          <w:lang w:val="es-AR"/>
        </w:rPr>
        <w:t>Ejemplo de ello son los reactores nucleares de investigación, plantas de producción de radioisótopos</w:t>
      </w:r>
      <w:r>
        <w:rPr>
          <w:color w:val="000000"/>
          <w:sz w:val="20"/>
          <w:szCs w:val="20"/>
          <w:lang w:val="es-AR"/>
        </w:rPr>
        <w:t>,</w:t>
      </w:r>
      <w:r w:rsidRPr="007213A1">
        <w:rPr>
          <w:color w:val="000000"/>
          <w:sz w:val="20"/>
          <w:szCs w:val="20"/>
          <w:lang w:val="es-AR"/>
        </w:rPr>
        <w:t xml:space="preserve"> satélites de observación de la Tierra y de comunicaciones, </w:t>
      </w:r>
      <w:r>
        <w:rPr>
          <w:color w:val="000000"/>
          <w:sz w:val="20"/>
          <w:szCs w:val="20"/>
          <w:lang w:val="es-AR"/>
        </w:rPr>
        <w:t xml:space="preserve">radares secundarios, radares primarios y meteorológicos, centros médicos de radioterapia, </w:t>
      </w:r>
      <w:r w:rsidRPr="007213A1">
        <w:rPr>
          <w:color w:val="000000"/>
          <w:sz w:val="20"/>
          <w:szCs w:val="20"/>
          <w:lang w:val="es-AR"/>
        </w:rPr>
        <w:t xml:space="preserve">con los cuales la </w:t>
      </w:r>
      <w:r w:rsidR="003934AB">
        <w:rPr>
          <w:color w:val="000000"/>
          <w:sz w:val="20"/>
          <w:szCs w:val="20"/>
          <w:lang w:val="es-AR"/>
        </w:rPr>
        <w:t>C</w:t>
      </w:r>
      <w:r w:rsidRPr="007213A1">
        <w:rPr>
          <w:color w:val="000000"/>
          <w:sz w:val="20"/>
          <w:szCs w:val="20"/>
          <w:lang w:val="es-AR"/>
        </w:rPr>
        <w:t xml:space="preserve">ompañía se ha ganado un lugar de privilegio en el escenario </w:t>
      </w:r>
      <w:r>
        <w:rPr>
          <w:color w:val="000000"/>
          <w:sz w:val="20"/>
          <w:szCs w:val="20"/>
          <w:lang w:val="es-AR"/>
        </w:rPr>
        <w:t xml:space="preserve">nacional e </w:t>
      </w:r>
      <w:r w:rsidRPr="007213A1">
        <w:rPr>
          <w:color w:val="000000"/>
          <w:sz w:val="20"/>
          <w:szCs w:val="20"/>
          <w:lang w:val="es-AR"/>
        </w:rPr>
        <w:t xml:space="preserve">internacional de la </w:t>
      </w:r>
      <w:r w:rsidR="00BA16EA" w:rsidRPr="007213A1">
        <w:rPr>
          <w:color w:val="000000"/>
          <w:sz w:val="20"/>
          <w:szCs w:val="20"/>
          <w:lang w:val="es-AR"/>
        </w:rPr>
        <w:t>tecnología</w:t>
      </w:r>
      <w:r w:rsidR="00BA16EA">
        <w:rPr>
          <w:color w:val="000000"/>
          <w:sz w:val="20"/>
          <w:szCs w:val="20"/>
          <w:lang w:val="es-AR"/>
        </w:rPr>
        <w:t>.</w:t>
      </w:r>
    </w:p>
    <w:p w14:paraId="7BD6FCF8" w14:textId="77777777" w:rsidR="000334EA" w:rsidRPr="007213A1" w:rsidRDefault="000334EA" w:rsidP="000334EA">
      <w:pPr>
        <w:widowControl w:val="0"/>
        <w:tabs>
          <w:tab w:val="left" w:pos="664"/>
          <w:tab w:val="left" w:pos="993"/>
        </w:tabs>
        <w:jc w:val="both"/>
        <w:rPr>
          <w:color w:val="000000"/>
          <w:sz w:val="20"/>
          <w:szCs w:val="20"/>
          <w:lang w:val="es-AR"/>
        </w:rPr>
      </w:pPr>
    </w:p>
    <w:p w14:paraId="01B3A883" w14:textId="77777777" w:rsidR="000334EA" w:rsidRPr="007213A1" w:rsidRDefault="000334EA" w:rsidP="000334EA">
      <w:pPr>
        <w:widowControl w:val="0"/>
        <w:tabs>
          <w:tab w:val="left" w:pos="664"/>
          <w:tab w:val="left" w:pos="993"/>
        </w:tabs>
        <w:jc w:val="both"/>
        <w:rPr>
          <w:b/>
          <w:color w:val="000000"/>
          <w:sz w:val="20"/>
          <w:szCs w:val="20"/>
          <w:u w:val="single"/>
          <w:lang w:val="es-AR"/>
        </w:rPr>
      </w:pPr>
      <w:r w:rsidRPr="007213A1">
        <w:rPr>
          <w:b/>
          <w:color w:val="000000"/>
          <w:sz w:val="20"/>
          <w:szCs w:val="20"/>
          <w:u w:val="single"/>
          <w:lang w:val="es-AR"/>
        </w:rPr>
        <w:t>INVAP en el ámbito Nacional</w:t>
      </w:r>
    </w:p>
    <w:p w14:paraId="64546B26" w14:textId="77777777" w:rsidR="000334EA" w:rsidRPr="00112B9F" w:rsidRDefault="000334EA" w:rsidP="000334EA">
      <w:pPr>
        <w:jc w:val="both"/>
        <w:rPr>
          <w:color w:val="000000"/>
          <w:sz w:val="20"/>
          <w:szCs w:val="20"/>
          <w:lang w:val="es-AR"/>
        </w:rPr>
      </w:pPr>
    </w:p>
    <w:p w14:paraId="159F8E8A" w14:textId="7CB826EF" w:rsidR="000334EA" w:rsidRPr="007213A1" w:rsidRDefault="001C7D00" w:rsidP="000334EA">
      <w:pPr>
        <w:jc w:val="both"/>
        <w:rPr>
          <w:color w:val="000000"/>
          <w:sz w:val="20"/>
          <w:szCs w:val="20"/>
          <w:u w:val="single"/>
          <w:lang w:val="es-AR"/>
        </w:rPr>
      </w:pPr>
      <w:r>
        <w:rPr>
          <w:color w:val="000000"/>
          <w:sz w:val="20"/>
          <w:szCs w:val="20"/>
          <w:u w:val="single"/>
          <w:lang w:val="es-AR"/>
        </w:rPr>
        <w:t>Gerencia de Negocios Nucleares</w:t>
      </w:r>
    </w:p>
    <w:p w14:paraId="252C06AC" w14:textId="77777777" w:rsidR="000334EA" w:rsidRPr="00112B9F" w:rsidRDefault="000334EA" w:rsidP="000334EA">
      <w:pPr>
        <w:jc w:val="both"/>
        <w:rPr>
          <w:color w:val="000000"/>
          <w:sz w:val="20"/>
          <w:szCs w:val="20"/>
          <w:lang w:val="es-AR"/>
        </w:rPr>
      </w:pPr>
    </w:p>
    <w:p w14:paraId="2508B35A" w14:textId="581ADACB" w:rsidR="000334EA" w:rsidRPr="007213A1" w:rsidRDefault="000334EA" w:rsidP="000334EA">
      <w:pPr>
        <w:jc w:val="both"/>
        <w:rPr>
          <w:color w:val="000000"/>
          <w:sz w:val="20"/>
          <w:szCs w:val="20"/>
          <w:lang w:val="es-AR"/>
        </w:rPr>
      </w:pPr>
      <w:r w:rsidRPr="007213A1">
        <w:rPr>
          <w:color w:val="000000"/>
          <w:sz w:val="20"/>
          <w:szCs w:val="20"/>
          <w:lang w:val="es-AR"/>
        </w:rPr>
        <w:t>Por la naturaleza de sus productos, INVAP ha aportado desde su fundación un importante progreso en la actividad industrial nacional desarrollando tecnología de punta destinada al área nuclear con desarrollos en equipos para la fabricación de los elementos combustibles de las centrales nucleares de potencia del país y la colaboración en la reparación y el mantenimiento de las centrales nucleoeléctricas Atucha I</w:t>
      </w:r>
      <w:r w:rsidR="001C7D00">
        <w:rPr>
          <w:color w:val="000000"/>
          <w:sz w:val="20"/>
          <w:szCs w:val="20"/>
          <w:lang w:val="es-AR"/>
        </w:rPr>
        <w:t>, Atucha II</w:t>
      </w:r>
      <w:r w:rsidRPr="007213A1">
        <w:rPr>
          <w:color w:val="000000"/>
          <w:sz w:val="20"/>
          <w:szCs w:val="20"/>
          <w:lang w:val="es-AR"/>
        </w:rPr>
        <w:t xml:space="preserve"> y Embalse. En este sentido, la contribución de la empresa se ve reflejado en los antecedentes descriptos en el punto “Historia y desarrollo de la Emisora”.</w:t>
      </w:r>
    </w:p>
    <w:p w14:paraId="59D54661" w14:textId="77777777" w:rsidR="000334EA" w:rsidRPr="007213A1" w:rsidRDefault="000334EA" w:rsidP="000334EA">
      <w:pPr>
        <w:jc w:val="both"/>
        <w:rPr>
          <w:color w:val="000000"/>
          <w:sz w:val="20"/>
          <w:szCs w:val="20"/>
          <w:lang w:val="es-AR"/>
        </w:rPr>
      </w:pPr>
    </w:p>
    <w:p w14:paraId="3FA2523A" w14:textId="49AEC7C8" w:rsidR="000334EA" w:rsidRPr="007213A1" w:rsidRDefault="001C7D00" w:rsidP="000334EA">
      <w:pPr>
        <w:jc w:val="both"/>
        <w:rPr>
          <w:color w:val="000000"/>
          <w:sz w:val="20"/>
          <w:szCs w:val="20"/>
          <w:lang w:val="es-AR"/>
        </w:rPr>
      </w:pPr>
      <w:r w:rsidRPr="007213A1">
        <w:rPr>
          <w:color w:val="000000"/>
          <w:sz w:val="20"/>
          <w:szCs w:val="20"/>
          <w:lang w:val="es-AR"/>
        </w:rPr>
        <w:t>Actualmente,</w:t>
      </w:r>
      <w:r>
        <w:rPr>
          <w:color w:val="000000"/>
          <w:sz w:val="20"/>
          <w:szCs w:val="20"/>
          <w:lang w:val="es-AR"/>
        </w:rPr>
        <w:t xml:space="preserve"> INVAP</w:t>
      </w:r>
      <w:r w:rsidRPr="007213A1">
        <w:rPr>
          <w:color w:val="000000"/>
          <w:sz w:val="20"/>
          <w:szCs w:val="20"/>
          <w:lang w:val="es-AR"/>
        </w:rPr>
        <w:t xml:space="preserve"> está </w:t>
      </w:r>
      <w:r>
        <w:rPr>
          <w:color w:val="000000"/>
          <w:sz w:val="20"/>
          <w:szCs w:val="20"/>
          <w:lang w:val="es-AR"/>
        </w:rPr>
        <w:t>ejecutando importantes proyectos para</w:t>
      </w:r>
      <w:r w:rsidRPr="007213A1">
        <w:rPr>
          <w:color w:val="000000"/>
          <w:sz w:val="20"/>
          <w:szCs w:val="20"/>
          <w:lang w:val="es-AR"/>
        </w:rPr>
        <w:t xml:space="preserve"> la actividad nuclear argentina, destacándose, el proyecto RA10 del cual INVAP es contratista principal de ingeniería</w:t>
      </w:r>
      <w:r>
        <w:rPr>
          <w:color w:val="000000"/>
          <w:sz w:val="20"/>
          <w:szCs w:val="20"/>
          <w:lang w:val="es-AR"/>
        </w:rPr>
        <w:t>, entre</w:t>
      </w:r>
      <w:r w:rsidRPr="007213A1">
        <w:rPr>
          <w:color w:val="000000"/>
          <w:sz w:val="20"/>
          <w:szCs w:val="20"/>
          <w:lang w:val="es-AR"/>
        </w:rPr>
        <w:t xml:space="preserve"> otros proyectos de la CNEA en los cuales INVAP es también </w:t>
      </w:r>
      <w:r>
        <w:rPr>
          <w:color w:val="000000"/>
          <w:sz w:val="20"/>
          <w:szCs w:val="20"/>
          <w:lang w:val="es-AR"/>
        </w:rPr>
        <w:t xml:space="preserve">el contratista principal o está fuertemente </w:t>
      </w:r>
      <w:r w:rsidRPr="007213A1">
        <w:rPr>
          <w:color w:val="000000"/>
          <w:sz w:val="20"/>
          <w:szCs w:val="20"/>
          <w:lang w:val="es-AR"/>
        </w:rPr>
        <w:t>involucrada.</w:t>
      </w:r>
      <w:r>
        <w:rPr>
          <w:color w:val="000000"/>
          <w:sz w:val="20"/>
          <w:szCs w:val="20"/>
          <w:lang w:val="es-AR"/>
        </w:rPr>
        <w:t xml:space="preserve"> Entre ellos caben mencionar las distintas fases y sistemas de ingeniería para el proyecto CAREM (reactor modular de potencia) y las distintas etapas de avance que ha tenido el proyecto LASIE (laboratorio de tecnología láser).</w:t>
      </w:r>
    </w:p>
    <w:p w14:paraId="20693808" w14:textId="77777777" w:rsidR="00FB3B77" w:rsidRDefault="00FB3B77" w:rsidP="000334EA">
      <w:pPr>
        <w:jc w:val="both"/>
        <w:rPr>
          <w:color w:val="000000"/>
          <w:sz w:val="20"/>
          <w:szCs w:val="20"/>
          <w:lang w:val="es-AR"/>
        </w:rPr>
      </w:pPr>
    </w:p>
    <w:p w14:paraId="5139489F" w14:textId="17CCA1D5" w:rsidR="000334EA" w:rsidRPr="007213A1" w:rsidRDefault="000334EA" w:rsidP="000334EA">
      <w:pPr>
        <w:jc w:val="both"/>
        <w:rPr>
          <w:color w:val="000000"/>
          <w:sz w:val="20"/>
          <w:szCs w:val="20"/>
          <w:lang w:val="es-AR"/>
        </w:rPr>
      </w:pPr>
      <w:r w:rsidRPr="007213A1">
        <w:rPr>
          <w:color w:val="000000"/>
          <w:sz w:val="20"/>
          <w:szCs w:val="20"/>
          <w:lang w:val="es-AR"/>
        </w:rPr>
        <w:t>Adicionalmente, cabe señalar que por la experiencia y el prestigio internacional que tiene la empresa en el mercado de los reactores de investigación</w:t>
      </w:r>
      <w:r w:rsidR="001C7D00">
        <w:rPr>
          <w:color w:val="000000"/>
          <w:sz w:val="20"/>
          <w:szCs w:val="20"/>
          <w:lang w:val="es-AR"/>
        </w:rPr>
        <w:t xml:space="preserve"> y satélites</w:t>
      </w:r>
      <w:r w:rsidRPr="007213A1">
        <w:rPr>
          <w:color w:val="000000"/>
          <w:sz w:val="20"/>
          <w:szCs w:val="20"/>
          <w:lang w:val="es-AR"/>
        </w:rPr>
        <w:t xml:space="preserve">, gran parte de su cartera de proyectos se encuentran descriptos más adelante, en el título “INVAP y el Comercio Internacional” </w:t>
      </w:r>
    </w:p>
    <w:p w14:paraId="1DA3D587" w14:textId="77777777" w:rsidR="000334EA" w:rsidRPr="007213A1" w:rsidRDefault="000334EA" w:rsidP="000334EA">
      <w:pPr>
        <w:jc w:val="both"/>
        <w:rPr>
          <w:color w:val="000000"/>
          <w:sz w:val="20"/>
          <w:szCs w:val="20"/>
          <w:lang w:val="es-AR"/>
        </w:rPr>
      </w:pPr>
    </w:p>
    <w:p w14:paraId="2BE26768" w14:textId="2FB1F1D0" w:rsidR="000334EA" w:rsidRPr="007213A1" w:rsidRDefault="00A42686" w:rsidP="000334EA">
      <w:pPr>
        <w:keepNext/>
        <w:widowControl w:val="0"/>
        <w:autoSpaceDE w:val="0"/>
        <w:autoSpaceDN w:val="0"/>
        <w:adjustRightInd w:val="0"/>
        <w:jc w:val="both"/>
        <w:outlineLvl w:val="0"/>
        <w:rPr>
          <w:i/>
          <w:iCs/>
          <w:color w:val="000000"/>
          <w:sz w:val="20"/>
          <w:szCs w:val="20"/>
          <w:lang w:val="es-AR"/>
        </w:rPr>
      </w:pPr>
      <w:r>
        <w:rPr>
          <w:color w:val="000000"/>
          <w:sz w:val="20"/>
          <w:szCs w:val="20"/>
          <w:u w:val="single"/>
          <w:lang w:val="es-AR"/>
        </w:rPr>
        <w:t>Gerencia de Negocios Satelitales</w:t>
      </w:r>
    </w:p>
    <w:p w14:paraId="27A5D00F" w14:textId="77777777" w:rsidR="000334EA" w:rsidRPr="007213A1" w:rsidRDefault="000334EA" w:rsidP="000334EA">
      <w:pPr>
        <w:jc w:val="both"/>
        <w:rPr>
          <w:color w:val="000000"/>
          <w:sz w:val="20"/>
          <w:szCs w:val="20"/>
          <w:u w:val="single"/>
          <w:lang w:val="es-AR"/>
        </w:rPr>
      </w:pPr>
    </w:p>
    <w:p w14:paraId="2EFAC7BD" w14:textId="54825986" w:rsidR="00A42686" w:rsidRPr="007213A1" w:rsidRDefault="00A42686" w:rsidP="00A42686">
      <w:pPr>
        <w:jc w:val="both"/>
        <w:rPr>
          <w:color w:val="000000"/>
          <w:sz w:val="20"/>
          <w:szCs w:val="20"/>
          <w:lang w:val="es-AR"/>
        </w:rPr>
      </w:pPr>
      <w:r w:rsidRPr="007213A1">
        <w:rPr>
          <w:sz w:val="20"/>
          <w:szCs w:val="20"/>
          <w:lang w:val="es-AR"/>
        </w:rPr>
        <w:t xml:space="preserve">La empresa cuenta con numerosos antecedentes en cuanto a la producción de satélites: en 1996 se lanzó al espacio el primer satélite argentino para usos científicos SAC-B, concebido para la realización de estudios en astrofísica y física solar, en 2000 se lanzó el satélite llamado SAC-C que era el primer Satélite de Observación Terrestre de Argentina, </w:t>
      </w:r>
      <w:r>
        <w:rPr>
          <w:sz w:val="20"/>
          <w:szCs w:val="20"/>
          <w:lang w:val="es-AR"/>
        </w:rPr>
        <w:t xml:space="preserve">en 2011 se </w:t>
      </w:r>
      <w:r w:rsidRPr="007213A1">
        <w:rPr>
          <w:sz w:val="20"/>
          <w:szCs w:val="20"/>
          <w:lang w:val="es-AR"/>
        </w:rPr>
        <w:t xml:space="preserve">ha sido puesto en órbita exitosamente </w:t>
      </w:r>
      <w:r>
        <w:rPr>
          <w:sz w:val="20"/>
          <w:szCs w:val="20"/>
          <w:lang w:val="es-AR"/>
        </w:rPr>
        <w:t>el SAC-D/Aquarius, de ejecución conjunta con la NASA de EEUU. E</w:t>
      </w:r>
      <w:r w:rsidRPr="007213A1">
        <w:rPr>
          <w:sz w:val="20"/>
          <w:szCs w:val="20"/>
          <w:lang w:val="es-AR"/>
        </w:rPr>
        <w:t xml:space="preserve">n 1998 se firmaron con la CONAE contratos para </w:t>
      </w:r>
      <w:r>
        <w:rPr>
          <w:sz w:val="20"/>
          <w:szCs w:val="20"/>
          <w:lang w:val="es-AR"/>
        </w:rPr>
        <w:t xml:space="preserve">los satélites </w:t>
      </w:r>
      <w:r w:rsidRPr="007213A1">
        <w:rPr>
          <w:sz w:val="20"/>
          <w:szCs w:val="20"/>
          <w:lang w:val="es-AR"/>
        </w:rPr>
        <w:t>SAOCOM I y II</w:t>
      </w:r>
      <w:r>
        <w:rPr>
          <w:sz w:val="20"/>
          <w:szCs w:val="20"/>
          <w:lang w:val="es-AR"/>
        </w:rPr>
        <w:t xml:space="preserve">, de los cuales el primero ha sido puesto en órbita en octubre de 2018. Posteriormente ARSAT contrató a INVAP para la provisión de los satélites geoestacionarios de comunicaciones Arsat-1 y Arsat-2, los cuales fueron lanzados exitosamente y se encuentran actualmente en operación. </w:t>
      </w:r>
      <w:r w:rsidRPr="007213A1">
        <w:rPr>
          <w:color w:val="000000"/>
          <w:sz w:val="20"/>
          <w:szCs w:val="20"/>
          <w:lang w:val="es-AR"/>
        </w:rPr>
        <w:t>A través de CEATSA (Centro de Ensayos de Alta Tecnología S.A.)</w:t>
      </w:r>
      <w:r>
        <w:rPr>
          <w:color w:val="000000"/>
          <w:sz w:val="20"/>
          <w:szCs w:val="20"/>
          <w:lang w:val="es-AR"/>
        </w:rPr>
        <w:t>, sita en Bariloche,</w:t>
      </w:r>
      <w:r w:rsidRPr="007213A1">
        <w:rPr>
          <w:color w:val="000000"/>
          <w:sz w:val="20"/>
          <w:szCs w:val="20"/>
          <w:lang w:val="es-AR"/>
        </w:rPr>
        <w:t xml:space="preserve"> se </w:t>
      </w:r>
      <w:r>
        <w:rPr>
          <w:color w:val="000000"/>
          <w:sz w:val="20"/>
          <w:szCs w:val="20"/>
          <w:lang w:val="es-AR"/>
        </w:rPr>
        <w:t xml:space="preserve">realizan </w:t>
      </w:r>
      <w:r w:rsidRPr="007213A1">
        <w:rPr>
          <w:color w:val="000000"/>
          <w:sz w:val="20"/>
          <w:szCs w:val="20"/>
          <w:lang w:val="es-AR"/>
        </w:rPr>
        <w:t>los ensayos de</w:t>
      </w:r>
      <w:r>
        <w:rPr>
          <w:color w:val="000000"/>
          <w:sz w:val="20"/>
          <w:szCs w:val="20"/>
          <w:lang w:val="es-AR"/>
        </w:rPr>
        <w:t xml:space="preserve"> los</w:t>
      </w:r>
      <w:r w:rsidRPr="007213A1">
        <w:rPr>
          <w:color w:val="000000"/>
          <w:sz w:val="20"/>
          <w:szCs w:val="20"/>
          <w:lang w:val="es-AR"/>
        </w:rPr>
        <w:t xml:space="preserve"> satélite</w:t>
      </w:r>
      <w:r>
        <w:rPr>
          <w:color w:val="000000"/>
          <w:sz w:val="20"/>
          <w:szCs w:val="20"/>
          <w:lang w:val="es-AR"/>
        </w:rPr>
        <w:t>s que construye INVAP.</w:t>
      </w:r>
      <w:r w:rsidRPr="007213A1">
        <w:rPr>
          <w:color w:val="000000"/>
          <w:sz w:val="20"/>
          <w:szCs w:val="20"/>
          <w:lang w:val="es-AR"/>
        </w:rPr>
        <w:t xml:space="preserve"> </w:t>
      </w:r>
    </w:p>
    <w:p w14:paraId="65CD721A" w14:textId="77777777" w:rsidR="00A42686" w:rsidRPr="007213A1" w:rsidRDefault="00A42686" w:rsidP="00A42686">
      <w:pPr>
        <w:jc w:val="both"/>
        <w:rPr>
          <w:color w:val="000000"/>
          <w:sz w:val="20"/>
          <w:szCs w:val="20"/>
          <w:lang w:val="es-AR"/>
        </w:rPr>
      </w:pPr>
    </w:p>
    <w:p w14:paraId="159F447C" w14:textId="3AEACBA1" w:rsidR="00A42686" w:rsidRPr="007213A1" w:rsidRDefault="00A42686" w:rsidP="00A42686">
      <w:pPr>
        <w:jc w:val="both"/>
        <w:rPr>
          <w:color w:val="000000"/>
          <w:sz w:val="20"/>
          <w:szCs w:val="20"/>
          <w:lang w:val="es-AR"/>
        </w:rPr>
      </w:pPr>
      <w:r>
        <w:rPr>
          <w:color w:val="000000"/>
          <w:sz w:val="20"/>
          <w:szCs w:val="20"/>
          <w:lang w:val="es-AR"/>
        </w:rPr>
        <w:t xml:space="preserve">Actualmente se encuentran en pleno avance la construcción del Satélite SAOCOM-1B y de la constelación de satélites denominada SABIAMAR (ambos para CONAE). Adicionalmente, como logro en la capacidad exportadora del área, se han iniciado los trabajos en el marco de la alianza estratégica con Turkish Aerospace para el desarrollo de ingeniería y fabricación de </w:t>
      </w:r>
      <w:r w:rsidRPr="0066647D">
        <w:rPr>
          <w:color w:val="000000"/>
          <w:sz w:val="20"/>
          <w:szCs w:val="20"/>
          <w:lang w:val="es-AR"/>
        </w:rPr>
        <w:t>satélites geoestacionarios de comunicaciones</w:t>
      </w:r>
      <w:r>
        <w:rPr>
          <w:color w:val="000000"/>
          <w:sz w:val="20"/>
          <w:szCs w:val="20"/>
          <w:lang w:val="es-AR"/>
        </w:rPr>
        <w:t xml:space="preserve"> de nueva generación.</w:t>
      </w:r>
    </w:p>
    <w:p w14:paraId="3E557137" w14:textId="6464BF61" w:rsidR="000334EA" w:rsidRPr="00A61C89" w:rsidRDefault="000334EA" w:rsidP="000334EA">
      <w:pPr>
        <w:spacing w:after="240"/>
        <w:jc w:val="both"/>
        <w:rPr>
          <w:iCs/>
          <w:color w:val="000000"/>
          <w:sz w:val="20"/>
          <w:szCs w:val="20"/>
          <w:u w:val="single"/>
          <w:lang w:val="es-AR"/>
        </w:rPr>
      </w:pPr>
      <w:r w:rsidRPr="007213A1">
        <w:rPr>
          <w:i/>
          <w:color w:val="000000"/>
          <w:sz w:val="20"/>
          <w:szCs w:val="20"/>
          <w:lang w:val="es-AR"/>
        </w:rPr>
        <w:br/>
      </w:r>
      <w:r w:rsidR="00A42686">
        <w:rPr>
          <w:iCs/>
          <w:color w:val="000000"/>
          <w:sz w:val="20"/>
          <w:szCs w:val="20"/>
          <w:u w:val="single"/>
          <w:lang w:val="es-AR"/>
        </w:rPr>
        <w:t>Gerencia de Negocios de Gobierno</w:t>
      </w:r>
    </w:p>
    <w:p w14:paraId="6EE51322" w14:textId="3E412BDB" w:rsidR="000334EA" w:rsidRPr="007213A1" w:rsidRDefault="000334EA" w:rsidP="000334EA">
      <w:pPr>
        <w:jc w:val="both"/>
        <w:rPr>
          <w:color w:val="000000"/>
          <w:sz w:val="20"/>
          <w:szCs w:val="20"/>
          <w:lang w:val="es-AR"/>
        </w:rPr>
      </w:pPr>
      <w:r w:rsidRPr="007213A1">
        <w:rPr>
          <w:color w:val="000000"/>
          <w:sz w:val="20"/>
          <w:szCs w:val="20"/>
          <w:lang w:val="es-AR"/>
        </w:rPr>
        <w:t>INVAP es la primera y única en Latinoamérica en desarrollar radares para el control del tránsito aéreo. INVAP participa del programa de radarización nacional para el cual ya se ha finalizado la construcción de 22 radares secundarios llamados RSMA (Radar Secundario Monopulso Argentino), que se encuentran instalados los principales aeropuertos del territorio nacional</w:t>
      </w:r>
      <w:r w:rsidR="00A42686">
        <w:rPr>
          <w:color w:val="000000"/>
          <w:sz w:val="20"/>
          <w:szCs w:val="20"/>
          <w:lang w:val="es-AR"/>
        </w:rPr>
        <w:t xml:space="preserve"> y de los cuales INVAP tiene ahora encomendado el contrato para su mantenimiento</w:t>
      </w:r>
      <w:r w:rsidRPr="007213A1">
        <w:rPr>
          <w:color w:val="000000"/>
          <w:sz w:val="20"/>
          <w:szCs w:val="20"/>
          <w:lang w:val="es-AR"/>
        </w:rPr>
        <w:t xml:space="preserve">. </w:t>
      </w:r>
    </w:p>
    <w:p w14:paraId="651BFC7B" w14:textId="77777777" w:rsidR="000334EA" w:rsidRPr="007213A1" w:rsidRDefault="000334EA" w:rsidP="000334EA">
      <w:pPr>
        <w:jc w:val="both"/>
        <w:rPr>
          <w:color w:val="000000"/>
          <w:sz w:val="20"/>
          <w:szCs w:val="20"/>
          <w:lang w:val="es-AR"/>
        </w:rPr>
      </w:pPr>
    </w:p>
    <w:p w14:paraId="40A703D7" w14:textId="6EBFEDF4" w:rsidR="00A42686" w:rsidRPr="007213A1" w:rsidRDefault="00A42686" w:rsidP="00A42686">
      <w:pPr>
        <w:jc w:val="both"/>
        <w:rPr>
          <w:color w:val="000000"/>
          <w:sz w:val="20"/>
          <w:szCs w:val="20"/>
          <w:lang w:val="es-AR"/>
        </w:rPr>
      </w:pPr>
      <w:r>
        <w:rPr>
          <w:color w:val="000000"/>
          <w:sz w:val="20"/>
          <w:szCs w:val="20"/>
          <w:lang w:val="es-AR"/>
        </w:rPr>
        <w:t xml:space="preserve">Actualmente </w:t>
      </w:r>
      <w:r w:rsidRPr="007213A1">
        <w:rPr>
          <w:color w:val="000000"/>
          <w:sz w:val="20"/>
          <w:szCs w:val="20"/>
          <w:lang w:val="es-AR"/>
        </w:rPr>
        <w:t xml:space="preserve">se </w:t>
      </w:r>
      <w:r>
        <w:rPr>
          <w:color w:val="000000"/>
          <w:sz w:val="20"/>
          <w:szCs w:val="20"/>
          <w:lang w:val="es-AR"/>
        </w:rPr>
        <w:t xml:space="preserve">encuentran en ejecución el contrato con Fuerza Aérea Argentina para la fabricación de radares </w:t>
      </w:r>
      <w:r w:rsidRPr="007213A1">
        <w:rPr>
          <w:color w:val="000000"/>
          <w:sz w:val="20"/>
          <w:szCs w:val="20"/>
          <w:lang w:val="es-AR"/>
        </w:rPr>
        <w:t>tridimensional</w:t>
      </w:r>
      <w:r>
        <w:rPr>
          <w:color w:val="000000"/>
          <w:sz w:val="20"/>
          <w:szCs w:val="20"/>
          <w:lang w:val="es-AR"/>
        </w:rPr>
        <w:t>es</w:t>
      </w:r>
      <w:r w:rsidRPr="007213A1">
        <w:rPr>
          <w:color w:val="000000"/>
          <w:sz w:val="20"/>
          <w:szCs w:val="20"/>
          <w:lang w:val="es-AR"/>
        </w:rPr>
        <w:t xml:space="preserve"> de largo alcance, que pueden detectar aviones no identificados, clandestinos y eventualmente hostiles al servicio de la seguridad nacional y para prevención de delitos</w:t>
      </w:r>
      <w:r>
        <w:rPr>
          <w:color w:val="000000"/>
          <w:sz w:val="20"/>
          <w:szCs w:val="20"/>
          <w:lang w:val="es-AR"/>
        </w:rPr>
        <w:t xml:space="preserve">, así como también la provisión de radares meteorológicos y su mantenimiento que le ha encomendado a INVAP la </w:t>
      </w:r>
      <w:r w:rsidRPr="007213A1">
        <w:rPr>
          <w:color w:val="000000"/>
          <w:sz w:val="20"/>
          <w:szCs w:val="20"/>
          <w:lang w:val="es-AR"/>
        </w:rPr>
        <w:t>Subsecretaría de Recursos Hídricos</w:t>
      </w:r>
      <w:r>
        <w:rPr>
          <w:color w:val="000000"/>
          <w:sz w:val="20"/>
          <w:szCs w:val="20"/>
          <w:lang w:val="es-AR"/>
        </w:rPr>
        <w:t>.</w:t>
      </w:r>
    </w:p>
    <w:p w14:paraId="624B21D3" w14:textId="77777777" w:rsidR="00A42686" w:rsidRPr="007213A1" w:rsidRDefault="00A42686" w:rsidP="00A42686">
      <w:pPr>
        <w:jc w:val="both"/>
        <w:rPr>
          <w:color w:val="000000"/>
          <w:sz w:val="20"/>
          <w:szCs w:val="20"/>
          <w:lang w:val="es-AR"/>
        </w:rPr>
      </w:pPr>
    </w:p>
    <w:p w14:paraId="775D89DE" w14:textId="77777777" w:rsidR="00A42686" w:rsidRDefault="00A42686" w:rsidP="00A42686">
      <w:pPr>
        <w:jc w:val="both"/>
        <w:rPr>
          <w:color w:val="000000"/>
          <w:sz w:val="20"/>
          <w:szCs w:val="20"/>
          <w:lang w:val="es-AR"/>
        </w:rPr>
      </w:pPr>
      <w:r w:rsidRPr="00C84121">
        <w:rPr>
          <w:color w:val="000000"/>
          <w:sz w:val="20"/>
          <w:szCs w:val="20"/>
          <w:lang w:val="es-AR"/>
        </w:rPr>
        <w:t>Luego de su empleo exitoso en vigilancia aérea durante la reunión del G-20</w:t>
      </w:r>
      <w:r>
        <w:rPr>
          <w:color w:val="000000"/>
          <w:sz w:val="20"/>
          <w:szCs w:val="20"/>
          <w:lang w:val="es-AR"/>
        </w:rPr>
        <w:t xml:space="preserve"> a fines de 2018, cabe mencionar la provisión que ha hecho INVAP a la Fuerza Aérea Argentina de dos radares móviles a fin de cumplir las condiciones de seguridad requeridas en dicho evento internacional.</w:t>
      </w:r>
    </w:p>
    <w:p w14:paraId="6F9DF5A5" w14:textId="77777777" w:rsidR="000334EA" w:rsidRPr="007213A1" w:rsidRDefault="000334EA" w:rsidP="000334EA">
      <w:pPr>
        <w:jc w:val="both"/>
        <w:rPr>
          <w:color w:val="000000"/>
          <w:sz w:val="20"/>
          <w:szCs w:val="20"/>
          <w:lang w:val="es-AR"/>
        </w:rPr>
      </w:pPr>
    </w:p>
    <w:p w14:paraId="4AA795E2" w14:textId="694DFA06" w:rsidR="00A42686" w:rsidRPr="00A61C89" w:rsidRDefault="00A42686" w:rsidP="00A61C89">
      <w:pPr>
        <w:jc w:val="both"/>
        <w:rPr>
          <w:color w:val="000000"/>
          <w:sz w:val="20"/>
          <w:szCs w:val="20"/>
          <w:u w:val="single"/>
          <w:lang w:val="es-AR"/>
        </w:rPr>
      </w:pPr>
      <w:r>
        <w:rPr>
          <w:color w:val="000000"/>
          <w:sz w:val="20"/>
          <w:szCs w:val="20"/>
          <w:u w:val="single"/>
          <w:lang w:val="es-AR"/>
        </w:rPr>
        <w:t>Gerencia de Negocios SIT (Servicios de Integración Tecnológica)</w:t>
      </w:r>
    </w:p>
    <w:p w14:paraId="0390A7D7" w14:textId="77777777" w:rsidR="000334EA" w:rsidRPr="007213A1" w:rsidRDefault="000334EA" w:rsidP="000334EA">
      <w:pPr>
        <w:widowControl w:val="0"/>
        <w:autoSpaceDE w:val="0"/>
        <w:autoSpaceDN w:val="0"/>
        <w:adjustRightInd w:val="0"/>
        <w:jc w:val="both"/>
        <w:rPr>
          <w:color w:val="000000"/>
          <w:sz w:val="20"/>
          <w:szCs w:val="20"/>
          <w:lang w:val="es-AR"/>
        </w:rPr>
      </w:pPr>
    </w:p>
    <w:p w14:paraId="5F838C2A" w14:textId="13681735" w:rsidR="000334EA" w:rsidRPr="00A61C89" w:rsidRDefault="000334EA" w:rsidP="000334EA">
      <w:pPr>
        <w:widowControl w:val="0"/>
        <w:autoSpaceDE w:val="0"/>
        <w:autoSpaceDN w:val="0"/>
        <w:adjustRightInd w:val="0"/>
        <w:jc w:val="both"/>
        <w:rPr>
          <w:bCs/>
          <w:i/>
          <w:iCs/>
          <w:color w:val="000000"/>
          <w:sz w:val="20"/>
          <w:szCs w:val="20"/>
          <w:lang w:val="es-AR"/>
        </w:rPr>
      </w:pPr>
      <w:r w:rsidRPr="00A61C89">
        <w:rPr>
          <w:bCs/>
          <w:i/>
          <w:iCs/>
          <w:color w:val="000000"/>
          <w:sz w:val="20"/>
          <w:szCs w:val="20"/>
          <w:lang w:val="es-AR"/>
        </w:rPr>
        <w:t>Televisión Digital</w:t>
      </w:r>
    </w:p>
    <w:p w14:paraId="54A515C7" w14:textId="77777777" w:rsidR="000334EA" w:rsidRPr="007213A1" w:rsidRDefault="000334EA" w:rsidP="000334EA">
      <w:pPr>
        <w:widowControl w:val="0"/>
        <w:autoSpaceDE w:val="0"/>
        <w:autoSpaceDN w:val="0"/>
        <w:adjustRightInd w:val="0"/>
        <w:jc w:val="both"/>
        <w:rPr>
          <w:bCs/>
          <w:color w:val="000000"/>
          <w:sz w:val="20"/>
          <w:szCs w:val="20"/>
          <w:u w:val="single"/>
          <w:lang w:val="es-AR"/>
        </w:rPr>
      </w:pPr>
    </w:p>
    <w:p w14:paraId="516593A1" w14:textId="27B14432" w:rsidR="00A42686" w:rsidRDefault="00A42686" w:rsidP="00A42686">
      <w:pPr>
        <w:widowControl w:val="0"/>
        <w:autoSpaceDE w:val="0"/>
        <w:autoSpaceDN w:val="0"/>
        <w:adjustRightInd w:val="0"/>
        <w:jc w:val="both"/>
        <w:rPr>
          <w:bCs/>
          <w:color w:val="000000"/>
          <w:sz w:val="20"/>
          <w:szCs w:val="20"/>
          <w:lang w:val="es-AR"/>
        </w:rPr>
      </w:pPr>
      <w:r w:rsidRPr="007213A1">
        <w:rPr>
          <w:bCs/>
          <w:color w:val="000000"/>
          <w:sz w:val="20"/>
          <w:szCs w:val="20"/>
          <w:lang w:val="es-AR"/>
        </w:rPr>
        <w:t xml:space="preserve">INVAP ha sido contratada por la empresa estatal AR-SAT para la instalación de las emisoras locales de la Televisión Digital, tarea que está </w:t>
      </w:r>
      <w:r>
        <w:rPr>
          <w:bCs/>
          <w:color w:val="000000"/>
          <w:sz w:val="20"/>
          <w:szCs w:val="20"/>
          <w:lang w:val="es-AR"/>
        </w:rPr>
        <w:t xml:space="preserve">finalizada y operativa </w:t>
      </w:r>
      <w:r w:rsidRPr="007213A1">
        <w:rPr>
          <w:bCs/>
          <w:color w:val="000000"/>
          <w:sz w:val="20"/>
          <w:szCs w:val="20"/>
          <w:lang w:val="es-AR"/>
        </w:rPr>
        <w:t>en todo el territorio del país al momento de actualizar el presente prospecto</w:t>
      </w:r>
      <w:r>
        <w:rPr>
          <w:bCs/>
          <w:color w:val="000000"/>
          <w:sz w:val="20"/>
          <w:szCs w:val="20"/>
          <w:lang w:val="es-AR"/>
        </w:rPr>
        <w:t>.</w:t>
      </w:r>
      <w:r w:rsidR="003934AB">
        <w:rPr>
          <w:bCs/>
          <w:color w:val="000000"/>
          <w:sz w:val="20"/>
          <w:szCs w:val="20"/>
          <w:lang w:val="es-AR"/>
        </w:rPr>
        <w:t xml:space="preserve"> </w:t>
      </w:r>
    </w:p>
    <w:p w14:paraId="1DA5706F" w14:textId="77777777" w:rsidR="003934AB" w:rsidRPr="007213A1" w:rsidRDefault="003934AB" w:rsidP="00A42686">
      <w:pPr>
        <w:widowControl w:val="0"/>
        <w:autoSpaceDE w:val="0"/>
        <w:autoSpaceDN w:val="0"/>
        <w:adjustRightInd w:val="0"/>
        <w:jc w:val="both"/>
        <w:rPr>
          <w:bCs/>
          <w:color w:val="000000"/>
          <w:sz w:val="20"/>
          <w:szCs w:val="20"/>
          <w:lang w:val="es-AR"/>
        </w:rPr>
      </w:pPr>
    </w:p>
    <w:p w14:paraId="40DD7A21" w14:textId="77777777" w:rsidR="00A42686" w:rsidRPr="007213A1" w:rsidRDefault="00A42686" w:rsidP="00A42686">
      <w:pPr>
        <w:widowControl w:val="0"/>
        <w:autoSpaceDE w:val="0"/>
        <w:autoSpaceDN w:val="0"/>
        <w:adjustRightInd w:val="0"/>
        <w:jc w:val="both"/>
        <w:rPr>
          <w:bCs/>
          <w:color w:val="000000"/>
          <w:sz w:val="20"/>
          <w:szCs w:val="20"/>
          <w:lang w:val="es-AR"/>
        </w:rPr>
      </w:pPr>
      <w:r w:rsidRPr="007213A1">
        <w:rPr>
          <w:bCs/>
          <w:color w:val="000000"/>
          <w:sz w:val="20"/>
          <w:szCs w:val="20"/>
          <w:lang w:val="es-AR"/>
        </w:rPr>
        <w:t>Por otra parte, la Compañía Anónima Nacional de Teléfonos de Venezuela (CANTV), ha contratado la provisión de un sistema de Televisión Digital para dicho país, del cual se han completado 9 estaciones de transmisión.</w:t>
      </w:r>
    </w:p>
    <w:p w14:paraId="0B37E5A4" w14:textId="77777777" w:rsidR="00A42686" w:rsidRPr="007213A1" w:rsidRDefault="00A42686" w:rsidP="00A42686">
      <w:pPr>
        <w:widowControl w:val="0"/>
        <w:autoSpaceDE w:val="0"/>
        <w:autoSpaceDN w:val="0"/>
        <w:adjustRightInd w:val="0"/>
        <w:jc w:val="both"/>
        <w:rPr>
          <w:bCs/>
          <w:color w:val="000000"/>
          <w:sz w:val="20"/>
          <w:szCs w:val="20"/>
          <w:lang w:val="es-AR"/>
        </w:rPr>
      </w:pPr>
    </w:p>
    <w:p w14:paraId="7A71755A" w14:textId="77777777" w:rsidR="00A42686" w:rsidRPr="001774C5" w:rsidRDefault="00A42686" w:rsidP="00A42686">
      <w:pPr>
        <w:widowControl w:val="0"/>
        <w:autoSpaceDE w:val="0"/>
        <w:autoSpaceDN w:val="0"/>
        <w:adjustRightInd w:val="0"/>
        <w:jc w:val="both"/>
        <w:rPr>
          <w:bCs/>
          <w:i/>
          <w:color w:val="000000"/>
          <w:sz w:val="20"/>
          <w:szCs w:val="20"/>
          <w:lang w:val="es-AR"/>
        </w:rPr>
      </w:pPr>
      <w:r w:rsidRPr="001774C5">
        <w:rPr>
          <w:bCs/>
          <w:i/>
          <w:color w:val="000000"/>
          <w:sz w:val="20"/>
          <w:szCs w:val="20"/>
          <w:lang w:val="es-AR"/>
        </w:rPr>
        <w:t>Medicina Nuclear</w:t>
      </w:r>
    </w:p>
    <w:p w14:paraId="6DB00769" w14:textId="77777777" w:rsidR="00A42686" w:rsidRPr="007213A1" w:rsidRDefault="00A42686" w:rsidP="00A42686">
      <w:pPr>
        <w:widowControl w:val="0"/>
        <w:autoSpaceDE w:val="0"/>
        <w:autoSpaceDN w:val="0"/>
        <w:adjustRightInd w:val="0"/>
        <w:jc w:val="both"/>
        <w:rPr>
          <w:bCs/>
          <w:color w:val="000000"/>
          <w:sz w:val="20"/>
          <w:szCs w:val="20"/>
          <w:u w:val="single"/>
          <w:lang w:val="es-AR"/>
        </w:rPr>
      </w:pPr>
    </w:p>
    <w:p w14:paraId="151941F4" w14:textId="64F44692" w:rsidR="00A42686" w:rsidRDefault="00A42686" w:rsidP="00A42686">
      <w:pPr>
        <w:widowControl w:val="0"/>
        <w:jc w:val="both"/>
        <w:rPr>
          <w:color w:val="000000"/>
          <w:sz w:val="20"/>
          <w:szCs w:val="20"/>
          <w:lang w:val="es-AR"/>
        </w:rPr>
      </w:pPr>
      <w:r>
        <w:rPr>
          <w:color w:val="000000"/>
          <w:sz w:val="20"/>
          <w:szCs w:val="20"/>
          <w:lang w:val="es-AR"/>
        </w:rPr>
        <w:t xml:space="preserve">INVAP ha sido contratada por CNEA para el diseño, construcción e instalación de </w:t>
      </w:r>
      <w:r w:rsidRPr="00C84121">
        <w:rPr>
          <w:color w:val="000000"/>
          <w:sz w:val="20"/>
          <w:szCs w:val="20"/>
          <w:lang w:val="es-AR"/>
        </w:rPr>
        <w:t>distintos centros de medicina nuclear y radioterapia de alta complejidad provistos de equipamiento de última generación en las siguientes localizaciones Santa Rosa, Pergamino, Comodoro Rivadavia y Ciudad de Buenos Aires, habiendo alcanzado la puesta en marcha de los centros de Río Gallegos y San Carlos de Bariloche</w:t>
      </w:r>
      <w:r>
        <w:rPr>
          <w:color w:val="000000"/>
          <w:sz w:val="20"/>
          <w:szCs w:val="20"/>
          <w:lang w:val="es-AR"/>
        </w:rPr>
        <w:t>. Esto a su vez ha propiciado que diferentes gobiernos provinciales como San Luis y Neuquén contrataran a INVAP para proyectos similares.</w:t>
      </w:r>
    </w:p>
    <w:p w14:paraId="0503FC65" w14:textId="77777777" w:rsidR="00A42686" w:rsidRDefault="00A42686" w:rsidP="00A42686">
      <w:pPr>
        <w:widowControl w:val="0"/>
        <w:jc w:val="both"/>
        <w:rPr>
          <w:color w:val="000000"/>
          <w:sz w:val="20"/>
          <w:szCs w:val="20"/>
          <w:lang w:val="es-AR"/>
        </w:rPr>
      </w:pPr>
    </w:p>
    <w:p w14:paraId="04F65E80" w14:textId="32EFC3CD" w:rsidR="00A42686" w:rsidRDefault="00A42686" w:rsidP="00A42686">
      <w:pPr>
        <w:widowControl w:val="0"/>
        <w:jc w:val="both"/>
        <w:rPr>
          <w:color w:val="000000"/>
          <w:sz w:val="20"/>
          <w:szCs w:val="20"/>
          <w:lang w:val="es-AR"/>
        </w:rPr>
      </w:pPr>
      <w:r>
        <w:rPr>
          <w:color w:val="000000"/>
          <w:sz w:val="20"/>
          <w:szCs w:val="20"/>
          <w:lang w:val="es-AR"/>
        </w:rPr>
        <w:t>Por otro lado, e</w:t>
      </w:r>
      <w:r w:rsidRPr="007213A1">
        <w:rPr>
          <w:color w:val="000000"/>
          <w:sz w:val="20"/>
          <w:szCs w:val="20"/>
          <w:lang w:val="es-AR"/>
        </w:rPr>
        <w:t xml:space="preserve">xisten numerosas unidades de equipos de terapia radiante denominados “bomba de cobalto” para tratamientos de cáncer que se comercializan con la marca “TERADI” y el simulador universal para tratamientos de radioterapia, que está en el mercado con la marca “UNISIM” funcionando en varios países del mundo (Venezuela, Bolivia, Egipto, Siria, Brasil, India), además de Argentina. </w:t>
      </w:r>
    </w:p>
    <w:p w14:paraId="33375754" w14:textId="77777777" w:rsidR="003934AB" w:rsidRPr="007213A1" w:rsidRDefault="003934AB" w:rsidP="00A42686">
      <w:pPr>
        <w:widowControl w:val="0"/>
        <w:jc w:val="both"/>
        <w:rPr>
          <w:color w:val="000000"/>
          <w:sz w:val="20"/>
          <w:szCs w:val="20"/>
          <w:lang w:val="es-AR"/>
        </w:rPr>
      </w:pPr>
    </w:p>
    <w:p w14:paraId="7A9403A0" w14:textId="41259590" w:rsidR="00A42686" w:rsidRDefault="00A42686" w:rsidP="00A42686">
      <w:pPr>
        <w:widowControl w:val="0"/>
        <w:autoSpaceDE w:val="0"/>
        <w:autoSpaceDN w:val="0"/>
        <w:adjustRightInd w:val="0"/>
        <w:jc w:val="both"/>
        <w:rPr>
          <w:color w:val="000000"/>
          <w:sz w:val="20"/>
          <w:szCs w:val="20"/>
          <w:lang w:val="es-AR"/>
        </w:rPr>
      </w:pPr>
      <w:r>
        <w:rPr>
          <w:color w:val="000000"/>
          <w:sz w:val="20"/>
          <w:szCs w:val="20"/>
          <w:lang w:val="es-AR"/>
        </w:rPr>
        <w:t xml:space="preserve">A su vez, </w:t>
      </w:r>
      <w:r w:rsidRPr="007213A1">
        <w:rPr>
          <w:color w:val="000000"/>
          <w:sz w:val="20"/>
          <w:szCs w:val="20"/>
          <w:lang w:val="es-AR"/>
        </w:rPr>
        <w:t xml:space="preserve">se brinda también el servicio post venta, los repuestos y el mantenimiento para las unidades fabricadas por INVAP y para aceleradores lineales utilizados en radioterapia. </w:t>
      </w:r>
    </w:p>
    <w:p w14:paraId="51352D8A" w14:textId="0020F701" w:rsidR="00A42686" w:rsidRDefault="00A42686" w:rsidP="00A42686">
      <w:pPr>
        <w:widowControl w:val="0"/>
        <w:autoSpaceDE w:val="0"/>
        <w:autoSpaceDN w:val="0"/>
        <w:adjustRightInd w:val="0"/>
        <w:jc w:val="both"/>
        <w:rPr>
          <w:color w:val="000000"/>
          <w:sz w:val="20"/>
          <w:szCs w:val="20"/>
          <w:lang w:val="es-AR"/>
        </w:rPr>
      </w:pPr>
    </w:p>
    <w:p w14:paraId="1161A13D" w14:textId="77777777" w:rsidR="00A42686" w:rsidRPr="007213A1" w:rsidRDefault="00A42686" w:rsidP="00A42686">
      <w:pPr>
        <w:widowControl w:val="0"/>
        <w:autoSpaceDE w:val="0"/>
        <w:autoSpaceDN w:val="0"/>
        <w:adjustRightInd w:val="0"/>
        <w:jc w:val="both"/>
        <w:rPr>
          <w:color w:val="000000"/>
          <w:sz w:val="20"/>
          <w:szCs w:val="20"/>
          <w:lang w:val="es-AR"/>
        </w:rPr>
      </w:pPr>
      <w:r w:rsidRPr="007213A1">
        <w:rPr>
          <w:color w:val="000000"/>
          <w:sz w:val="20"/>
          <w:szCs w:val="20"/>
          <w:lang w:val="es-AR"/>
        </w:rPr>
        <w:t xml:space="preserve">En consecuencia, INVAP puede ofrecer una estructura robusta al servicio de la producción de equipos médicos y científicos, basados en la investigación y desarrollo, en servicios integrales al cliente y garantía de calidad de sus productos. </w:t>
      </w:r>
    </w:p>
    <w:p w14:paraId="0BB09C1C" w14:textId="77777777" w:rsidR="00A42686" w:rsidRPr="007213A1" w:rsidRDefault="00A42686" w:rsidP="00A42686">
      <w:pPr>
        <w:widowControl w:val="0"/>
        <w:autoSpaceDE w:val="0"/>
        <w:autoSpaceDN w:val="0"/>
        <w:adjustRightInd w:val="0"/>
        <w:jc w:val="both"/>
        <w:rPr>
          <w:color w:val="000000"/>
          <w:sz w:val="20"/>
          <w:szCs w:val="20"/>
          <w:lang w:val="es-AR"/>
        </w:rPr>
      </w:pPr>
    </w:p>
    <w:p w14:paraId="636411C8" w14:textId="5365ABDA" w:rsidR="000334EA" w:rsidRPr="007213A1" w:rsidRDefault="000334EA" w:rsidP="000334EA">
      <w:pPr>
        <w:widowControl w:val="0"/>
        <w:tabs>
          <w:tab w:val="left" w:pos="664"/>
          <w:tab w:val="left" w:pos="993"/>
        </w:tabs>
        <w:jc w:val="both"/>
        <w:rPr>
          <w:b/>
          <w:color w:val="000000"/>
          <w:sz w:val="20"/>
          <w:szCs w:val="20"/>
          <w:u w:val="single"/>
          <w:lang w:val="es-AR"/>
        </w:rPr>
      </w:pPr>
      <w:r w:rsidRPr="007213A1">
        <w:rPr>
          <w:b/>
          <w:color w:val="000000"/>
          <w:sz w:val="20"/>
          <w:szCs w:val="20"/>
          <w:u w:val="single"/>
          <w:lang w:val="es-AR"/>
        </w:rPr>
        <w:t xml:space="preserve">INVAP </w:t>
      </w:r>
      <w:r w:rsidR="00A2503F">
        <w:rPr>
          <w:b/>
          <w:color w:val="000000"/>
          <w:sz w:val="20"/>
          <w:szCs w:val="20"/>
          <w:u w:val="single"/>
          <w:lang w:val="es-AR"/>
        </w:rPr>
        <w:t xml:space="preserve">en el ámbito </w:t>
      </w:r>
      <w:r w:rsidRPr="007213A1">
        <w:rPr>
          <w:b/>
          <w:color w:val="000000"/>
          <w:sz w:val="20"/>
          <w:szCs w:val="20"/>
          <w:u w:val="single"/>
          <w:lang w:val="es-AR"/>
        </w:rPr>
        <w:t>Internacional.</w:t>
      </w:r>
    </w:p>
    <w:p w14:paraId="110B02A5" w14:textId="77777777" w:rsidR="000334EA" w:rsidRPr="007213A1" w:rsidRDefault="000334EA" w:rsidP="000334EA">
      <w:pPr>
        <w:widowControl w:val="0"/>
        <w:autoSpaceDE w:val="0"/>
        <w:autoSpaceDN w:val="0"/>
        <w:adjustRightInd w:val="0"/>
        <w:jc w:val="both"/>
        <w:rPr>
          <w:i/>
          <w:iCs/>
          <w:color w:val="000000"/>
          <w:sz w:val="20"/>
          <w:szCs w:val="20"/>
          <w:lang w:val="es-AR"/>
        </w:rPr>
      </w:pPr>
    </w:p>
    <w:p w14:paraId="6E713760" w14:textId="5691F5D3" w:rsidR="000334EA" w:rsidRPr="007213A1" w:rsidRDefault="00A42686" w:rsidP="000334EA">
      <w:pPr>
        <w:widowControl w:val="0"/>
        <w:autoSpaceDE w:val="0"/>
        <w:autoSpaceDN w:val="0"/>
        <w:adjustRightInd w:val="0"/>
        <w:jc w:val="both"/>
        <w:rPr>
          <w:color w:val="000000"/>
          <w:sz w:val="20"/>
          <w:szCs w:val="20"/>
          <w:lang w:val="es-AR"/>
        </w:rPr>
      </w:pPr>
      <w:r w:rsidRPr="007213A1">
        <w:rPr>
          <w:color w:val="000000"/>
          <w:sz w:val="20"/>
          <w:szCs w:val="20"/>
          <w:lang w:val="es-AR"/>
        </w:rPr>
        <w:t xml:space="preserve">La ejecución de contratos en </w:t>
      </w:r>
      <w:r>
        <w:rPr>
          <w:color w:val="000000"/>
          <w:sz w:val="20"/>
          <w:szCs w:val="20"/>
          <w:lang w:val="es-AR"/>
        </w:rPr>
        <w:t xml:space="preserve">Australia, Holanda, Egipto, </w:t>
      </w:r>
      <w:r w:rsidRPr="007213A1">
        <w:rPr>
          <w:color w:val="000000"/>
          <w:sz w:val="20"/>
          <w:szCs w:val="20"/>
          <w:lang w:val="es-AR"/>
        </w:rPr>
        <w:t xml:space="preserve">Argelia, Perú, Venezuela, Estados Unidos, Brasil, Arabia Saudita, </w:t>
      </w:r>
      <w:r>
        <w:rPr>
          <w:color w:val="000000"/>
          <w:sz w:val="20"/>
          <w:szCs w:val="20"/>
          <w:lang w:val="es-AR"/>
        </w:rPr>
        <w:t>India, Holanda y Bolivia, conjuntamente con trabajos para distintos comitentes de Singapur, Paraguay o Turquía, entre otros</w:t>
      </w:r>
      <w:r w:rsidR="000334EA" w:rsidRPr="007213A1">
        <w:rPr>
          <w:color w:val="000000"/>
          <w:sz w:val="20"/>
          <w:szCs w:val="20"/>
          <w:lang w:val="es-AR"/>
        </w:rPr>
        <w:t xml:space="preserve"> contribuyó a resaltar la presencia argentina en esos países logrando prestigio para el país, para la ciencia, para la actividad y para la empresa. La expansión hacia nuevos horizontes es posible gracias al trabajo sostenido y mancomunado con diferentes agencias, comisiones, organismos estatales, institutos tecnológicos y universidades, entre otros actores. Dicha sinergia, por la cual la empresa aparece habitualmente como uno de los iconos del Sistema de Ciencia y Tecnología de nuestro país frente a clientes de otras naciones, le ha permitido a Argentina comenzar a hacerse conocida como exportadora confiable de tecnología de avanzada.</w:t>
      </w:r>
    </w:p>
    <w:p w14:paraId="08664A00" w14:textId="77777777" w:rsidR="000334EA" w:rsidRPr="007213A1" w:rsidRDefault="000334EA" w:rsidP="000334EA">
      <w:pPr>
        <w:widowControl w:val="0"/>
        <w:autoSpaceDE w:val="0"/>
        <w:autoSpaceDN w:val="0"/>
        <w:adjustRightInd w:val="0"/>
        <w:jc w:val="both"/>
        <w:rPr>
          <w:color w:val="000000"/>
          <w:sz w:val="20"/>
          <w:szCs w:val="20"/>
          <w:lang w:val="es-AR"/>
        </w:rPr>
      </w:pPr>
    </w:p>
    <w:p w14:paraId="573199AC" w14:textId="74467D18" w:rsidR="000334EA" w:rsidRPr="007213A1" w:rsidRDefault="000334EA" w:rsidP="000334EA">
      <w:pPr>
        <w:widowControl w:val="0"/>
        <w:autoSpaceDE w:val="0"/>
        <w:autoSpaceDN w:val="0"/>
        <w:adjustRightInd w:val="0"/>
        <w:jc w:val="both"/>
        <w:rPr>
          <w:color w:val="000000"/>
          <w:sz w:val="20"/>
          <w:szCs w:val="20"/>
          <w:lang w:val="es-AR"/>
        </w:rPr>
      </w:pPr>
      <w:r w:rsidRPr="007213A1">
        <w:rPr>
          <w:color w:val="000000"/>
          <w:sz w:val="20"/>
          <w:szCs w:val="20"/>
          <w:lang w:val="es-AR"/>
        </w:rPr>
        <w:t xml:space="preserve">El prestigio logrado abrió las puertas a otras ramas de negocio, ayudando al </w:t>
      </w:r>
      <w:r w:rsidRPr="007213A1">
        <w:rPr>
          <w:bCs/>
          <w:color w:val="000000"/>
          <w:sz w:val="20"/>
          <w:szCs w:val="20"/>
          <w:lang w:val="es-AR"/>
        </w:rPr>
        <w:t>incremento de las exportaciones no tradicionales</w:t>
      </w:r>
      <w:r w:rsidRPr="007213A1">
        <w:rPr>
          <w:color w:val="000000"/>
          <w:sz w:val="20"/>
          <w:szCs w:val="20"/>
          <w:lang w:val="es-AR"/>
        </w:rPr>
        <w:t xml:space="preserve"> de bienes de mayor valor agregado, </w:t>
      </w:r>
      <w:r w:rsidR="00A42686">
        <w:rPr>
          <w:color w:val="000000"/>
          <w:sz w:val="20"/>
          <w:szCs w:val="20"/>
          <w:lang w:val="es-AR"/>
        </w:rPr>
        <w:t xml:space="preserve">o de nuevas áreas de negocio, </w:t>
      </w:r>
      <w:r w:rsidRPr="007213A1">
        <w:rPr>
          <w:color w:val="000000"/>
          <w:sz w:val="20"/>
          <w:szCs w:val="20"/>
          <w:lang w:val="es-AR"/>
        </w:rPr>
        <w:t>especialmente de los desarrollos de alta tecnología. En este sentido, INVAP ha hecho un esfuerzo humano y económico importante, exitoso en la apertura de nuevos mercados. De esta manera, el diálogo que naturalmente se establece entre técnicos y profesionales de INVAP con sus pares, científicos e investigadores de otras instituciones, hace todavía más efectivos los resultados obtenidos, en el marco de la administración de proyectos tecnológicos complejos. Esta retroalimentación se produce por citar sólo un caso, en Australia, luego de concretada la exportación del reactor OPAL a partir del año 2000, fabricantes argentinos de maquinaria agrícola se vieron beneficiados de la exitosa conclusión de este proyecto y del buen concepto que el trabajo de INVAP había causado en los australianos.</w:t>
      </w:r>
    </w:p>
    <w:p w14:paraId="24E133C0" w14:textId="77777777" w:rsidR="000334EA" w:rsidRPr="007213A1" w:rsidRDefault="000334EA" w:rsidP="000334EA">
      <w:pPr>
        <w:widowControl w:val="0"/>
        <w:autoSpaceDE w:val="0"/>
        <w:autoSpaceDN w:val="0"/>
        <w:adjustRightInd w:val="0"/>
        <w:jc w:val="both"/>
        <w:rPr>
          <w:color w:val="000000"/>
          <w:sz w:val="20"/>
          <w:szCs w:val="20"/>
          <w:lang w:val="es-AR"/>
        </w:rPr>
      </w:pPr>
    </w:p>
    <w:p w14:paraId="6E8B258A" w14:textId="29C59540" w:rsidR="000334EA" w:rsidRPr="007213A1" w:rsidRDefault="000334EA" w:rsidP="000334EA">
      <w:pPr>
        <w:widowControl w:val="0"/>
        <w:autoSpaceDE w:val="0"/>
        <w:autoSpaceDN w:val="0"/>
        <w:adjustRightInd w:val="0"/>
        <w:jc w:val="both"/>
        <w:rPr>
          <w:color w:val="000000"/>
          <w:sz w:val="20"/>
          <w:szCs w:val="20"/>
          <w:lang w:val="es-AR"/>
        </w:rPr>
      </w:pPr>
      <w:r w:rsidRPr="007213A1">
        <w:rPr>
          <w:color w:val="000000"/>
          <w:sz w:val="20"/>
          <w:szCs w:val="20"/>
          <w:lang w:val="es-AR"/>
        </w:rPr>
        <w:t xml:space="preserve">Entre sus exportaciones más importantes podemos mencionar la realizada entre los años </w:t>
      </w:r>
      <w:smartTag w:uri="urn:schemas-microsoft-com:office:smarttags" w:element="metricconverter">
        <w:smartTagPr>
          <w:attr w:name="ProductID" w:val="1985 a"/>
        </w:smartTagPr>
        <w:r w:rsidRPr="007213A1">
          <w:rPr>
            <w:color w:val="000000"/>
            <w:sz w:val="20"/>
            <w:szCs w:val="20"/>
            <w:lang w:val="es-AR"/>
          </w:rPr>
          <w:t>1985 a</w:t>
        </w:r>
      </w:smartTag>
      <w:r w:rsidRPr="007213A1">
        <w:rPr>
          <w:color w:val="000000"/>
          <w:sz w:val="20"/>
          <w:szCs w:val="20"/>
          <w:lang w:val="es-AR"/>
        </w:rPr>
        <w:t xml:space="preserve"> 1989, a Argelia, quien contrató</w:t>
      </w:r>
      <w:r w:rsidR="003934AB">
        <w:rPr>
          <w:color w:val="000000"/>
          <w:sz w:val="20"/>
          <w:szCs w:val="20"/>
          <w:lang w:val="es-AR"/>
        </w:rPr>
        <w:t xml:space="preserve"> a INVAP a los fines de </w:t>
      </w:r>
      <w:r w:rsidR="00A65D97">
        <w:rPr>
          <w:color w:val="000000"/>
          <w:sz w:val="20"/>
          <w:szCs w:val="20"/>
          <w:lang w:val="es-AR"/>
        </w:rPr>
        <w:t>la provisión de</w:t>
      </w:r>
      <w:r w:rsidRPr="007213A1">
        <w:rPr>
          <w:color w:val="000000"/>
          <w:sz w:val="20"/>
          <w:szCs w:val="20"/>
          <w:lang w:val="es-AR"/>
        </w:rPr>
        <w:t xml:space="preserve"> un reactor nuclear experimental. </w:t>
      </w:r>
    </w:p>
    <w:p w14:paraId="6B2C0256" w14:textId="77777777" w:rsidR="000334EA" w:rsidRPr="007213A1" w:rsidRDefault="000334EA" w:rsidP="000334EA">
      <w:pPr>
        <w:widowControl w:val="0"/>
        <w:autoSpaceDE w:val="0"/>
        <w:autoSpaceDN w:val="0"/>
        <w:adjustRightInd w:val="0"/>
        <w:jc w:val="both"/>
        <w:rPr>
          <w:color w:val="000000"/>
          <w:sz w:val="20"/>
          <w:szCs w:val="20"/>
          <w:lang w:val="es-AR"/>
        </w:rPr>
      </w:pPr>
    </w:p>
    <w:p w14:paraId="126289F7" w14:textId="77777777" w:rsidR="000334EA" w:rsidRPr="007213A1" w:rsidRDefault="000334EA" w:rsidP="000334EA">
      <w:pPr>
        <w:widowControl w:val="0"/>
        <w:autoSpaceDE w:val="0"/>
        <w:autoSpaceDN w:val="0"/>
        <w:adjustRightInd w:val="0"/>
        <w:jc w:val="both"/>
        <w:rPr>
          <w:color w:val="000000"/>
          <w:sz w:val="20"/>
          <w:szCs w:val="20"/>
          <w:lang w:val="es-AR" w:eastAsia="es-ES"/>
        </w:rPr>
      </w:pPr>
      <w:r w:rsidRPr="007213A1">
        <w:rPr>
          <w:color w:val="000000"/>
          <w:sz w:val="20"/>
          <w:szCs w:val="20"/>
          <w:lang w:val="es-AR" w:eastAsia="es-ES"/>
        </w:rPr>
        <w:t>Entre 1993 y 1998, INVAP proveyó un reactor multipropósito a Egipto, en el marco de una licitación internacional en que participaron las empresas más importantes del mundo, la cual INVAP se adjudicó, por un valor de U$S100 millones.</w:t>
      </w:r>
    </w:p>
    <w:p w14:paraId="695391C9" w14:textId="77777777" w:rsidR="000334EA" w:rsidRPr="007213A1" w:rsidRDefault="000334EA" w:rsidP="000334EA">
      <w:pPr>
        <w:widowControl w:val="0"/>
        <w:autoSpaceDE w:val="0"/>
        <w:autoSpaceDN w:val="0"/>
        <w:adjustRightInd w:val="0"/>
        <w:jc w:val="both"/>
        <w:rPr>
          <w:color w:val="000000"/>
          <w:sz w:val="20"/>
          <w:szCs w:val="20"/>
          <w:lang w:val="es-AR" w:eastAsia="es-ES"/>
        </w:rPr>
      </w:pPr>
    </w:p>
    <w:p w14:paraId="460CA9AE" w14:textId="77777777" w:rsidR="000334EA" w:rsidRPr="007213A1" w:rsidRDefault="000334EA" w:rsidP="000334EA">
      <w:pPr>
        <w:widowControl w:val="0"/>
        <w:autoSpaceDE w:val="0"/>
        <w:autoSpaceDN w:val="0"/>
        <w:adjustRightInd w:val="0"/>
        <w:jc w:val="both"/>
        <w:rPr>
          <w:color w:val="000000"/>
          <w:sz w:val="20"/>
          <w:szCs w:val="20"/>
          <w:lang w:val="es-AR"/>
        </w:rPr>
      </w:pPr>
      <w:r w:rsidRPr="007213A1">
        <w:rPr>
          <w:color w:val="000000"/>
          <w:sz w:val="20"/>
          <w:szCs w:val="20"/>
          <w:lang w:val="es-AR" w:eastAsia="es-ES"/>
        </w:rPr>
        <w:t>Entre el año 2000 y el 2006, INVAP construyó el reactor “OPAL” de investigación y producción de radioisótopos en Australia. Este reactor es uno de los más completos y complejos del mundo. En la licitación también compitieron Francia, Canadá, Alemania y EEUU.</w:t>
      </w:r>
    </w:p>
    <w:p w14:paraId="6ED653FF" w14:textId="77777777" w:rsidR="000334EA" w:rsidRPr="007213A1" w:rsidRDefault="000334EA" w:rsidP="000334EA">
      <w:pPr>
        <w:widowControl w:val="0"/>
        <w:autoSpaceDE w:val="0"/>
        <w:autoSpaceDN w:val="0"/>
        <w:adjustRightInd w:val="0"/>
        <w:jc w:val="both"/>
        <w:rPr>
          <w:color w:val="000000"/>
          <w:sz w:val="20"/>
          <w:szCs w:val="20"/>
          <w:lang w:val="es-AR"/>
        </w:rPr>
      </w:pPr>
    </w:p>
    <w:p w14:paraId="2F614B09" w14:textId="2378FC07" w:rsidR="000334EA" w:rsidRPr="007213A1" w:rsidRDefault="000334EA" w:rsidP="000334EA">
      <w:pPr>
        <w:widowControl w:val="0"/>
        <w:autoSpaceDE w:val="0"/>
        <w:autoSpaceDN w:val="0"/>
        <w:adjustRightInd w:val="0"/>
        <w:rPr>
          <w:color w:val="000000"/>
          <w:sz w:val="20"/>
          <w:szCs w:val="20"/>
          <w:lang w:val="es-AR"/>
        </w:rPr>
      </w:pPr>
      <w:r w:rsidRPr="007213A1">
        <w:rPr>
          <w:color w:val="000000"/>
          <w:sz w:val="20"/>
          <w:szCs w:val="20"/>
          <w:lang w:val="es-AR"/>
        </w:rPr>
        <w:t xml:space="preserve">Entre el año 2005 y </w:t>
      </w:r>
      <w:r w:rsidR="00A42686">
        <w:rPr>
          <w:color w:val="000000"/>
          <w:sz w:val="20"/>
          <w:szCs w:val="20"/>
          <w:lang w:val="es-AR"/>
        </w:rPr>
        <w:t>2008</w:t>
      </w:r>
      <w:r w:rsidRPr="007213A1">
        <w:rPr>
          <w:color w:val="000000"/>
          <w:sz w:val="20"/>
          <w:szCs w:val="20"/>
          <w:lang w:val="es-AR"/>
        </w:rPr>
        <w:t xml:space="preserve">, </w:t>
      </w:r>
      <w:r w:rsidR="003934AB">
        <w:rPr>
          <w:color w:val="000000"/>
          <w:sz w:val="20"/>
          <w:szCs w:val="20"/>
          <w:lang w:val="es-AR"/>
        </w:rPr>
        <w:t>l</w:t>
      </w:r>
      <w:r w:rsidRPr="007213A1">
        <w:rPr>
          <w:color w:val="000000"/>
          <w:sz w:val="20"/>
          <w:szCs w:val="20"/>
          <w:lang w:val="es-AR"/>
        </w:rPr>
        <w:t xml:space="preserve">a </w:t>
      </w:r>
      <w:r w:rsidR="003934AB">
        <w:rPr>
          <w:color w:val="000000"/>
          <w:sz w:val="20"/>
          <w:szCs w:val="20"/>
          <w:lang w:val="es-AR"/>
        </w:rPr>
        <w:t>Sociedad</w:t>
      </w:r>
      <w:r w:rsidRPr="007213A1">
        <w:rPr>
          <w:color w:val="000000"/>
          <w:sz w:val="20"/>
          <w:szCs w:val="20"/>
          <w:lang w:val="es-AR"/>
        </w:rPr>
        <w:t xml:space="preserve"> tuvo a su cargo la provisión de 18 centros de radioterapia “llave en mano” a Venezuela, como así también la provisión de equipamiento médico complementario.</w:t>
      </w:r>
    </w:p>
    <w:p w14:paraId="4288533D" w14:textId="77777777" w:rsidR="000334EA" w:rsidRPr="007213A1" w:rsidRDefault="000334EA" w:rsidP="000334EA">
      <w:pPr>
        <w:widowControl w:val="0"/>
        <w:autoSpaceDE w:val="0"/>
        <w:autoSpaceDN w:val="0"/>
        <w:adjustRightInd w:val="0"/>
        <w:rPr>
          <w:color w:val="000000"/>
          <w:sz w:val="20"/>
          <w:szCs w:val="20"/>
          <w:lang w:val="es-AR"/>
        </w:rPr>
      </w:pPr>
    </w:p>
    <w:p w14:paraId="02EE2321" w14:textId="45627978" w:rsidR="000334EA" w:rsidRPr="007213A1" w:rsidRDefault="000334EA" w:rsidP="000334EA">
      <w:pPr>
        <w:widowControl w:val="0"/>
        <w:autoSpaceDE w:val="0"/>
        <w:autoSpaceDN w:val="0"/>
        <w:adjustRightInd w:val="0"/>
        <w:jc w:val="both"/>
        <w:rPr>
          <w:color w:val="000000"/>
          <w:sz w:val="20"/>
          <w:szCs w:val="20"/>
          <w:lang w:val="es-AR"/>
        </w:rPr>
      </w:pPr>
      <w:r w:rsidRPr="007213A1">
        <w:rPr>
          <w:color w:val="000000"/>
          <w:sz w:val="20"/>
          <w:szCs w:val="20"/>
          <w:lang w:val="es-AR"/>
        </w:rPr>
        <w:t xml:space="preserve">Desde el año 2007 </w:t>
      </w:r>
      <w:r w:rsidR="00A42686">
        <w:rPr>
          <w:color w:val="000000"/>
          <w:sz w:val="20"/>
          <w:szCs w:val="20"/>
          <w:lang w:val="es-AR"/>
        </w:rPr>
        <w:t>a 2009</w:t>
      </w:r>
      <w:r w:rsidRPr="007213A1">
        <w:rPr>
          <w:color w:val="000000"/>
          <w:sz w:val="20"/>
          <w:szCs w:val="20"/>
          <w:lang w:val="es-AR"/>
        </w:rPr>
        <w:t>, tiene a su cargo la ingeniería y hardware para la construcción de una OBC (On Board Computer) – Computadora de a Bordo para un satélite de órbita baja construido por Brasil.</w:t>
      </w:r>
    </w:p>
    <w:p w14:paraId="04C665E9" w14:textId="77777777" w:rsidR="000334EA" w:rsidRPr="007213A1" w:rsidRDefault="000334EA" w:rsidP="000334EA">
      <w:pPr>
        <w:widowControl w:val="0"/>
        <w:autoSpaceDE w:val="0"/>
        <w:autoSpaceDN w:val="0"/>
        <w:adjustRightInd w:val="0"/>
        <w:jc w:val="both"/>
        <w:rPr>
          <w:color w:val="000000"/>
          <w:sz w:val="20"/>
          <w:szCs w:val="20"/>
          <w:lang w:val="es-AR"/>
        </w:rPr>
      </w:pPr>
    </w:p>
    <w:p w14:paraId="4A40429C" w14:textId="6DDAC0C4" w:rsidR="000334EA" w:rsidRPr="007213A1" w:rsidRDefault="000334EA" w:rsidP="000334EA">
      <w:pPr>
        <w:widowControl w:val="0"/>
        <w:autoSpaceDE w:val="0"/>
        <w:autoSpaceDN w:val="0"/>
        <w:adjustRightInd w:val="0"/>
        <w:jc w:val="both"/>
        <w:rPr>
          <w:color w:val="000000"/>
          <w:sz w:val="20"/>
          <w:szCs w:val="20"/>
          <w:lang w:val="es-AR"/>
        </w:rPr>
      </w:pPr>
      <w:r w:rsidRPr="007213A1">
        <w:rPr>
          <w:color w:val="000000"/>
          <w:sz w:val="20"/>
          <w:szCs w:val="20"/>
          <w:lang w:val="es-AR"/>
        </w:rPr>
        <w:t xml:space="preserve">A partir del año 2009 </w:t>
      </w:r>
      <w:r w:rsidR="00A42686">
        <w:rPr>
          <w:color w:val="000000"/>
          <w:sz w:val="20"/>
          <w:szCs w:val="20"/>
          <w:lang w:val="es-AR"/>
        </w:rPr>
        <w:t>INVAP tuvo</w:t>
      </w:r>
      <w:r w:rsidRPr="007213A1">
        <w:rPr>
          <w:color w:val="000000"/>
          <w:sz w:val="20"/>
          <w:szCs w:val="20"/>
          <w:lang w:val="es-AR"/>
        </w:rPr>
        <w:t xml:space="preserve"> a su cargo la provisión de un SNCS (Sistema de Navegación, Control y Supervisión) para el INPE (Instituto Nacional de Pesquisas Espaciais) de Brasil.</w:t>
      </w:r>
    </w:p>
    <w:p w14:paraId="1E483687" w14:textId="77777777" w:rsidR="000334EA" w:rsidRPr="007213A1" w:rsidRDefault="000334EA" w:rsidP="000334EA">
      <w:pPr>
        <w:widowControl w:val="0"/>
        <w:autoSpaceDE w:val="0"/>
        <w:autoSpaceDN w:val="0"/>
        <w:adjustRightInd w:val="0"/>
        <w:jc w:val="both"/>
        <w:rPr>
          <w:color w:val="000000"/>
          <w:sz w:val="20"/>
          <w:szCs w:val="20"/>
          <w:lang w:val="es-AR"/>
        </w:rPr>
      </w:pPr>
    </w:p>
    <w:p w14:paraId="536097C2" w14:textId="77777777" w:rsidR="000334EA" w:rsidRPr="007213A1" w:rsidRDefault="000334EA" w:rsidP="000334EA">
      <w:pPr>
        <w:widowControl w:val="0"/>
        <w:autoSpaceDE w:val="0"/>
        <w:autoSpaceDN w:val="0"/>
        <w:adjustRightInd w:val="0"/>
        <w:jc w:val="both"/>
        <w:rPr>
          <w:color w:val="000000"/>
          <w:sz w:val="20"/>
          <w:szCs w:val="20"/>
          <w:lang w:val="es-AR"/>
        </w:rPr>
      </w:pPr>
      <w:r w:rsidRPr="007213A1">
        <w:rPr>
          <w:color w:val="000000"/>
          <w:sz w:val="20"/>
          <w:szCs w:val="20"/>
          <w:lang w:val="es-AR"/>
        </w:rPr>
        <w:t>A fines de 2009 comenzó la ejecución de contratos para el KACST de Arabia Saudita, de Caracterización del Sitio y otros estudios. A principios de 2010, el KACST amplió la contratación a INVAP por la provisión de la Ingeniería de la Planta Procesamiento Residuos.</w:t>
      </w:r>
    </w:p>
    <w:p w14:paraId="3BAAC897" w14:textId="77777777" w:rsidR="000334EA" w:rsidRPr="007213A1" w:rsidRDefault="000334EA" w:rsidP="000334EA">
      <w:pPr>
        <w:widowControl w:val="0"/>
        <w:autoSpaceDE w:val="0"/>
        <w:autoSpaceDN w:val="0"/>
        <w:adjustRightInd w:val="0"/>
        <w:jc w:val="both"/>
        <w:rPr>
          <w:color w:val="000000"/>
          <w:sz w:val="20"/>
          <w:szCs w:val="20"/>
          <w:lang w:val="es-AR"/>
        </w:rPr>
      </w:pPr>
    </w:p>
    <w:p w14:paraId="21DE1DE7" w14:textId="77777777" w:rsidR="000334EA" w:rsidRPr="007213A1" w:rsidRDefault="000334EA" w:rsidP="000334EA">
      <w:pPr>
        <w:widowControl w:val="0"/>
        <w:autoSpaceDE w:val="0"/>
        <w:autoSpaceDN w:val="0"/>
        <w:adjustRightInd w:val="0"/>
        <w:jc w:val="both"/>
        <w:rPr>
          <w:color w:val="000000"/>
          <w:sz w:val="20"/>
          <w:szCs w:val="20"/>
          <w:lang w:val="es-AR"/>
        </w:rPr>
      </w:pPr>
      <w:r w:rsidRPr="007213A1">
        <w:rPr>
          <w:color w:val="000000"/>
          <w:sz w:val="20"/>
          <w:szCs w:val="20"/>
          <w:lang w:val="es-AR"/>
        </w:rPr>
        <w:t>En 2010 y 2011 se concretaron dos contrataciones de ANSTO por la Ingeniería Preliminar y Básica para la Construcción de una Planta de tratamiento de residuos líquidos de la Planta de MOLY-99 y por la Provisión de 2000 Placas de Uranio.</w:t>
      </w:r>
    </w:p>
    <w:p w14:paraId="612DE09C" w14:textId="77777777" w:rsidR="000334EA" w:rsidRPr="007213A1" w:rsidRDefault="000334EA" w:rsidP="000334EA">
      <w:pPr>
        <w:widowControl w:val="0"/>
        <w:autoSpaceDE w:val="0"/>
        <w:autoSpaceDN w:val="0"/>
        <w:adjustRightInd w:val="0"/>
        <w:jc w:val="both"/>
        <w:rPr>
          <w:color w:val="000000"/>
          <w:sz w:val="20"/>
          <w:szCs w:val="20"/>
          <w:lang w:val="es-AR"/>
        </w:rPr>
      </w:pPr>
    </w:p>
    <w:p w14:paraId="380EBBA1" w14:textId="7C2206AD" w:rsidR="000334EA" w:rsidRPr="007213A1" w:rsidRDefault="000334EA" w:rsidP="000334EA">
      <w:pPr>
        <w:widowControl w:val="0"/>
        <w:autoSpaceDE w:val="0"/>
        <w:autoSpaceDN w:val="0"/>
        <w:adjustRightInd w:val="0"/>
        <w:jc w:val="both"/>
        <w:rPr>
          <w:color w:val="000000"/>
          <w:sz w:val="20"/>
          <w:szCs w:val="20"/>
          <w:lang w:val="es-AR"/>
        </w:rPr>
      </w:pPr>
      <w:r w:rsidRPr="007213A1">
        <w:rPr>
          <w:color w:val="000000"/>
          <w:sz w:val="20"/>
          <w:szCs w:val="20"/>
          <w:lang w:val="es-AR"/>
        </w:rPr>
        <w:t xml:space="preserve">A mediados de 2012, el KACST solicitó a INVAP el Desarrollo de la Ingeniería de Detalle e Informe de Seguridad para un reactor de Investigación de Baja Potencia (LPRR) y en 2013 encargó a INVAP la construcción de dicho reactor, la cual se </w:t>
      </w:r>
      <w:r w:rsidR="00A42686">
        <w:rPr>
          <w:color w:val="000000"/>
          <w:sz w:val="20"/>
          <w:szCs w:val="20"/>
          <w:lang w:val="es-AR"/>
        </w:rPr>
        <w:t>sigue</w:t>
      </w:r>
      <w:r w:rsidR="00A42686" w:rsidRPr="007213A1">
        <w:rPr>
          <w:color w:val="000000"/>
          <w:sz w:val="20"/>
          <w:szCs w:val="20"/>
          <w:lang w:val="es-AR"/>
        </w:rPr>
        <w:t xml:space="preserve"> </w:t>
      </w:r>
      <w:r w:rsidRPr="007213A1">
        <w:rPr>
          <w:color w:val="000000"/>
          <w:sz w:val="20"/>
          <w:szCs w:val="20"/>
          <w:lang w:val="es-AR"/>
        </w:rPr>
        <w:t>ejecutando.</w:t>
      </w:r>
    </w:p>
    <w:p w14:paraId="2840EC1A" w14:textId="77777777" w:rsidR="000334EA" w:rsidRPr="007213A1" w:rsidRDefault="000334EA" w:rsidP="000334EA">
      <w:pPr>
        <w:widowControl w:val="0"/>
        <w:autoSpaceDE w:val="0"/>
        <w:autoSpaceDN w:val="0"/>
        <w:adjustRightInd w:val="0"/>
        <w:jc w:val="both"/>
        <w:rPr>
          <w:color w:val="000000"/>
          <w:sz w:val="20"/>
          <w:szCs w:val="20"/>
          <w:lang w:val="es-AR"/>
        </w:rPr>
      </w:pPr>
    </w:p>
    <w:p w14:paraId="5DAE6867" w14:textId="77777777" w:rsidR="000334EA" w:rsidRPr="007213A1" w:rsidRDefault="000334EA" w:rsidP="000334EA">
      <w:pPr>
        <w:widowControl w:val="0"/>
        <w:autoSpaceDE w:val="0"/>
        <w:autoSpaceDN w:val="0"/>
        <w:adjustRightInd w:val="0"/>
        <w:jc w:val="both"/>
        <w:rPr>
          <w:color w:val="000000"/>
          <w:sz w:val="20"/>
          <w:szCs w:val="20"/>
          <w:lang w:val="es-AR"/>
        </w:rPr>
      </w:pPr>
      <w:r w:rsidRPr="007213A1">
        <w:rPr>
          <w:color w:val="000000"/>
          <w:sz w:val="20"/>
          <w:szCs w:val="20"/>
          <w:lang w:val="es-AR"/>
        </w:rPr>
        <w:t>En 2013 se definieron dos importantes contrataciones, una en el área nuclear para ampliar la potencia y modernizar el reactor de investigación para el Centre de Recherche Nuclearire de Draria (Argelia), y otra en el área de Televisión Digital para CANTV (Venezuela), que significó la primera exportación en esta nueva rama de negocios para INVAP.</w:t>
      </w:r>
    </w:p>
    <w:p w14:paraId="06E811C9" w14:textId="77777777" w:rsidR="000334EA" w:rsidRPr="007213A1" w:rsidRDefault="000334EA" w:rsidP="000334EA">
      <w:pPr>
        <w:widowControl w:val="0"/>
        <w:autoSpaceDE w:val="0"/>
        <w:autoSpaceDN w:val="0"/>
        <w:adjustRightInd w:val="0"/>
        <w:jc w:val="both"/>
        <w:rPr>
          <w:color w:val="000000"/>
          <w:sz w:val="20"/>
          <w:szCs w:val="20"/>
          <w:lang w:val="es-AR"/>
        </w:rPr>
      </w:pPr>
    </w:p>
    <w:p w14:paraId="0FFF01BF" w14:textId="38907A51" w:rsidR="000334EA" w:rsidRPr="007213A1" w:rsidRDefault="000334EA" w:rsidP="000334EA">
      <w:pPr>
        <w:widowControl w:val="0"/>
        <w:autoSpaceDE w:val="0"/>
        <w:autoSpaceDN w:val="0"/>
        <w:adjustRightInd w:val="0"/>
        <w:jc w:val="both"/>
        <w:rPr>
          <w:color w:val="000000"/>
          <w:sz w:val="20"/>
          <w:szCs w:val="20"/>
          <w:lang w:val="es-AR"/>
        </w:rPr>
      </w:pPr>
      <w:r w:rsidRPr="007213A1">
        <w:rPr>
          <w:color w:val="000000"/>
          <w:sz w:val="20"/>
          <w:szCs w:val="20"/>
          <w:lang w:val="es-AR"/>
        </w:rPr>
        <w:t xml:space="preserve">Paralelamente, a mediados de 2013, REDETEC (Brasil) contrató a INVAP la </w:t>
      </w:r>
      <w:r w:rsidR="00BA16EA" w:rsidRPr="007213A1">
        <w:rPr>
          <w:color w:val="000000"/>
          <w:sz w:val="20"/>
          <w:szCs w:val="20"/>
          <w:lang w:val="es-AR"/>
        </w:rPr>
        <w:t>Ingeniería</w:t>
      </w:r>
      <w:r w:rsidRPr="007213A1">
        <w:rPr>
          <w:color w:val="000000"/>
          <w:sz w:val="20"/>
          <w:szCs w:val="20"/>
          <w:lang w:val="es-AR"/>
        </w:rPr>
        <w:t xml:space="preserve"> Preliminar para el Reactor Multiproposito Brasilero (RMB), que es de similares características que el RA-10 de Argentina, que INVAP está realizando para CNEA.</w:t>
      </w:r>
    </w:p>
    <w:p w14:paraId="44F2B8EE" w14:textId="77777777" w:rsidR="000334EA" w:rsidRPr="007213A1" w:rsidRDefault="000334EA" w:rsidP="000334EA">
      <w:pPr>
        <w:widowControl w:val="0"/>
        <w:autoSpaceDE w:val="0"/>
        <w:autoSpaceDN w:val="0"/>
        <w:adjustRightInd w:val="0"/>
        <w:jc w:val="both"/>
        <w:rPr>
          <w:color w:val="000000"/>
          <w:sz w:val="20"/>
          <w:szCs w:val="20"/>
          <w:lang w:val="es-AR"/>
        </w:rPr>
      </w:pPr>
    </w:p>
    <w:p w14:paraId="36A981B4" w14:textId="77777777" w:rsidR="00A42686" w:rsidRDefault="00A42686" w:rsidP="00A42686">
      <w:pPr>
        <w:widowControl w:val="0"/>
        <w:autoSpaceDE w:val="0"/>
        <w:autoSpaceDN w:val="0"/>
        <w:adjustRightInd w:val="0"/>
        <w:jc w:val="both"/>
        <w:rPr>
          <w:color w:val="000000"/>
          <w:sz w:val="20"/>
          <w:szCs w:val="20"/>
          <w:lang w:val="es-AR"/>
        </w:rPr>
      </w:pPr>
      <w:r>
        <w:rPr>
          <w:color w:val="000000"/>
          <w:sz w:val="20"/>
          <w:szCs w:val="20"/>
          <w:lang w:val="es-AR"/>
        </w:rPr>
        <w:t xml:space="preserve">En 2014 </w:t>
      </w:r>
      <w:r w:rsidRPr="007213A1">
        <w:rPr>
          <w:color w:val="000000"/>
          <w:sz w:val="20"/>
          <w:szCs w:val="20"/>
          <w:lang w:val="es-AR"/>
        </w:rPr>
        <w:t>el</w:t>
      </w:r>
      <w:r w:rsidRPr="007213A1">
        <w:rPr>
          <w:sz w:val="20"/>
          <w:szCs w:val="20"/>
          <w:lang w:val="es-AR" w:eastAsia="es-ES"/>
        </w:rPr>
        <w:t xml:space="preserve"> </w:t>
      </w:r>
      <w:r w:rsidRPr="007213A1">
        <w:rPr>
          <w:color w:val="000000"/>
          <w:sz w:val="20"/>
          <w:szCs w:val="20"/>
          <w:lang w:val="es-AR"/>
        </w:rPr>
        <w:t xml:space="preserve">Directorate of Purchase and Stores (DPS), dependiente del Gobierno de la República de India, emitió la Orden de Compra a nombre de INVAP S.E. para la provisión de una Planta de Producción de Mo-99, a ser instalada en Mumbai, India, </w:t>
      </w:r>
      <w:r>
        <w:rPr>
          <w:color w:val="000000"/>
          <w:sz w:val="20"/>
          <w:szCs w:val="20"/>
          <w:lang w:val="es-AR"/>
        </w:rPr>
        <w:t>la cual se encuentra en plena ejecución en este momento</w:t>
      </w:r>
      <w:r w:rsidRPr="007213A1">
        <w:rPr>
          <w:color w:val="000000"/>
          <w:sz w:val="20"/>
          <w:szCs w:val="20"/>
          <w:lang w:val="es-AR"/>
        </w:rPr>
        <w:t>.</w:t>
      </w:r>
    </w:p>
    <w:p w14:paraId="2E8EEBFD" w14:textId="77777777" w:rsidR="00A42686" w:rsidRPr="00406330" w:rsidRDefault="00A42686" w:rsidP="00A42686">
      <w:pPr>
        <w:widowControl w:val="0"/>
        <w:autoSpaceDE w:val="0"/>
        <w:autoSpaceDN w:val="0"/>
        <w:adjustRightInd w:val="0"/>
        <w:jc w:val="both"/>
        <w:rPr>
          <w:color w:val="000000"/>
          <w:sz w:val="20"/>
          <w:szCs w:val="20"/>
          <w:lang w:val="es-AR"/>
        </w:rPr>
      </w:pPr>
    </w:p>
    <w:p w14:paraId="3C001629" w14:textId="77777777" w:rsidR="00A42686" w:rsidRDefault="00A42686" w:rsidP="00A42686">
      <w:pPr>
        <w:widowControl w:val="0"/>
        <w:autoSpaceDE w:val="0"/>
        <w:autoSpaceDN w:val="0"/>
        <w:adjustRightInd w:val="0"/>
        <w:jc w:val="both"/>
        <w:rPr>
          <w:color w:val="000000"/>
          <w:sz w:val="20"/>
          <w:szCs w:val="20"/>
          <w:lang w:val="es-AR"/>
        </w:rPr>
      </w:pPr>
      <w:r>
        <w:rPr>
          <w:color w:val="000000"/>
          <w:sz w:val="20"/>
          <w:szCs w:val="20"/>
          <w:lang w:val="es-AR"/>
        </w:rPr>
        <w:t xml:space="preserve">En 2017 el </w:t>
      </w:r>
      <w:r w:rsidRPr="00132B37">
        <w:rPr>
          <w:color w:val="000000"/>
          <w:sz w:val="20"/>
          <w:szCs w:val="20"/>
          <w:lang w:val="es-AR"/>
        </w:rPr>
        <w:t>Instituto Peruano de Energía Nuclear (IPEN)</w:t>
      </w:r>
      <w:r>
        <w:rPr>
          <w:color w:val="000000"/>
          <w:sz w:val="20"/>
          <w:szCs w:val="20"/>
          <w:lang w:val="es-AR"/>
        </w:rPr>
        <w:t xml:space="preserve"> contrató a INVAP para la provisión</w:t>
      </w:r>
      <w:r w:rsidRPr="00132B37">
        <w:rPr>
          <w:color w:val="000000"/>
          <w:sz w:val="20"/>
          <w:szCs w:val="20"/>
          <w:lang w:val="es-AR"/>
        </w:rPr>
        <w:t xml:space="preserve"> de elementos combustibles conteniendo uranio enriquecido para el Reactor de Investigación RP-10 ubicado en Lima, Perú.</w:t>
      </w:r>
    </w:p>
    <w:p w14:paraId="6A5F0725" w14:textId="77777777" w:rsidR="00A42686" w:rsidRPr="00406330" w:rsidRDefault="00A42686" w:rsidP="00A42686">
      <w:pPr>
        <w:widowControl w:val="0"/>
        <w:autoSpaceDE w:val="0"/>
        <w:autoSpaceDN w:val="0"/>
        <w:adjustRightInd w:val="0"/>
        <w:jc w:val="both"/>
        <w:rPr>
          <w:color w:val="000000"/>
          <w:sz w:val="20"/>
          <w:szCs w:val="20"/>
          <w:lang w:val="es-AR"/>
        </w:rPr>
      </w:pPr>
    </w:p>
    <w:p w14:paraId="5AA217FE" w14:textId="77777777" w:rsidR="00A42686" w:rsidRDefault="00A42686" w:rsidP="00A42686">
      <w:pPr>
        <w:widowControl w:val="0"/>
        <w:autoSpaceDE w:val="0"/>
        <w:autoSpaceDN w:val="0"/>
        <w:adjustRightInd w:val="0"/>
        <w:jc w:val="both"/>
        <w:rPr>
          <w:color w:val="000000"/>
          <w:sz w:val="20"/>
          <w:szCs w:val="20"/>
          <w:lang w:val="es-AR"/>
        </w:rPr>
      </w:pPr>
      <w:r>
        <w:rPr>
          <w:color w:val="000000"/>
          <w:sz w:val="20"/>
          <w:szCs w:val="20"/>
          <w:lang w:val="es-AR"/>
        </w:rPr>
        <w:t xml:space="preserve">También en 2017, en continuidad de los trabajos realizados para </w:t>
      </w:r>
      <w:r w:rsidRPr="007213A1">
        <w:rPr>
          <w:color w:val="000000"/>
          <w:sz w:val="20"/>
          <w:szCs w:val="20"/>
          <w:lang w:val="es-AR"/>
        </w:rPr>
        <w:t>la Autoridad de Energía Atómica de Egipto (“</w:t>
      </w:r>
      <w:r w:rsidRPr="007213A1">
        <w:rPr>
          <w:color w:val="000000"/>
          <w:sz w:val="20"/>
          <w:szCs w:val="20"/>
          <w:u w:val="single"/>
          <w:lang w:val="es-AR"/>
        </w:rPr>
        <w:t>AEA”</w:t>
      </w:r>
      <w:r w:rsidRPr="007213A1">
        <w:rPr>
          <w:color w:val="000000"/>
          <w:sz w:val="20"/>
          <w:szCs w:val="20"/>
          <w:lang w:val="es-AR"/>
        </w:rPr>
        <w:t>)</w:t>
      </w:r>
      <w:r>
        <w:rPr>
          <w:color w:val="000000"/>
          <w:sz w:val="20"/>
          <w:szCs w:val="20"/>
          <w:lang w:val="es-AR"/>
        </w:rPr>
        <w:t xml:space="preserve">, el organismo encarga a INVAP </w:t>
      </w:r>
      <w:r w:rsidRPr="00132B37">
        <w:rPr>
          <w:color w:val="000000"/>
          <w:sz w:val="20"/>
          <w:szCs w:val="20"/>
          <w:lang w:val="es-AR"/>
        </w:rPr>
        <w:t xml:space="preserve">asistencia técnica y de ingeniería, y suministro de repuestos y consumibles para </w:t>
      </w:r>
      <w:r>
        <w:rPr>
          <w:color w:val="000000"/>
          <w:sz w:val="20"/>
          <w:szCs w:val="20"/>
          <w:lang w:val="es-AR"/>
        </w:rPr>
        <w:t>sus</w:t>
      </w:r>
      <w:r w:rsidRPr="00132B37">
        <w:rPr>
          <w:color w:val="000000"/>
          <w:sz w:val="20"/>
          <w:szCs w:val="20"/>
          <w:lang w:val="es-AR"/>
        </w:rPr>
        <w:t xml:space="preserve"> instalaciones nucleares y unidad de radiotera</w:t>
      </w:r>
      <w:r>
        <w:rPr>
          <w:color w:val="000000"/>
          <w:sz w:val="20"/>
          <w:szCs w:val="20"/>
          <w:lang w:val="es-AR"/>
        </w:rPr>
        <w:t>pia, trabajos que continúan hasta la fecha.</w:t>
      </w:r>
    </w:p>
    <w:p w14:paraId="177F474A" w14:textId="77777777" w:rsidR="00A42686" w:rsidRDefault="00A42686" w:rsidP="00A42686">
      <w:pPr>
        <w:widowControl w:val="0"/>
        <w:autoSpaceDE w:val="0"/>
        <w:autoSpaceDN w:val="0"/>
        <w:adjustRightInd w:val="0"/>
        <w:jc w:val="both"/>
        <w:rPr>
          <w:color w:val="000000"/>
          <w:sz w:val="20"/>
          <w:szCs w:val="20"/>
          <w:lang w:val="es-AR"/>
        </w:rPr>
      </w:pPr>
    </w:p>
    <w:p w14:paraId="08DE9776" w14:textId="1327B66F" w:rsidR="00A42686" w:rsidRPr="00132B37" w:rsidRDefault="00A42686" w:rsidP="00A42686">
      <w:pPr>
        <w:widowControl w:val="0"/>
        <w:autoSpaceDE w:val="0"/>
        <w:autoSpaceDN w:val="0"/>
        <w:adjustRightInd w:val="0"/>
        <w:jc w:val="both"/>
        <w:rPr>
          <w:color w:val="000000"/>
          <w:sz w:val="20"/>
          <w:szCs w:val="20"/>
          <w:lang w:val="es-ES"/>
        </w:rPr>
      </w:pPr>
      <w:r w:rsidRPr="00132B37">
        <w:rPr>
          <w:color w:val="000000"/>
          <w:sz w:val="20"/>
          <w:szCs w:val="20"/>
          <w:lang w:val="es-ES"/>
        </w:rPr>
        <w:t xml:space="preserve">Entre fines de 2017 y principio de 2018, INVAP </w:t>
      </w:r>
      <w:r>
        <w:rPr>
          <w:color w:val="000000"/>
          <w:sz w:val="20"/>
          <w:szCs w:val="20"/>
          <w:lang w:val="es-ES"/>
        </w:rPr>
        <w:t>ha b</w:t>
      </w:r>
      <w:r w:rsidRPr="00132B37">
        <w:rPr>
          <w:color w:val="000000"/>
          <w:sz w:val="20"/>
          <w:szCs w:val="20"/>
          <w:lang w:val="es-ES"/>
        </w:rPr>
        <w:t>rinda</w:t>
      </w:r>
      <w:r>
        <w:rPr>
          <w:color w:val="000000"/>
          <w:sz w:val="20"/>
          <w:szCs w:val="20"/>
          <w:lang w:val="es-ES"/>
        </w:rPr>
        <w:t>do</w:t>
      </w:r>
      <w:r w:rsidRPr="00132B37">
        <w:rPr>
          <w:color w:val="000000"/>
          <w:sz w:val="20"/>
          <w:szCs w:val="20"/>
          <w:lang w:val="es-ES"/>
        </w:rPr>
        <w:t xml:space="preserve"> </w:t>
      </w:r>
      <w:r>
        <w:rPr>
          <w:color w:val="000000"/>
          <w:sz w:val="20"/>
          <w:szCs w:val="20"/>
          <w:lang w:val="es-ES"/>
        </w:rPr>
        <w:t>asesoramiento a través de diferentes contrataciones a los organismos especializados en materia de tecnología Espacial de Singapur y Paraguay.</w:t>
      </w:r>
    </w:p>
    <w:p w14:paraId="5E653879" w14:textId="77777777" w:rsidR="00A42686" w:rsidRPr="00132B37" w:rsidRDefault="00A42686" w:rsidP="00A42686">
      <w:pPr>
        <w:widowControl w:val="0"/>
        <w:autoSpaceDE w:val="0"/>
        <w:autoSpaceDN w:val="0"/>
        <w:adjustRightInd w:val="0"/>
        <w:jc w:val="both"/>
        <w:rPr>
          <w:color w:val="000000"/>
          <w:sz w:val="20"/>
          <w:szCs w:val="20"/>
          <w:lang w:val="es-ES"/>
        </w:rPr>
      </w:pPr>
    </w:p>
    <w:p w14:paraId="6C34530B" w14:textId="77777777" w:rsidR="00A42686" w:rsidRDefault="00A42686" w:rsidP="00A42686">
      <w:pPr>
        <w:widowControl w:val="0"/>
        <w:autoSpaceDE w:val="0"/>
        <w:autoSpaceDN w:val="0"/>
        <w:adjustRightInd w:val="0"/>
        <w:jc w:val="both"/>
        <w:rPr>
          <w:color w:val="000000"/>
          <w:sz w:val="20"/>
          <w:szCs w:val="20"/>
          <w:lang w:val="es-ES"/>
        </w:rPr>
      </w:pPr>
      <w:r w:rsidRPr="00132B37">
        <w:rPr>
          <w:color w:val="000000"/>
          <w:sz w:val="20"/>
          <w:szCs w:val="20"/>
          <w:lang w:val="es-ES"/>
        </w:rPr>
        <w:t>En diciembre de 2017 se firm</w:t>
      </w:r>
      <w:r>
        <w:rPr>
          <w:color w:val="000000"/>
          <w:sz w:val="20"/>
          <w:szCs w:val="20"/>
          <w:lang w:val="es-ES"/>
        </w:rPr>
        <w:t>ó</w:t>
      </w:r>
      <w:r w:rsidRPr="00132B37">
        <w:rPr>
          <w:color w:val="000000"/>
          <w:sz w:val="20"/>
          <w:szCs w:val="20"/>
          <w:lang w:val="es-ES"/>
        </w:rPr>
        <w:t xml:space="preserve"> </w:t>
      </w:r>
      <w:r>
        <w:rPr>
          <w:color w:val="000000"/>
          <w:sz w:val="20"/>
          <w:szCs w:val="20"/>
          <w:lang w:val="es-ES"/>
        </w:rPr>
        <w:t xml:space="preserve">el </w:t>
      </w:r>
      <w:r w:rsidRPr="00132B37">
        <w:rPr>
          <w:color w:val="000000"/>
          <w:sz w:val="20"/>
          <w:szCs w:val="20"/>
          <w:lang w:val="es-ES"/>
        </w:rPr>
        <w:t>contrato con la Fundaci</w:t>
      </w:r>
      <w:r>
        <w:rPr>
          <w:color w:val="000000"/>
          <w:sz w:val="20"/>
          <w:szCs w:val="20"/>
          <w:lang w:val="es-ES"/>
        </w:rPr>
        <w:t>ón Parque de Alta Tecnología de la Región de Iperó y Adyacencias (Fundación PATRIA) para el inicio de una nueva etapa en la ejecución del proyecto del Reactor Multipropósito Brasileño (RMB), consistente en el desarrollo de la ingeniería de detalle del nuevo reactor, provisión que se encuentra vigente.</w:t>
      </w:r>
    </w:p>
    <w:p w14:paraId="1F3BD124" w14:textId="77777777" w:rsidR="00A42686" w:rsidRPr="00132B37" w:rsidRDefault="00A42686" w:rsidP="00A42686">
      <w:pPr>
        <w:widowControl w:val="0"/>
        <w:autoSpaceDE w:val="0"/>
        <w:autoSpaceDN w:val="0"/>
        <w:adjustRightInd w:val="0"/>
        <w:jc w:val="both"/>
        <w:rPr>
          <w:color w:val="000000"/>
          <w:sz w:val="20"/>
          <w:szCs w:val="20"/>
          <w:lang w:val="es-ES"/>
        </w:rPr>
      </w:pPr>
      <w:r>
        <w:rPr>
          <w:color w:val="000000"/>
          <w:sz w:val="20"/>
          <w:szCs w:val="20"/>
          <w:lang w:val="es-ES"/>
        </w:rPr>
        <w:t>En enero de 2018 la Fundación PALLAS de Países Bajos adjudica a ICHOS (sociedad entre INVAP y la empresa local TBI) el diseño y construcción de un reactor de investigación y producción de radioisótopos para usos medicinales en la localidad de Petten, del cual se encuentra en marcha la provisión de ingeniería básica.</w:t>
      </w:r>
    </w:p>
    <w:p w14:paraId="54D31C8E" w14:textId="77777777" w:rsidR="00A42686" w:rsidRPr="00132B37" w:rsidRDefault="00A42686" w:rsidP="00A42686">
      <w:pPr>
        <w:widowControl w:val="0"/>
        <w:autoSpaceDE w:val="0"/>
        <w:autoSpaceDN w:val="0"/>
        <w:adjustRightInd w:val="0"/>
        <w:jc w:val="both"/>
        <w:rPr>
          <w:color w:val="000000"/>
          <w:sz w:val="20"/>
          <w:szCs w:val="20"/>
          <w:lang w:val="es-ES"/>
        </w:rPr>
      </w:pPr>
    </w:p>
    <w:p w14:paraId="41FB628E" w14:textId="05D3B9A5" w:rsidR="00A42686" w:rsidRDefault="00A42686" w:rsidP="00A42686">
      <w:pPr>
        <w:widowControl w:val="0"/>
        <w:autoSpaceDE w:val="0"/>
        <w:autoSpaceDN w:val="0"/>
        <w:adjustRightInd w:val="0"/>
        <w:jc w:val="both"/>
        <w:rPr>
          <w:color w:val="000000"/>
          <w:sz w:val="20"/>
          <w:szCs w:val="20"/>
          <w:lang w:val="es-ES"/>
        </w:rPr>
      </w:pPr>
      <w:r>
        <w:rPr>
          <w:color w:val="000000"/>
          <w:sz w:val="20"/>
          <w:szCs w:val="20"/>
          <w:lang w:val="es-ES"/>
        </w:rPr>
        <w:t>En febrero</w:t>
      </w:r>
      <w:r w:rsidR="00A65D97">
        <w:rPr>
          <w:color w:val="000000"/>
          <w:sz w:val="20"/>
          <w:szCs w:val="20"/>
          <w:lang w:val="es-ES"/>
        </w:rPr>
        <w:t xml:space="preserve"> de</w:t>
      </w:r>
      <w:r>
        <w:rPr>
          <w:color w:val="000000"/>
          <w:sz w:val="20"/>
          <w:szCs w:val="20"/>
          <w:lang w:val="es-ES"/>
        </w:rPr>
        <w:t xml:space="preserve"> 2018 INVAP firma con ABEN la provisión llave en mano de tres Centros de Medicina Nuclear y Radioterapia en Bolivia, de los cuales se ha inaugurado recientemente el de la localidad de El Alto, y sigue la ejecución de los centros de Santa Cruz de la Sierra y de La Paz.</w:t>
      </w:r>
    </w:p>
    <w:p w14:paraId="6400BBCC" w14:textId="77777777" w:rsidR="00A42686" w:rsidRDefault="00A42686" w:rsidP="00A42686">
      <w:pPr>
        <w:widowControl w:val="0"/>
        <w:autoSpaceDE w:val="0"/>
        <w:autoSpaceDN w:val="0"/>
        <w:adjustRightInd w:val="0"/>
        <w:jc w:val="both"/>
        <w:rPr>
          <w:color w:val="000000"/>
          <w:sz w:val="20"/>
          <w:szCs w:val="20"/>
          <w:lang w:val="es-ES"/>
        </w:rPr>
      </w:pPr>
    </w:p>
    <w:p w14:paraId="0B3175A0" w14:textId="19B14706" w:rsidR="00A42686" w:rsidRDefault="00A42686" w:rsidP="00A42686">
      <w:pPr>
        <w:widowControl w:val="0"/>
        <w:autoSpaceDE w:val="0"/>
        <w:autoSpaceDN w:val="0"/>
        <w:adjustRightInd w:val="0"/>
        <w:jc w:val="both"/>
        <w:rPr>
          <w:color w:val="000000"/>
          <w:sz w:val="20"/>
          <w:szCs w:val="20"/>
          <w:lang w:val="es-ES"/>
        </w:rPr>
      </w:pPr>
      <w:r w:rsidRPr="00132B37">
        <w:rPr>
          <w:color w:val="000000"/>
          <w:sz w:val="20"/>
          <w:szCs w:val="20"/>
          <w:lang w:val="es-ES"/>
        </w:rPr>
        <w:t xml:space="preserve">En julio </w:t>
      </w:r>
      <w:r w:rsidR="00A65D97">
        <w:rPr>
          <w:color w:val="000000"/>
          <w:sz w:val="20"/>
          <w:szCs w:val="20"/>
          <w:lang w:val="es-ES"/>
        </w:rPr>
        <w:t xml:space="preserve">de </w:t>
      </w:r>
      <w:r w:rsidRPr="00132B37">
        <w:rPr>
          <w:color w:val="000000"/>
          <w:sz w:val="20"/>
          <w:szCs w:val="20"/>
          <w:lang w:val="es-ES"/>
        </w:rPr>
        <w:t xml:space="preserve">2018 se firmaron tres contratos con </w:t>
      </w:r>
      <w:r>
        <w:rPr>
          <w:color w:val="000000"/>
          <w:sz w:val="20"/>
          <w:szCs w:val="20"/>
          <w:lang w:val="es-ES"/>
        </w:rPr>
        <w:t>organismos de Estados Unidos (</w:t>
      </w:r>
      <w:r w:rsidRPr="00132B37">
        <w:rPr>
          <w:color w:val="000000"/>
          <w:sz w:val="20"/>
          <w:szCs w:val="20"/>
          <w:lang w:val="es-ES"/>
        </w:rPr>
        <w:t>Los Alamos National Security</w:t>
      </w:r>
      <w:r>
        <w:rPr>
          <w:color w:val="000000"/>
          <w:sz w:val="20"/>
          <w:szCs w:val="20"/>
          <w:lang w:val="es-ES"/>
        </w:rPr>
        <w:t xml:space="preserve">; </w:t>
      </w:r>
      <w:r w:rsidRPr="00132B37">
        <w:rPr>
          <w:color w:val="000000"/>
          <w:sz w:val="20"/>
          <w:szCs w:val="20"/>
          <w:lang w:val="es-ES"/>
        </w:rPr>
        <w:t>Pacific</w:t>
      </w:r>
      <w:r>
        <w:rPr>
          <w:color w:val="000000"/>
          <w:sz w:val="20"/>
          <w:szCs w:val="20"/>
          <w:lang w:val="es-ES"/>
        </w:rPr>
        <w:t xml:space="preserve"> </w:t>
      </w:r>
      <w:r w:rsidRPr="00132B37">
        <w:rPr>
          <w:color w:val="000000"/>
          <w:sz w:val="20"/>
          <w:szCs w:val="20"/>
          <w:lang w:val="es-ES"/>
        </w:rPr>
        <w:t>Nort</w:t>
      </w:r>
      <w:r>
        <w:rPr>
          <w:color w:val="000000"/>
          <w:sz w:val="20"/>
          <w:szCs w:val="20"/>
          <w:lang w:val="es-ES"/>
        </w:rPr>
        <w:t>hwest National Laboratory – PNNL;</w:t>
      </w:r>
      <w:r w:rsidRPr="00132B37">
        <w:rPr>
          <w:color w:val="000000"/>
          <w:sz w:val="20"/>
          <w:szCs w:val="20"/>
          <w:lang w:val="es-ES"/>
        </w:rPr>
        <w:t xml:space="preserve"> y Center fo</w:t>
      </w:r>
      <w:r>
        <w:rPr>
          <w:color w:val="000000"/>
          <w:sz w:val="20"/>
          <w:szCs w:val="20"/>
          <w:lang w:val="es-ES"/>
        </w:rPr>
        <w:t xml:space="preserve">r Severe Weather Research - CSWR) </w:t>
      </w:r>
      <w:r w:rsidRPr="00132B37">
        <w:rPr>
          <w:color w:val="000000"/>
          <w:sz w:val="20"/>
          <w:szCs w:val="20"/>
          <w:lang w:val="es-ES"/>
        </w:rPr>
        <w:t xml:space="preserve">los cuales </w:t>
      </w:r>
      <w:r>
        <w:rPr>
          <w:color w:val="000000"/>
          <w:sz w:val="20"/>
          <w:szCs w:val="20"/>
          <w:lang w:val="es-ES"/>
        </w:rPr>
        <w:t>tuvieron</w:t>
      </w:r>
      <w:r w:rsidRPr="00132B37">
        <w:rPr>
          <w:color w:val="000000"/>
          <w:sz w:val="20"/>
          <w:szCs w:val="20"/>
          <w:lang w:val="es-ES"/>
        </w:rPr>
        <w:t xml:space="preserve"> por objeto común la provisión de apoyo logístico (personal, equipos y</w:t>
      </w:r>
      <w:r>
        <w:rPr>
          <w:color w:val="000000"/>
          <w:sz w:val="20"/>
          <w:szCs w:val="20"/>
          <w:lang w:val="es-ES"/>
        </w:rPr>
        <w:t xml:space="preserve"> </w:t>
      </w:r>
      <w:r w:rsidRPr="00132B37">
        <w:rPr>
          <w:color w:val="000000"/>
          <w:sz w:val="20"/>
          <w:szCs w:val="20"/>
          <w:lang w:val="es-ES"/>
        </w:rPr>
        <w:t>materiales) para la instalación, operación y posterior desmantelamiento de laboratorios</w:t>
      </w:r>
      <w:r>
        <w:rPr>
          <w:color w:val="000000"/>
          <w:sz w:val="20"/>
          <w:szCs w:val="20"/>
          <w:lang w:val="es-ES"/>
        </w:rPr>
        <w:t xml:space="preserve"> </w:t>
      </w:r>
      <w:r w:rsidRPr="00132B37">
        <w:rPr>
          <w:color w:val="000000"/>
          <w:sz w:val="20"/>
          <w:szCs w:val="20"/>
          <w:lang w:val="es-ES"/>
        </w:rPr>
        <w:t>móviles de estudios meteorológicos en la Provincia de Córdoba.</w:t>
      </w:r>
    </w:p>
    <w:p w14:paraId="037A3FEA" w14:textId="77777777" w:rsidR="00A42686" w:rsidRDefault="00A42686" w:rsidP="00A42686">
      <w:pPr>
        <w:widowControl w:val="0"/>
        <w:autoSpaceDE w:val="0"/>
        <w:autoSpaceDN w:val="0"/>
        <w:adjustRightInd w:val="0"/>
        <w:jc w:val="both"/>
        <w:rPr>
          <w:color w:val="000000"/>
          <w:sz w:val="20"/>
          <w:szCs w:val="20"/>
          <w:lang w:val="es-ES"/>
        </w:rPr>
      </w:pPr>
    </w:p>
    <w:p w14:paraId="03F29DBF" w14:textId="40FE839A" w:rsidR="00A42686" w:rsidRDefault="00A42686" w:rsidP="00A42686">
      <w:pPr>
        <w:widowControl w:val="0"/>
        <w:autoSpaceDE w:val="0"/>
        <w:autoSpaceDN w:val="0"/>
        <w:adjustRightInd w:val="0"/>
        <w:jc w:val="both"/>
        <w:rPr>
          <w:color w:val="000000"/>
          <w:sz w:val="20"/>
          <w:szCs w:val="20"/>
          <w:lang w:val="es-ES"/>
        </w:rPr>
      </w:pPr>
      <w:r>
        <w:rPr>
          <w:color w:val="000000"/>
          <w:sz w:val="20"/>
          <w:szCs w:val="20"/>
          <w:lang w:val="es-ES"/>
        </w:rPr>
        <w:t>En septiembre de 2019 INVAP y GSATCOM (Sociedad entre Turkish Aerospace Indust</w:t>
      </w:r>
      <w:r w:rsidR="00BA16EA">
        <w:rPr>
          <w:color w:val="000000"/>
          <w:sz w:val="20"/>
          <w:szCs w:val="20"/>
          <w:lang w:val="es-ES"/>
        </w:rPr>
        <w:t>r</w:t>
      </w:r>
      <w:r>
        <w:rPr>
          <w:color w:val="000000"/>
          <w:sz w:val="20"/>
          <w:szCs w:val="20"/>
          <w:lang w:val="es-ES"/>
        </w:rPr>
        <w:t>ies (TAI) e INVAP) firman un contrato para el desarrollo de la nueva plataforma satelital geoestacionaria Small Geo.</w:t>
      </w:r>
    </w:p>
    <w:p w14:paraId="4A61D72A" w14:textId="77777777" w:rsidR="000334EA" w:rsidRPr="007213A1" w:rsidRDefault="000334EA" w:rsidP="000334EA">
      <w:pPr>
        <w:widowControl w:val="0"/>
        <w:autoSpaceDE w:val="0"/>
        <w:autoSpaceDN w:val="0"/>
        <w:adjustRightInd w:val="0"/>
        <w:jc w:val="both"/>
        <w:rPr>
          <w:color w:val="000000"/>
          <w:sz w:val="20"/>
          <w:szCs w:val="20"/>
          <w:lang w:val="es-AR"/>
        </w:rPr>
      </w:pPr>
    </w:p>
    <w:p w14:paraId="26883B74" w14:textId="77777777" w:rsidR="000334EA" w:rsidRPr="007213A1" w:rsidRDefault="000334EA" w:rsidP="000334EA">
      <w:pPr>
        <w:widowControl w:val="0"/>
        <w:overflowPunct w:val="0"/>
        <w:autoSpaceDE w:val="0"/>
        <w:autoSpaceDN w:val="0"/>
        <w:adjustRightInd w:val="0"/>
        <w:jc w:val="both"/>
        <w:textAlignment w:val="baseline"/>
        <w:rPr>
          <w:b/>
          <w:bCs/>
          <w:color w:val="000000"/>
          <w:sz w:val="20"/>
          <w:szCs w:val="20"/>
          <w:lang w:val="es-AR"/>
        </w:rPr>
      </w:pPr>
      <w:r w:rsidRPr="007213A1">
        <w:rPr>
          <w:b/>
          <w:bCs/>
          <w:color w:val="000000"/>
          <w:sz w:val="20"/>
          <w:szCs w:val="20"/>
          <w:lang w:val="es-AR"/>
        </w:rPr>
        <w:t>Estrategia</w:t>
      </w:r>
    </w:p>
    <w:p w14:paraId="535D98C5" w14:textId="77777777" w:rsidR="000334EA" w:rsidRPr="007213A1" w:rsidRDefault="000334EA" w:rsidP="000334EA">
      <w:pPr>
        <w:widowControl w:val="0"/>
        <w:jc w:val="both"/>
        <w:rPr>
          <w:bCs/>
          <w:color w:val="000000"/>
          <w:sz w:val="20"/>
          <w:szCs w:val="20"/>
          <w:lang w:val="es-AR"/>
        </w:rPr>
      </w:pPr>
    </w:p>
    <w:p w14:paraId="48BAB048" w14:textId="77777777" w:rsidR="000334EA" w:rsidRPr="007213A1" w:rsidRDefault="000334EA" w:rsidP="000334EA">
      <w:pPr>
        <w:widowControl w:val="0"/>
        <w:jc w:val="both"/>
        <w:rPr>
          <w:sz w:val="20"/>
          <w:szCs w:val="20"/>
          <w:lang w:val="es-AR"/>
        </w:rPr>
      </w:pPr>
      <w:r w:rsidRPr="007213A1">
        <w:rPr>
          <w:sz w:val="20"/>
          <w:szCs w:val="20"/>
          <w:lang w:val="es-AR"/>
        </w:rPr>
        <w:t>INVAP tiene el objetivo de aprovechar su larga experiencia y de sus ventajas competitivas para:</w:t>
      </w:r>
    </w:p>
    <w:p w14:paraId="3D099784" w14:textId="77777777" w:rsidR="000334EA" w:rsidRPr="007213A1" w:rsidRDefault="000334EA" w:rsidP="000334EA">
      <w:pPr>
        <w:widowControl w:val="0"/>
        <w:jc w:val="both"/>
        <w:rPr>
          <w:sz w:val="20"/>
          <w:szCs w:val="20"/>
          <w:lang w:val="es-AR"/>
        </w:rPr>
      </w:pPr>
    </w:p>
    <w:p w14:paraId="05719C98" w14:textId="77777777" w:rsidR="00A42686" w:rsidRPr="007213A1" w:rsidRDefault="00A42686" w:rsidP="00A42686">
      <w:pPr>
        <w:widowControl w:val="0"/>
        <w:numPr>
          <w:ilvl w:val="0"/>
          <w:numId w:val="24"/>
        </w:numPr>
        <w:jc w:val="both"/>
        <w:rPr>
          <w:sz w:val="20"/>
          <w:szCs w:val="20"/>
          <w:lang w:val="es-AR"/>
        </w:rPr>
      </w:pPr>
      <w:r w:rsidRPr="007213A1">
        <w:rPr>
          <w:sz w:val="20"/>
          <w:szCs w:val="20"/>
          <w:lang w:val="es-AR"/>
        </w:rPr>
        <w:t>Desarrollar y ejecutar proyectos tecnológicos aportando valor estratégico a sus clientes.</w:t>
      </w:r>
    </w:p>
    <w:p w14:paraId="7291333E" w14:textId="77777777" w:rsidR="00A42686" w:rsidRPr="007213A1" w:rsidRDefault="00A42686" w:rsidP="00A42686">
      <w:pPr>
        <w:widowControl w:val="0"/>
        <w:jc w:val="both"/>
        <w:rPr>
          <w:sz w:val="20"/>
          <w:szCs w:val="20"/>
          <w:lang w:val="es-AR"/>
        </w:rPr>
      </w:pPr>
    </w:p>
    <w:p w14:paraId="733DA15A" w14:textId="77777777" w:rsidR="00A42686" w:rsidRPr="007213A1" w:rsidRDefault="00A42686" w:rsidP="00A42686">
      <w:pPr>
        <w:widowControl w:val="0"/>
        <w:numPr>
          <w:ilvl w:val="0"/>
          <w:numId w:val="23"/>
        </w:numPr>
        <w:jc w:val="both"/>
        <w:rPr>
          <w:sz w:val="20"/>
          <w:szCs w:val="20"/>
          <w:lang w:val="es-AR"/>
        </w:rPr>
      </w:pPr>
      <w:r w:rsidRPr="007213A1">
        <w:rPr>
          <w:sz w:val="20"/>
          <w:szCs w:val="20"/>
          <w:lang w:val="es-AR"/>
        </w:rPr>
        <w:t xml:space="preserve">Explorar nuevas áreas de negocios, </w:t>
      </w:r>
      <w:r>
        <w:rPr>
          <w:sz w:val="20"/>
          <w:szCs w:val="20"/>
          <w:lang w:val="es-AR"/>
        </w:rPr>
        <w:t>en diversos campos de la tecnología</w:t>
      </w:r>
      <w:r w:rsidRPr="007213A1">
        <w:rPr>
          <w:sz w:val="20"/>
          <w:szCs w:val="20"/>
          <w:lang w:val="es-AR"/>
        </w:rPr>
        <w:t>, buscando oportunidades de negocios en la Argentina y en el mundo.</w:t>
      </w:r>
    </w:p>
    <w:p w14:paraId="7C06A344" w14:textId="77777777" w:rsidR="00A42686" w:rsidRPr="007213A1" w:rsidRDefault="00A42686" w:rsidP="00A42686">
      <w:pPr>
        <w:widowControl w:val="0"/>
        <w:jc w:val="both"/>
        <w:rPr>
          <w:sz w:val="20"/>
          <w:szCs w:val="20"/>
          <w:lang w:val="es-AR"/>
        </w:rPr>
      </w:pPr>
    </w:p>
    <w:p w14:paraId="25B26EBA" w14:textId="3EACCCF1" w:rsidR="00A42686" w:rsidRPr="007213A1" w:rsidRDefault="00A42686" w:rsidP="00A42686">
      <w:pPr>
        <w:widowControl w:val="0"/>
        <w:numPr>
          <w:ilvl w:val="0"/>
          <w:numId w:val="23"/>
        </w:numPr>
        <w:jc w:val="both"/>
        <w:rPr>
          <w:sz w:val="20"/>
          <w:szCs w:val="20"/>
          <w:lang w:val="es-AR"/>
        </w:rPr>
      </w:pPr>
      <w:r>
        <w:rPr>
          <w:sz w:val="20"/>
          <w:szCs w:val="20"/>
          <w:lang w:val="es-AR"/>
        </w:rPr>
        <w:t>A</w:t>
      </w:r>
      <w:r w:rsidRPr="00810D8C">
        <w:rPr>
          <w:sz w:val="20"/>
          <w:szCs w:val="20"/>
          <w:lang w:val="es-AR"/>
        </w:rPr>
        <w:t xml:space="preserve">tender en tiempo y forma la importante cartera de proyectos </w:t>
      </w:r>
      <w:r>
        <w:rPr>
          <w:sz w:val="20"/>
          <w:szCs w:val="20"/>
          <w:lang w:val="es-AR"/>
        </w:rPr>
        <w:t>vigentes.</w:t>
      </w:r>
    </w:p>
    <w:p w14:paraId="494E9556" w14:textId="77777777" w:rsidR="00A42686" w:rsidRPr="007213A1" w:rsidRDefault="00A42686" w:rsidP="00A42686">
      <w:pPr>
        <w:widowControl w:val="0"/>
        <w:jc w:val="both"/>
        <w:rPr>
          <w:sz w:val="20"/>
          <w:szCs w:val="20"/>
          <w:lang w:val="es-AR"/>
        </w:rPr>
      </w:pPr>
    </w:p>
    <w:p w14:paraId="66C3CDD2" w14:textId="77777777" w:rsidR="00A42686" w:rsidRPr="007213A1" w:rsidRDefault="00A42686" w:rsidP="00A42686">
      <w:pPr>
        <w:widowControl w:val="0"/>
        <w:numPr>
          <w:ilvl w:val="0"/>
          <w:numId w:val="23"/>
        </w:numPr>
        <w:jc w:val="both"/>
        <w:rPr>
          <w:sz w:val="20"/>
          <w:szCs w:val="20"/>
          <w:lang w:val="es-AR"/>
        </w:rPr>
      </w:pPr>
      <w:r w:rsidRPr="007213A1">
        <w:rPr>
          <w:sz w:val="20"/>
          <w:szCs w:val="20"/>
          <w:lang w:val="es-AR"/>
        </w:rPr>
        <w:t xml:space="preserve">Consolidarse en </w:t>
      </w:r>
      <w:r>
        <w:rPr>
          <w:sz w:val="20"/>
          <w:szCs w:val="20"/>
          <w:lang w:val="es-AR"/>
        </w:rPr>
        <w:t>las áreas más exitosas de la compañía, sosteniendo políticas de innovación y comercialización en cada área de negocios y en el área de ingeniería y producción, incluso en áreas de gestión y administración a fin de optimizar los procesos internos.</w:t>
      </w:r>
    </w:p>
    <w:p w14:paraId="00BBD95E" w14:textId="77777777" w:rsidR="00A42686" w:rsidRPr="007213A1" w:rsidRDefault="00A42686" w:rsidP="00A42686">
      <w:pPr>
        <w:widowControl w:val="0"/>
        <w:ind w:left="180"/>
        <w:jc w:val="both"/>
        <w:rPr>
          <w:sz w:val="20"/>
          <w:szCs w:val="20"/>
          <w:lang w:val="es-AR"/>
        </w:rPr>
      </w:pPr>
    </w:p>
    <w:p w14:paraId="418EAA17" w14:textId="77777777" w:rsidR="00A42686" w:rsidRPr="007213A1" w:rsidRDefault="00A42686" w:rsidP="00A42686">
      <w:pPr>
        <w:widowControl w:val="0"/>
        <w:numPr>
          <w:ilvl w:val="0"/>
          <w:numId w:val="23"/>
        </w:numPr>
        <w:autoSpaceDE w:val="0"/>
        <w:autoSpaceDN w:val="0"/>
        <w:adjustRightInd w:val="0"/>
        <w:jc w:val="both"/>
        <w:rPr>
          <w:sz w:val="20"/>
          <w:szCs w:val="20"/>
          <w:lang w:val="es-AR"/>
        </w:rPr>
      </w:pPr>
      <w:r>
        <w:rPr>
          <w:sz w:val="20"/>
          <w:szCs w:val="20"/>
          <w:lang w:val="es-AR"/>
        </w:rPr>
        <w:t>Participar de la actividad científico-tecnológica nacional e internacional, aportando innovación, conocimiento y desarrollo</w:t>
      </w:r>
      <w:r w:rsidRPr="007213A1">
        <w:rPr>
          <w:sz w:val="20"/>
          <w:szCs w:val="20"/>
          <w:lang w:val="es-AR"/>
        </w:rPr>
        <w:t>.</w:t>
      </w:r>
    </w:p>
    <w:p w14:paraId="191FFE04" w14:textId="77777777" w:rsidR="00A42686" w:rsidRPr="007213A1" w:rsidRDefault="00A42686" w:rsidP="00A42686">
      <w:pPr>
        <w:widowControl w:val="0"/>
        <w:autoSpaceDE w:val="0"/>
        <w:autoSpaceDN w:val="0"/>
        <w:adjustRightInd w:val="0"/>
        <w:jc w:val="both"/>
        <w:rPr>
          <w:sz w:val="20"/>
          <w:szCs w:val="20"/>
          <w:lang w:val="es-AR"/>
        </w:rPr>
      </w:pPr>
    </w:p>
    <w:p w14:paraId="7B608D3B" w14:textId="2B0466FE" w:rsidR="00A42686" w:rsidRPr="007213A1" w:rsidRDefault="00A42686" w:rsidP="00A42686">
      <w:pPr>
        <w:widowControl w:val="0"/>
        <w:numPr>
          <w:ilvl w:val="0"/>
          <w:numId w:val="23"/>
        </w:numPr>
        <w:jc w:val="both"/>
        <w:rPr>
          <w:sz w:val="20"/>
          <w:szCs w:val="20"/>
          <w:lang w:val="es-AR"/>
        </w:rPr>
      </w:pPr>
      <w:r>
        <w:rPr>
          <w:sz w:val="20"/>
          <w:szCs w:val="20"/>
          <w:lang w:val="es-AR"/>
        </w:rPr>
        <w:t xml:space="preserve">Respetar los pilares estratégicos de sustentabilidad: </w:t>
      </w:r>
      <w:r w:rsidRPr="00810D8C">
        <w:rPr>
          <w:sz w:val="20"/>
          <w:szCs w:val="20"/>
          <w:lang w:val="es-AR"/>
        </w:rPr>
        <w:t xml:space="preserve">generación de empleo genuino tanto directo como indirecto, desarrollo de tecnología de avanzada en Argentina, cuidado del capital humano de la empresa y </w:t>
      </w:r>
      <w:r>
        <w:rPr>
          <w:sz w:val="20"/>
          <w:szCs w:val="20"/>
          <w:lang w:val="es-AR"/>
        </w:rPr>
        <w:t xml:space="preserve">actuar </w:t>
      </w:r>
      <w:r w:rsidRPr="00810D8C">
        <w:rPr>
          <w:sz w:val="20"/>
          <w:szCs w:val="20"/>
          <w:lang w:val="es-AR"/>
        </w:rPr>
        <w:t>en un marco seguro, ambiental y social</w:t>
      </w:r>
      <w:r>
        <w:rPr>
          <w:sz w:val="20"/>
          <w:szCs w:val="20"/>
          <w:lang w:val="es-AR"/>
        </w:rPr>
        <w:t xml:space="preserve">mente </w:t>
      </w:r>
      <w:r w:rsidRPr="00810D8C">
        <w:rPr>
          <w:sz w:val="20"/>
          <w:szCs w:val="20"/>
          <w:lang w:val="es-AR"/>
        </w:rPr>
        <w:t>responsable</w:t>
      </w:r>
      <w:r w:rsidRPr="007213A1">
        <w:rPr>
          <w:sz w:val="20"/>
          <w:szCs w:val="20"/>
          <w:lang w:val="es-AR"/>
        </w:rPr>
        <w:t>.</w:t>
      </w:r>
    </w:p>
    <w:p w14:paraId="42170FF6" w14:textId="77777777" w:rsidR="00A42686" w:rsidRPr="007213A1" w:rsidRDefault="00A42686" w:rsidP="00A42686">
      <w:pPr>
        <w:widowControl w:val="0"/>
        <w:autoSpaceDE w:val="0"/>
        <w:autoSpaceDN w:val="0"/>
        <w:adjustRightInd w:val="0"/>
        <w:ind w:left="180"/>
        <w:jc w:val="both"/>
        <w:rPr>
          <w:sz w:val="20"/>
          <w:szCs w:val="20"/>
          <w:lang w:val="es-AR"/>
        </w:rPr>
      </w:pPr>
    </w:p>
    <w:p w14:paraId="09CC3034" w14:textId="77777777" w:rsidR="00A42686" w:rsidRPr="007213A1" w:rsidRDefault="00A42686" w:rsidP="00A42686">
      <w:pPr>
        <w:widowControl w:val="0"/>
        <w:numPr>
          <w:ilvl w:val="0"/>
          <w:numId w:val="23"/>
        </w:numPr>
        <w:tabs>
          <w:tab w:val="left" w:pos="720"/>
        </w:tabs>
        <w:autoSpaceDE w:val="0"/>
        <w:autoSpaceDN w:val="0"/>
        <w:adjustRightInd w:val="0"/>
        <w:jc w:val="both"/>
        <w:rPr>
          <w:sz w:val="20"/>
          <w:szCs w:val="20"/>
          <w:lang w:val="es-AR"/>
        </w:rPr>
      </w:pPr>
      <w:r w:rsidRPr="007213A1">
        <w:rPr>
          <w:sz w:val="20"/>
          <w:szCs w:val="20"/>
          <w:lang w:val="es-AR"/>
        </w:rPr>
        <w:t xml:space="preserve">Desarrollar su actividad promoviendo el desarrollo personal y profesional de sus empleados, </w:t>
      </w:r>
      <w:r>
        <w:rPr>
          <w:sz w:val="20"/>
          <w:szCs w:val="20"/>
          <w:lang w:val="es-AR"/>
        </w:rPr>
        <w:t>generando políticas de detección, desarrollo y retención de talento</w:t>
      </w:r>
      <w:r w:rsidRPr="007213A1">
        <w:rPr>
          <w:sz w:val="20"/>
          <w:szCs w:val="20"/>
          <w:lang w:val="es-AR"/>
        </w:rPr>
        <w:t>.</w:t>
      </w:r>
    </w:p>
    <w:p w14:paraId="7961FA94" w14:textId="77777777" w:rsidR="00A42686" w:rsidRPr="001774C5" w:rsidRDefault="00A42686" w:rsidP="00A42686">
      <w:pPr>
        <w:ind w:left="720"/>
        <w:contextualSpacing/>
        <w:rPr>
          <w:sz w:val="20"/>
          <w:szCs w:val="20"/>
          <w:lang w:val="es-AR"/>
        </w:rPr>
      </w:pPr>
    </w:p>
    <w:p w14:paraId="3ED6E8BE" w14:textId="77777777" w:rsidR="00A42686" w:rsidRPr="007213A1" w:rsidRDefault="00A42686" w:rsidP="00A42686">
      <w:pPr>
        <w:widowControl w:val="0"/>
        <w:numPr>
          <w:ilvl w:val="0"/>
          <w:numId w:val="23"/>
        </w:numPr>
        <w:jc w:val="both"/>
        <w:rPr>
          <w:sz w:val="20"/>
          <w:szCs w:val="20"/>
          <w:lang w:val="es-AR"/>
        </w:rPr>
      </w:pPr>
      <w:r w:rsidRPr="007213A1">
        <w:rPr>
          <w:sz w:val="20"/>
          <w:szCs w:val="20"/>
          <w:lang w:val="es-AR"/>
        </w:rPr>
        <w:t xml:space="preserve">Utilizar convenientemente la red de proveedores locales, nacionales y del exterior que se ha formado a lo largo de </w:t>
      </w:r>
      <w:r>
        <w:rPr>
          <w:sz w:val="20"/>
          <w:szCs w:val="20"/>
          <w:lang w:val="es-AR"/>
        </w:rPr>
        <w:t>más de</w:t>
      </w:r>
      <w:r w:rsidRPr="007213A1">
        <w:rPr>
          <w:sz w:val="20"/>
          <w:szCs w:val="20"/>
          <w:lang w:val="es-AR"/>
        </w:rPr>
        <w:t xml:space="preserve"> 40 años de historia de la empresa, para satisfacer la provisión oportuna y con el nivel de calidad requerida por INVAP de productos y servicios.</w:t>
      </w:r>
    </w:p>
    <w:p w14:paraId="648672C6" w14:textId="77777777" w:rsidR="000334EA" w:rsidRPr="007213A1" w:rsidRDefault="000334EA" w:rsidP="000334EA">
      <w:pPr>
        <w:widowControl w:val="0"/>
        <w:ind w:left="180"/>
        <w:jc w:val="both"/>
        <w:rPr>
          <w:sz w:val="20"/>
          <w:szCs w:val="20"/>
          <w:lang w:val="es-AR"/>
        </w:rPr>
      </w:pPr>
    </w:p>
    <w:p w14:paraId="14EDFB29" w14:textId="77777777" w:rsidR="000334EA" w:rsidRPr="007213A1" w:rsidRDefault="000334EA" w:rsidP="000334EA">
      <w:pPr>
        <w:widowControl w:val="0"/>
        <w:numPr>
          <w:ilvl w:val="0"/>
          <w:numId w:val="23"/>
        </w:numPr>
        <w:tabs>
          <w:tab w:val="left" w:pos="720"/>
        </w:tabs>
        <w:autoSpaceDE w:val="0"/>
        <w:autoSpaceDN w:val="0"/>
        <w:adjustRightInd w:val="0"/>
        <w:jc w:val="both"/>
        <w:rPr>
          <w:sz w:val="20"/>
          <w:szCs w:val="20"/>
          <w:lang w:val="es-AR"/>
        </w:rPr>
      </w:pPr>
      <w:r w:rsidRPr="007213A1">
        <w:rPr>
          <w:sz w:val="20"/>
          <w:szCs w:val="20"/>
          <w:lang w:val="es-AR"/>
        </w:rPr>
        <w:t>Respetar el medio ambiente en cada una de las actividades y proyectos que emprenda INVAP y promover acciones socialmente responsables para mejorar la calidad de vida de la comunidad donde se enmarcan sus actividades</w:t>
      </w:r>
    </w:p>
    <w:p w14:paraId="08C91696" w14:textId="77777777" w:rsidR="000334EA" w:rsidRPr="007213A1" w:rsidRDefault="000334EA" w:rsidP="000334EA">
      <w:pPr>
        <w:widowControl w:val="0"/>
        <w:overflowPunct w:val="0"/>
        <w:autoSpaceDE w:val="0"/>
        <w:autoSpaceDN w:val="0"/>
        <w:adjustRightInd w:val="0"/>
        <w:jc w:val="both"/>
        <w:textAlignment w:val="baseline"/>
        <w:rPr>
          <w:color w:val="000000"/>
          <w:sz w:val="20"/>
          <w:szCs w:val="20"/>
          <w:lang w:val="es-AR"/>
        </w:rPr>
      </w:pPr>
    </w:p>
    <w:p w14:paraId="25741EEF" w14:textId="77777777" w:rsidR="000334EA" w:rsidRPr="007213A1" w:rsidRDefault="000334EA">
      <w:pPr>
        <w:rPr>
          <w:b/>
          <w:sz w:val="20"/>
          <w:szCs w:val="20"/>
          <w:lang w:val="es-AR" w:eastAsia="es-ES"/>
        </w:rPr>
      </w:pPr>
      <w:r w:rsidRPr="007213A1">
        <w:rPr>
          <w:b/>
          <w:sz w:val="20"/>
          <w:szCs w:val="20"/>
          <w:lang w:val="es-AR" w:eastAsia="es-ES"/>
        </w:rPr>
        <w:br w:type="page"/>
      </w:r>
    </w:p>
    <w:p w14:paraId="72D37144" w14:textId="18DCC8D4" w:rsidR="000334EA" w:rsidRPr="00F0775A" w:rsidRDefault="000334EA" w:rsidP="00512442">
      <w:pPr>
        <w:pStyle w:val="Prrafodelista"/>
        <w:widowControl w:val="0"/>
        <w:numPr>
          <w:ilvl w:val="0"/>
          <w:numId w:val="60"/>
        </w:numPr>
        <w:suppressLineNumbers/>
        <w:suppressAutoHyphens/>
        <w:jc w:val="center"/>
        <w:rPr>
          <w:b/>
          <w:sz w:val="20"/>
        </w:rPr>
      </w:pPr>
      <w:r w:rsidRPr="00512442">
        <w:rPr>
          <w:rFonts w:ascii="Times New Roman" w:hAnsi="Times New Roman"/>
          <w:b/>
          <w:sz w:val="20"/>
        </w:rPr>
        <w:t>DATOS ESTADÍSTICOS Y PROGRAMA PREVISTO PARA LA OFERTA</w:t>
      </w:r>
    </w:p>
    <w:p w14:paraId="34AD319E" w14:textId="77777777" w:rsidR="000334EA" w:rsidRPr="007213A1" w:rsidRDefault="000334EA" w:rsidP="000334EA">
      <w:pPr>
        <w:widowControl w:val="0"/>
        <w:suppressLineNumbers/>
        <w:suppressAutoHyphens/>
        <w:jc w:val="center"/>
        <w:rPr>
          <w:b/>
          <w:sz w:val="20"/>
          <w:szCs w:val="20"/>
          <w:lang w:val="es-AR" w:eastAsia="es-ES"/>
        </w:rPr>
      </w:pPr>
    </w:p>
    <w:tbl>
      <w:tblPr>
        <w:tblW w:w="8505" w:type="dxa"/>
        <w:tblLayout w:type="fixed"/>
        <w:tblCellMar>
          <w:left w:w="70" w:type="dxa"/>
          <w:right w:w="70" w:type="dxa"/>
        </w:tblCellMar>
        <w:tblLook w:val="0000" w:firstRow="0" w:lastRow="0" w:firstColumn="0" w:lastColumn="0" w:noHBand="0" w:noVBand="0"/>
      </w:tblPr>
      <w:tblGrid>
        <w:gridCol w:w="2474"/>
        <w:gridCol w:w="6031"/>
      </w:tblGrid>
      <w:tr w:rsidR="000334EA" w:rsidRPr="007213A1" w14:paraId="0AF44889" w14:textId="77777777" w:rsidTr="00BA304B">
        <w:trPr>
          <w:trHeight w:val="460"/>
        </w:trPr>
        <w:tc>
          <w:tcPr>
            <w:tcW w:w="2474" w:type="dxa"/>
          </w:tcPr>
          <w:p w14:paraId="7355543C" w14:textId="77777777" w:rsidR="000334EA" w:rsidRPr="00512442" w:rsidRDefault="000334EA" w:rsidP="008E66E9">
            <w:pPr>
              <w:pStyle w:val="Textonotapie"/>
              <w:rPr>
                <w:sz w:val="20"/>
                <w:lang w:val="es-AR"/>
              </w:rPr>
            </w:pPr>
            <w:r w:rsidRPr="00512442">
              <w:rPr>
                <w:sz w:val="20"/>
                <w:lang w:val="es-AR"/>
              </w:rPr>
              <w:t>Emisora</w:t>
            </w:r>
          </w:p>
          <w:p w14:paraId="2B8D79D5" w14:textId="77777777" w:rsidR="000334EA" w:rsidRPr="00512442" w:rsidRDefault="000334EA" w:rsidP="008E66E9">
            <w:pPr>
              <w:pStyle w:val="Textonotapie"/>
              <w:rPr>
                <w:sz w:val="20"/>
                <w:lang w:val="es-AR"/>
              </w:rPr>
            </w:pPr>
          </w:p>
        </w:tc>
        <w:tc>
          <w:tcPr>
            <w:tcW w:w="6031" w:type="dxa"/>
          </w:tcPr>
          <w:p w14:paraId="6D87B9EA" w14:textId="77777777" w:rsidR="000334EA" w:rsidRPr="007213A1" w:rsidRDefault="000334EA" w:rsidP="00003BBF">
            <w:pPr>
              <w:pStyle w:val="notaalpie"/>
              <w:widowControl w:val="0"/>
              <w:suppressLineNumbers/>
              <w:suppressAutoHyphens/>
              <w:rPr>
                <w:rFonts w:ascii="Times New Roman" w:hAnsi="Times New Roman"/>
                <w:lang w:val="es-ES"/>
              </w:rPr>
            </w:pPr>
            <w:r w:rsidRPr="007213A1">
              <w:rPr>
                <w:rFonts w:ascii="Times New Roman" w:hAnsi="Times New Roman"/>
                <w:lang w:val="es-ES"/>
              </w:rPr>
              <w:t>INVAP S.E.</w:t>
            </w:r>
          </w:p>
        </w:tc>
      </w:tr>
      <w:tr w:rsidR="000334EA" w:rsidRPr="00512442" w14:paraId="31178E1F" w14:textId="77777777" w:rsidTr="00BA304B">
        <w:trPr>
          <w:trHeight w:val="2071"/>
        </w:trPr>
        <w:tc>
          <w:tcPr>
            <w:tcW w:w="2474" w:type="dxa"/>
          </w:tcPr>
          <w:p w14:paraId="588F736E" w14:textId="77777777" w:rsidR="000334EA" w:rsidRPr="00512442" w:rsidRDefault="000334EA" w:rsidP="008E66E9">
            <w:pPr>
              <w:pStyle w:val="Textonotapie"/>
              <w:rPr>
                <w:sz w:val="20"/>
                <w:lang w:val="es-AR"/>
              </w:rPr>
            </w:pPr>
            <w:r w:rsidRPr="00512442">
              <w:rPr>
                <w:sz w:val="20"/>
                <w:lang w:val="es-AR"/>
              </w:rPr>
              <w:t>Monto del Programa</w:t>
            </w:r>
          </w:p>
        </w:tc>
        <w:tc>
          <w:tcPr>
            <w:tcW w:w="6031" w:type="dxa"/>
          </w:tcPr>
          <w:p w14:paraId="124C1DA1" w14:textId="5FA3D102" w:rsidR="000334EA" w:rsidRPr="007213A1" w:rsidRDefault="000334EA" w:rsidP="00003BBF">
            <w:pPr>
              <w:pStyle w:val="notaalpie"/>
              <w:widowControl w:val="0"/>
              <w:suppressLineNumbers/>
              <w:suppressAutoHyphens/>
              <w:rPr>
                <w:rFonts w:ascii="Times New Roman" w:hAnsi="Times New Roman"/>
                <w:lang w:val="es-AR" w:eastAsia="en-US"/>
              </w:rPr>
            </w:pPr>
            <w:r w:rsidRPr="007213A1">
              <w:rPr>
                <w:rFonts w:ascii="Times New Roman" w:hAnsi="Times New Roman"/>
                <w:lang w:val="es-ES"/>
              </w:rPr>
              <w:t xml:space="preserve">El monto máximo del capital total de las Obligaciones Negociables en circulación en cualquier momento no podrá superar </w:t>
            </w:r>
            <w:r w:rsidRPr="00112B9F">
              <w:rPr>
                <w:rFonts w:ascii="Times New Roman" w:hAnsi="Times New Roman"/>
                <w:lang w:val="es-ES"/>
              </w:rPr>
              <w:t>los US$</w:t>
            </w:r>
            <w:r w:rsidRPr="007213A1">
              <w:rPr>
                <w:rFonts w:ascii="Times New Roman" w:hAnsi="Times New Roman"/>
                <w:lang w:val="es-ES"/>
              </w:rPr>
              <w:t>50.000.000 (o su equivalente en otras monedas</w:t>
            </w:r>
            <w:r w:rsidR="00650E29" w:rsidRPr="007213A1">
              <w:rPr>
                <w:rFonts w:ascii="Times New Roman" w:hAnsi="Times New Roman"/>
                <w:lang w:val="es-ES"/>
              </w:rPr>
              <w:t xml:space="preserve"> y/o unidades de valor)</w:t>
            </w:r>
            <w:r w:rsidRPr="007213A1">
              <w:rPr>
                <w:rFonts w:ascii="Times New Roman" w:hAnsi="Times New Roman"/>
                <w:lang w:val="es-ES"/>
              </w:rPr>
              <w:t>, calculado como se describe en el presente</w:t>
            </w:r>
            <w:r w:rsidRPr="007213A1">
              <w:rPr>
                <w:rFonts w:ascii="Times New Roman" w:hAnsi="Times New Roman"/>
                <w:lang w:val="es-AR" w:eastAsia="en-US"/>
              </w:rPr>
              <w:t>, sujeto a cualquier aumento debidamente autorizado.</w:t>
            </w:r>
          </w:p>
          <w:p w14:paraId="0D1954BA" w14:textId="77777777" w:rsidR="000334EA" w:rsidRPr="007213A1" w:rsidRDefault="000334EA" w:rsidP="00003BBF">
            <w:pPr>
              <w:pStyle w:val="notaalpie"/>
              <w:widowControl w:val="0"/>
              <w:suppressLineNumbers/>
              <w:suppressAutoHyphens/>
              <w:rPr>
                <w:rFonts w:ascii="Times New Roman" w:hAnsi="Times New Roman"/>
                <w:lang w:val="es-AR" w:eastAsia="en-US"/>
              </w:rPr>
            </w:pPr>
          </w:p>
          <w:p w14:paraId="1FD40FA1" w14:textId="77777777" w:rsidR="000334EA" w:rsidRPr="007213A1" w:rsidRDefault="000334EA" w:rsidP="00003BBF">
            <w:pPr>
              <w:pStyle w:val="notaalpie"/>
              <w:widowControl w:val="0"/>
              <w:suppressLineNumbers/>
              <w:suppressAutoHyphens/>
              <w:rPr>
                <w:rFonts w:ascii="Times New Roman" w:hAnsi="Times New Roman"/>
                <w:lang w:val="es-ES" w:eastAsia="en-US"/>
              </w:rPr>
            </w:pPr>
            <w:r w:rsidRPr="007213A1">
              <w:rPr>
                <w:rFonts w:ascii="Times New Roman" w:hAnsi="Times New Roman"/>
                <w:lang w:val="es-ES" w:eastAsia="en-US"/>
              </w:rPr>
              <w:t>Una vez cubierto en forma total el monto máximo del Programa sólo se podrán emitir nuevas Clases por el valor nominal de Obligaciones Negociables que se cancelen en forma total o parcial.</w:t>
            </w:r>
          </w:p>
          <w:p w14:paraId="256865D6" w14:textId="77777777" w:rsidR="000334EA" w:rsidRPr="007213A1" w:rsidRDefault="000334EA" w:rsidP="00003BBF">
            <w:pPr>
              <w:pStyle w:val="notaalpie"/>
              <w:widowControl w:val="0"/>
              <w:suppressLineNumbers/>
              <w:suppressAutoHyphens/>
              <w:rPr>
                <w:rFonts w:ascii="Times New Roman" w:hAnsi="Times New Roman"/>
              </w:rPr>
            </w:pPr>
          </w:p>
        </w:tc>
      </w:tr>
      <w:tr w:rsidR="000334EA" w:rsidRPr="00512442" w14:paraId="0A78B921" w14:textId="77777777" w:rsidTr="00BA304B">
        <w:trPr>
          <w:trHeight w:val="920"/>
        </w:trPr>
        <w:tc>
          <w:tcPr>
            <w:tcW w:w="2474" w:type="dxa"/>
          </w:tcPr>
          <w:p w14:paraId="6FB40AC2" w14:textId="77777777" w:rsidR="000334EA" w:rsidRPr="00512442" w:rsidRDefault="000334EA" w:rsidP="00512442">
            <w:pPr>
              <w:pStyle w:val="Textonotapie"/>
              <w:jc w:val="both"/>
              <w:rPr>
                <w:sz w:val="20"/>
                <w:lang w:val="es-AR"/>
              </w:rPr>
            </w:pPr>
            <w:r w:rsidRPr="00512442">
              <w:rPr>
                <w:sz w:val="20"/>
                <w:lang w:val="es-AR"/>
              </w:rPr>
              <w:t>Vencimientos</w:t>
            </w:r>
          </w:p>
        </w:tc>
        <w:tc>
          <w:tcPr>
            <w:tcW w:w="6031" w:type="dxa"/>
          </w:tcPr>
          <w:p w14:paraId="690DA9F6" w14:textId="77777777" w:rsidR="000334EA" w:rsidRPr="007213A1" w:rsidRDefault="000334EA" w:rsidP="00003BBF">
            <w:pPr>
              <w:pStyle w:val="notaalpie"/>
              <w:widowControl w:val="0"/>
              <w:suppressLineNumbers/>
              <w:suppressAutoHyphens/>
              <w:rPr>
                <w:rFonts w:ascii="Times New Roman" w:hAnsi="Times New Roman"/>
                <w:lang w:val="es-ES"/>
              </w:rPr>
            </w:pPr>
            <w:r w:rsidRPr="007213A1">
              <w:rPr>
                <w:rFonts w:ascii="Times New Roman" w:hAnsi="Times New Roman"/>
                <w:lang w:val="es-ES"/>
              </w:rPr>
              <w:t>Las Obligaciones Negociables podrán emitirse con vencimientos de treinta (30) días o más contados a partir de su Fecha de Emisión, sujeto a todos los requisitos legales y regulatorios aplicables, según se establezca en el Suplemento de Precio correspondiente.</w:t>
            </w:r>
          </w:p>
          <w:p w14:paraId="4C3E3B60" w14:textId="77777777" w:rsidR="000334EA" w:rsidRPr="007213A1" w:rsidRDefault="000334EA" w:rsidP="00003BBF">
            <w:pPr>
              <w:pStyle w:val="notaalpie"/>
              <w:widowControl w:val="0"/>
              <w:suppressLineNumbers/>
              <w:suppressAutoHyphens/>
              <w:rPr>
                <w:rFonts w:ascii="Times New Roman" w:hAnsi="Times New Roman"/>
                <w:lang w:val="es-ES"/>
              </w:rPr>
            </w:pPr>
          </w:p>
        </w:tc>
      </w:tr>
      <w:tr w:rsidR="000334EA" w:rsidRPr="00512442" w14:paraId="56C5B739" w14:textId="77777777" w:rsidTr="00BA304B">
        <w:trPr>
          <w:trHeight w:val="920"/>
        </w:trPr>
        <w:tc>
          <w:tcPr>
            <w:tcW w:w="2474" w:type="dxa"/>
          </w:tcPr>
          <w:p w14:paraId="5462E601" w14:textId="77777777" w:rsidR="000334EA" w:rsidRPr="00512442" w:rsidRDefault="000334EA" w:rsidP="00512442">
            <w:pPr>
              <w:pStyle w:val="Textonotapie"/>
              <w:jc w:val="both"/>
              <w:rPr>
                <w:sz w:val="20"/>
                <w:lang w:val="es-AR"/>
              </w:rPr>
            </w:pPr>
            <w:r w:rsidRPr="00512442">
              <w:rPr>
                <w:sz w:val="20"/>
                <w:lang w:val="es-AR"/>
              </w:rPr>
              <w:t>Duración del Programa</w:t>
            </w:r>
          </w:p>
        </w:tc>
        <w:tc>
          <w:tcPr>
            <w:tcW w:w="6031" w:type="dxa"/>
          </w:tcPr>
          <w:p w14:paraId="711E84FC" w14:textId="2262DD99" w:rsidR="000334EA" w:rsidRPr="007213A1" w:rsidRDefault="000334EA" w:rsidP="000334EA">
            <w:pPr>
              <w:pStyle w:val="notaalpie"/>
              <w:suppressLineNumbers/>
              <w:suppressAutoHyphens/>
              <w:rPr>
                <w:rFonts w:ascii="Times New Roman" w:hAnsi="Times New Roman"/>
                <w:lang w:val="es-ES"/>
              </w:rPr>
            </w:pPr>
            <w:r w:rsidRPr="007213A1">
              <w:rPr>
                <w:rFonts w:ascii="Times New Roman" w:hAnsi="Times New Roman"/>
                <w:lang w:val="es-ES"/>
              </w:rPr>
              <w:t>La duración del Programa de Obligaciones Negociables será de cinco (5) años,</w:t>
            </w:r>
            <w:r w:rsidR="00F72F31">
              <w:rPr>
                <w:rFonts w:ascii="Times New Roman" w:hAnsi="Times New Roman"/>
                <w:lang w:val="es-ES"/>
              </w:rPr>
              <w:t xml:space="preserve"> prorrogables,</w:t>
            </w:r>
            <w:r w:rsidRPr="007213A1">
              <w:rPr>
                <w:rFonts w:ascii="Times New Roman" w:hAnsi="Times New Roman"/>
                <w:lang w:val="es-ES"/>
              </w:rPr>
              <w:t xml:space="preserve"> o cualquier plazo mayor que se autorice de conformidad con las normas aplicables, contados a partir de la fecha de autorización de este Programa y de la oferta pública por parte de la CNV. El vencimiento de las diversas Clases y/o Series podrá operar con posterioridad al vencimiento del Programa.</w:t>
            </w:r>
          </w:p>
          <w:p w14:paraId="3AE0A278" w14:textId="77777777" w:rsidR="000334EA" w:rsidRPr="007213A1" w:rsidRDefault="000334EA" w:rsidP="000334EA">
            <w:pPr>
              <w:pStyle w:val="notaalpie"/>
              <w:suppressLineNumbers/>
              <w:suppressAutoHyphens/>
              <w:rPr>
                <w:rFonts w:ascii="Times New Roman" w:hAnsi="Times New Roman"/>
                <w:lang w:val="es-ES"/>
              </w:rPr>
            </w:pPr>
          </w:p>
        </w:tc>
      </w:tr>
      <w:tr w:rsidR="000334EA" w:rsidRPr="00512442" w14:paraId="40088F91" w14:textId="77777777" w:rsidTr="00BA304B">
        <w:trPr>
          <w:trHeight w:val="920"/>
        </w:trPr>
        <w:tc>
          <w:tcPr>
            <w:tcW w:w="2474" w:type="dxa"/>
          </w:tcPr>
          <w:p w14:paraId="7A12F98B" w14:textId="77777777" w:rsidR="000334EA" w:rsidRPr="00512442" w:rsidRDefault="000334EA" w:rsidP="00512442">
            <w:pPr>
              <w:pStyle w:val="Textonotapie"/>
              <w:jc w:val="both"/>
              <w:rPr>
                <w:sz w:val="20"/>
                <w:lang w:val="es-AR"/>
              </w:rPr>
            </w:pPr>
            <w:r w:rsidRPr="00512442">
              <w:rPr>
                <w:sz w:val="20"/>
                <w:lang w:val="es-AR"/>
              </w:rPr>
              <w:t>Moneda</w:t>
            </w:r>
          </w:p>
        </w:tc>
        <w:tc>
          <w:tcPr>
            <w:tcW w:w="6031" w:type="dxa"/>
          </w:tcPr>
          <w:p w14:paraId="44FC42A8" w14:textId="0D24B94D"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Las Obligaciones Negociables podrán estar denominadas en Pesos, Dólares y/o cualquier otra moneda</w:t>
            </w:r>
            <w:r w:rsidR="00A77745" w:rsidRPr="007213A1">
              <w:rPr>
                <w:rFonts w:ascii="Times New Roman" w:hAnsi="Times New Roman"/>
                <w:lang w:val="es-ES"/>
              </w:rPr>
              <w:t>, y/o unidad de valor</w:t>
            </w:r>
            <w:r w:rsidRPr="007213A1">
              <w:rPr>
                <w:rFonts w:ascii="Times New Roman" w:hAnsi="Times New Roman"/>
                <w:lang w:val="es-ES"/>
              </w:rPr>
              <w:t>, conforme se especifique en el Suplemento de Precio aplicable, sujeto al cumplimiento de todos los requisitos legales o reglamentarios aplicables a la emisión de dicha moneda. Asimismo, podrán estar denominadas en más de una moneda</w:t>
            </w:r>
            <w:r w:rsidR="007213A1">
              <w:rPr>
                <w:rFonts w:ascii="Times New Roman" w:hAnsi="Times New Roman"/>
                <w:lang w:val="es-ES"/>
              </w:rPr>
              <w:t xml:space="preserve"> y/o unidad de valor</w:t>
            </w:r>
            <w:r w:rsidRPr="007213A1">
              <w:rPr>
                <w:rFonts w:ascii="Times New Roman" w:hAnsi="Times New Roman"/>
                <w:lang w:val="es-ES"/>
              </w:rPr>
              <w:t>, según se especifique en el Suplemento de Precio aplicable. En la medida que ello esté prohibido, en ningún caso se admitirá actualización monetaria, indexación por precios, variación de costos o repotenciación de deudas, cualquiera fuere su causa, haya o no mora de la Emisora.</w:t>
            </w:r>
          </w:p>
          <w:p w14:paraId="1C95F5EF" w14:textId="77777777" w:rsidR="000334EA" w:rsidRPr="007213A1" w:rsidRDefault="000334EA" w:rsidP="000334EA">
            <w:pPr>
              <w:pStyle w:val="notaalpie"/>
              <w:widowControl w:val="0"/>
              <w:suppressLineNumbers/>
              <w:suppressAutoHyphens/>
              <w:rPr>
                <w:rFonts w:ascii="Times New Roman" w:hAnsi="Times New Roman"/>
                <w:lang w:val="es-ES"/>
              </w:rPr>
            </w:pPr>
          </w:p>
        </w:tc>
      </w:tr>
      <w:tr w:rsidR="000334EA" w:rsidRPr="00512442" w14:paraId="4D33B779" w14:textId="77777777" w:rsidTr="00BA304B">
        <w:trPr>
          <w:trHeight w:val="920"/>
        </w:trPr>
        <w:tc>
          <w:tcPr>
            <w:tcW w:w="2474" w:type="dxa"/>
          </w:tcPr>
          <w:p w14:paraId="23787AEE" w14:textId="77777777" w:rsidR="000334EA" w:rsidRPr="00512442" w:rsidRDefault="000334EA" w:rsidP="00512442">
            <w:pPr>
              <w:pStyle w:val="Textonotapie"/>
              <w:jc w:val="both"/>
              <w:rPr>
                <w:sz w:val="20"/>
                <w:lang w:val="es-AR"/>
              </w:rPr>
            </w:pPr>
            <w:r w:rsidRPr="00512442">
              <w:rPr>
                <w:sz w:val="20"/>
                <w:lang w:val="es-AR"/>
              </w:rPr>
              <w:t>Clases y/o Series</w:t>
            </w:r>
          </w:p>
          <w:p w14:paraId="6010BA5A" w14:textId="77777777" w:rsidR="000334EA" w:rsidRPr="00512442" w:rsidRDefault="000334EA" w:rsidP="008E66E9">
            <w:pPr>
              <w:pStyle w:val="Textonotapie"/>
              <w:rPr>
                <w:sz w:val="20"/>
                <w:lang w:val="es-AR"/>
              </w:rPr>
            </w:pPr>
          </w:p>
        </w:tc>
        <w:tc>
          <w:tcPr>
            <w:tcW w:w="6031" w:type="dxa"/>
          </w:tcPr>
          <w:p w14:paraId="7CC9E9E1" w14:textId="77777777"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 xml:space="preserve">Las Obligaciones Negociables podrán ser emitidas en diversas Clases y/o Series. Asimismo, las Obligaciones Negociables de una misma Clase podrán ser emitidas en diversas Series. Las Obligaciones Negociables emitidas en diferentes Clases podrán otorgar derechos diferentes, según se especifique en el correspondiente Suplemento de Precio aplicable. Podrá resolverse la reapertura de las Clases y/o Series en caso de que así lo decida la Emisora. </w:t>
            </w:r>
          </w:p>
          <w:p w14:paraId="691E5F1C" w14:textId="77777777" w:rsidR="000334EA" w:rsidRPr="007213A1" w:rsidRDefault="000334EA" w:rsidP="000334EA">
            <w:pPr>
              <w:pStyle w:val="notaalpie"/>
              <w:widowControl w:val="0"/>
              <w:suppressLineNumbers/>
              <w:suppressAutoHyphens/>
              <w:rPr>
                <w:rFonts w:ascii="Times New Roman" w:hAnsi="Times New Roman"/>
                <w:lang w:val="es-ES"/>
              </w:rPr>
            </w:pPr>
          </w:p>
        </w:tc>
      </w:tr>
      <w:tr w:rsidR="000334EA" w:rsidRPr="00512442" w14:paraId="61DCB042" w14:textId="77777777" w:rsidTr="00BA304B">
        <w:trPr>
          <w:trHeight w:val="920"/>
        </w:trPr>
        <w:tc>
          <w:tcPr>
            <w:tcW w:w="2474" w:type="dxa"/>
          </w:tcPr>
          <w:p w14:paraId="541271ED" w14:textId="77777777" w:rsidR="000334EA" w:rsidRPr="00512442" w:rsidRDefault="000334EA" w:rsidP="00512442">
            <w:pPr>
              <w:pStyle w:val="Textonotapie"/>
              <w:jc w:val="both"/>
              <w:rPr>
                <w:sz w:val="20"/>
                <w:lang w:val="es-AR"/>
              </w:rPr>
            </w:pPr>
            <w:r w:rsidRPr="00512442">
              <w:rPr>
                <w:sz w:val="20"/>
                <w:lang w:val="es-AR"/>
              </w:rPr>
              <w:t>Oferta de las Obligaciones Negociables</w:t>
            </w:r>
          </w:p>
        </w:tc>
        <w:tc>
          <w:tcPr>
            <w:tcW w:w="6031" w:type="dxa"/>
          </w:tcPr>
          <w:p w14:paraId="62A96A30" w14:textId="77777777" w:rsidR="000334EA" w:rsidRPr="007213A1" w:rsidRDefault="000334EA" w:rsidP="00003BBF">
            <w:pPr>
              <w:pStyle w:val="notaalpie"/>
              <w:widowControl w:val="0"/>
              <w:suppressLineNumbers/>
              <w:suppressAutoHyphens/>
              <w:rPr>
                <w:rFonts w:ascii="Times New Roman" w:hAnsi="Times New Roman"/>
                <w:lang w:val="es-ES"/>
              </w:rPr>
            </w:pPr>
            <w:r w:rsidRPr="007213A1">
              <w:rPr>
                <w:rFonts w:ascii="Times New Roman" w:hAnsi="Times New Roman"/>
                <w:lang w:val="es-ES"/>
              </w:rPr>
              <w:t xml:space="preserve">Las Obligaciones Negociables se ofrecerán en la Argentina, conforme lo establezca el Suplemento de Precio correspondiente y/o en el exterior, en caso de que si sea resuelto y se determine en el Suplemento de Precio. </w:t>
            </w:r>
          </w:p>
          <w:p w14:paraId="185B8C28" w14:textId="77777777" w:rsidR="000334EA" w:rsidRPr="007213A1" w:rsidRDefault="000334EA" w:rsidP="00003BBF">
            <w:pPr>
              <w:pStyle w:val="notaalpie"/>
              <w:widowControl w:val="0"/>
              <w:suppressLineNumbers/>
              <w:suppressAutoHyphens/>
              <w:rPr>
                <w:rFonts w:ascii="Times New Roman" w:hAnsi="Times New Roman"/>
                <w:lang w:val="es-ES"/>
              </w:rPr>
            </w:pPr>
          </w:p>
          <w:p w14:paraId="0B1C9069" w14:textId="77777777" w:rsidR="000334EA" w:rsidRPr="007213A1" w:rsidRDefault="000334EA" w:rsidP="00003BBF">
            <w:pPr>
              <w:pStyle w:val="notaalpie"/>
              <w:widowControl w:val="0"/>
              <w:suppressLineNumbers/>
              <w:suppressAutoHyphens/>
              <w:rPr>
                <w:rFonts w:ascii="Times New Roman" w:hAnsi="Times New Roman"/>
                <w:lang w:val="es-ES"/>
              </w:rPr>
            </w:pPr>
          </w:p>
        </w:tc>
      </w:tr>
      <w:tr w:rsidR="000334EA" w:rsidRPr="00512442" w14:paraId="333941DD" w14:textId="77777777" w:rsidTr="00BA304B">
        <w:trPr>
          <w:trHeight w:val="920"/>
        </w:trPr>
        <w:tc>
          <w:tcPr>
            <w:tcW w:w="2474" w:type="dxa"/>
          </w:tcPr>
          <w:p w14:paraId="6A62C2F1" w14:textId="77777777" w:rsidR="000334EA" w:rsidRPr="00512442" w:rsidRDefault="000334EA" w:rsidP="00512442">
            <w:pPr>
              <w:pStyle w:val="Textonotapie"/>
              <w:jc w:val="both"/>
              <w:rPr>
                <w:sz w:val="20"/>
                <w:lang w:val="es-AR"/>
              </w:rPr>
            </w:pPr>
            <w:r w:rsidRPr="00512442">
              <w:rPr>
                <w:sz w:val="20"/>
                <w:lang w:val="es-AR"/>
              </w:rPr>
              <w:t>Intereses</w:t>
            </w:r>
          </w:p>
        </w:tc>
        <w:tc>
          <w:tcPr>
            <w:tcW w:w="6031" w:type="dxa"/>
          </w:tcPr>
          <w:p w14:paraId="69DD9820" w14:textId="77777777"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 xml:space="preserve">Las Obligaciones Negociables podrán devengar o no interés, según se establezca para cada Serie y/o Clase. En el caso que se disponga que la emisión devengará intereses, podrá ser a tasa fija o variable o de la manera que se contemple en cada Suplemento de Precio. </w:t>
            </w:r>
          </w:p>
          <w:p w14:paraId="7521F823" w14:textId="77777777" w:rsidR="000334EA" w:rsidRPr="007213A1" w:rsidRDefault="000334EA" w:rsidP="000334EA">
            <w:pPr>
              <w:pStyle w:val="notaalpie"/>
              <w:widowControl w:val="0"/>
              <w:suppressLineNumbers/>
              <w:suppressAutoHyphens/>
              <w:rPr>
                <w:rFonts w:ascii="Times New Roman" w:hAnsi="Times New Roman"/>
                <w:lang w:val="es-ES"/>
              </w:rPr>
            </w:pPr>
          </w:p>
        </w:tc>
      </w:tr>
      <w:tr w:rsidR="000334EA" w:rsidRPr="00512442" w14:paraId="1F090B46" w14:textId="77777777" w:rsidTr="00BA304B">
        <w:trPr>
          <w:trHeight w:val="920"/>
        </w:trPr>
        <w:tc>
          <w:tcPr>
            <w:tcW w:w="2474" w:type="dxa"/>
          </w:tcPr>
          <w:p w14:paraId="36A08B89" w14:textId="77777777" w:rsidR="000334EA" w:rsidRPr="00512442" w:rsidRDefault="000334EA" w:rsidP="00512442">
            <w:pPr>
              <w:pStyle w:val="Textonotapie"/>
              <w:jc w:val="both"/>
              <w:rPr>
                <w:sz w:val="20"/>
                <w:lang w:val="es-AR"/>
              </w:rPr>
            </w:pPr>
            <w:r w:rsidRPr="00512442">
              <w:rPr>
                <w:sz w:val="20"/>
                <w:lang w:val="es-AR"/>
              </w:rPr>
              <w:t>Pago de Intereses y Amortización de Capital</w:t>
            </w:r>
          </w:p>
        </w:tc>
        <w:tc>
          <w:tcPr>
            <w:tcW w:w="6031" w:type="dxa"/>
          </w:tcPr>
          <w:p w14:paraId="4815CEDA" w14:textId="77777777"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Los intereses y/o amortizaciones de capital (los “Servicios”) respecto de las Obligaciones Negociables serán pagaderos en las fechas que se estipulen para cada Clase y/o Serie en el Suplemento de Precio correspondiente. Cuando existan importes adeudados que no hayan sido cancelados en su respectiva fecha de vencimiento, se devengarán, en forma adicional a los intereses compensatorios en su caso, intereses moratorios a una tasa equivalente a una vez y media la última tasa de interés fijada, o la tasa que se determine en cada Clase y/o Serie.</w:t>
            </w:r>
          </w:p>
          <w:p w14:paraId="07AD50FF" w14:textId="77777777" w:rsidR="000334EA" w:rsidRPr="007213A1" w:rsidRDefault="000334EA" w:rsidP="000334EA">
            <w:pPr>
              <w:pStyle w:val="notaalpie"/>
              <w:widowControl w:val="0"/>
              <w:suppressLineNumbers/>
              <w:suppressAutoHyphens/>
              <w:rPr>
                <w:rFonts w:ascii="Times New Roman" w:hAnsi="Times New Roman"/>
                <w:lang w:val="es-ES"/>
              </w:rPr>
            </w:pPr>
          </w:p>
        </w:tc>
      </w:tr>
      <w:tr w:rsidR="000334EA" w:rsidRPr="00512442" w14:paraId="079E95B5" w14:textId="77777777" w:rsidTr="00BA304B">
        <w:trPr>
          <w:trHeight w:val="920"/>
        </w:trPr>
        <w:tc>
          <w:tcPr>
            <w:tcW w:w="2474" w:type="dxa"/>
          </w:tcPr>
          <w:p w14:paraId="39023E98" w14:textId="77777777" w:rsidR="000334EA" w:rsidRPr="00512442" w:rsidRDefault="000334EA" w:rsidP="00512442">
            <w:pPr>
              <w:pStyle w:val="Textonotapie"/>
              <w:jc w:val="both"/>
              <w:rPr>
                <w:sz w:val="20"/>
                <w:lang w:val="es-AR"/>
              </w:rPr>
            </w:pPr>
            <w:r w:rsidRPr="00512442">
              <w:rPr>
                <w:sz w:val="20"/>
                <w:lang w:val="es-AR"/>
              </w:rPr>
              <w:t>Rango y Clasificación</w:t>
            </w:r>
          </w:p>
        </w:tc>
        <w:tc>
          <w:tcPr>
            <w:tcW w:w="6031" w:type="dxa"/>
          </w:tcPr>
          <w:p w14:paraId="26280F9B" w14:textId="77777777"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Las Obligaciones Negociables constituyen obligaciones negociables simples, no convertibles en acciones bajo la Ley de Obligaciones Negociables, y dan derecho a los beneficios establecidos en la misma y están sujetas a los requisitos de procedimiento de la misma.</w:t>
            </w:r>
          </w:p>
          <w:p w14:paraId="69EB8499" w14:textId="77777777" w:rsidR="000334EA" w:rsidRPr="007213A1" w:rsidRDefault="000334EA" w:rsidP="000334EA">
            <w:pPr>
              <w:pStyle w:val="notaalpie"/>
              <w:widowControl w:val="0"/>
              <w:suppressLineNumbers/>
              <w:suppressAutoHyphens/>
              <w:rPr>
                <w:rFonts w:ascii="Times New Roman" w:hAnsi="Times New Roman"/>
                <w:lang w:val="es-ES"/>
              </w:rPr>
            </w:pPr>
          </w:p>
          <w:p w14:paraId="0B4AD2E1" w14:textId="77777777"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Las Obligaciones Negociables podrán emitirse con garantía común sobre el patrimonio de la Emisora o con garantía especial o flotante, ser avaladas afianzadas o garantizadas por cualquier medio que se especifique en el Suplemento de Precio aplicable. Las Obligaciones Negociables constituirán obligaciones no subordinadas de la Emisora y, excepto en la medida que estén subordinadas de acuerdo con sus términos (las “Obligaciones Negociables Subordinadas”), calificarán pari passu y sin ningún tipo de prioridad de pago. Las Obligaciones Negociables sin garantía y no subordinadas constituirán obligaciones directas, incondicionales, sin otra garantía que el patrimonio de la Emisora y serán tratadas en todo momento en igualdad de condiciones entre sí y con todas las demás obligaciones comunes presentes y futuras de la Emisora que no cuentan con garantía especial, ni sean subordinadas, ni que cuenten con privilegios y/o preferencias por disposiciones legales.</w:t>
            </w:r>
          </w:p>
          <w:p w14:paraId="5088A76D" w14:textId="77777777" w:rsidR="000334EA" w:rsidRPr="007213A1" w:rsidRDefault="000334EA" w:rsidP="000334EA">
            <w:pPr>
              <w:pStyle w:val="notaalpie"/>
              <w:widowControl w:val="0"/>
              <w:suppressLineNumbers/>
              <w:suppressAutoHyphens/>
              <w:rPr>
                <w:rFonts w:ascii="Times New Roman" w:hAnsi="Times New Roman"/>
                <w:lang w:val="es-ES"/>
              </w:rPr>
            </w:pPr>
          </w:p>
          <w:p w14:paraId="258BE873" w14:textId="77777777" w:rsidR="000334EA" w:rsidRPr="007213A1" w:rsidRDefault="000334EA" w:rsidP="000334EA">
            <w:pPr>
              <w:pStyle w:val="notaalpie"/>
              <w:suppressLineNumbers/>
              <w:suppressAutoHyphens/>
              <w:rPr>
                <w:rFonts w:ascii="Times New Roman" w:hAnsi="Times New Roman"/>
                <w:lang w:val="es-ES"/>
              </w:rPr>
            </w:pPr>
            <w:r w:rsidRPr="007213A1">
              <w:rPr>
                <w:rFonts w:ascii="Times New Roman" w:hAnsi="Times New Roman"/>
                <w:lang w:val="es-ES"/>
              </w:rPr>
              <w:t>A su vez, las Obligaciones Negociables podrán ser emitidas con recurso limitado y exclusivo a determinados activos de la Emisora, pudiendo constituir garantías sobre dichos activos, y sobre los cuales los acreedores tendrán únicamente recurso, todo ello de conformidad con lo dispuesto por el artículo 3° de la Ley de Obligaciones Negociables.</w:t>
            </w:r>
          </w:p>
          <w:p w14:paraId="0361542E" w14:textId="77777777" w:rsidR="000334EA" w:rsidRPr="007213A1" w:rsidRDefault="000334EA" w:rsidP="000334EA">
            <w:pPr>
              <w:pStyle w:val="notaalpie"/>
              <w:widowControl w:val="0"/>
              <w:suppressLineNumbers/>
              <w:suppressAutoHyphens/>
              <w:rPr>
                <w:rFonts w:ascii="Times New Roman" w:hAnsi="Times New Roman"/>
                <w:lang w:val="es-ES"/>
              </w:rPr>
            </w:pPr>
          </w:p>
          <w:p w14:paraId="47E7185D" w14:textId="77777777" w:rsidR="000334EA" w:rsidRPr="007213A1" w:rsidRDefault="000334EA" w:rsidP="000334EA">
            <w:pPr>
              <w:pStyle w:val="notaalpie"/>
              <w:widowControl w:val="0"/>
              <w:suppressLineNumbers/>
              <w:suppressAutoHyphens/>
              <w:rPr>
                <w:rFonts w:ascii="Times New Roman" w:hAnsi="Times New Roman"/>
                <w:lang w:val="es-ES"/>
              </w:rPr>
            </w:pPr>
          </w:p>
        </w:tc>
      </w:tr>
      <w:tr w:rsidR="000334EA" w:rsidRPr="00512442" w14:paraId="685A36EC" w14:textId="77777777" w:rsidTr="00BA304B">
        <w:trPr>
          <w:trHeight w:val="920"/>
        </w:trPr>
        <w:tc>
          <w:tcPr>
            <w:tcW w:w="2474" w:type="dxa"/>
          </w:tcPr>
          <w:p w14:paraId="69E20623" w14:textId="77777777" w:rsidR="000334EA" w:rsidRPr="00512442" w:rsidRDefault="000334EA" w:rsidP="00512442">
            <w:pPr>
              <w:pStyle w:val="Textonotapie"/>
              <w:jc w:val="both"/>
              <w:rPr>
                <w:sz w:val="20"/>
                <w:lang w:val="es-AR"/>
              </w:rPr>
            </w:pPr>
            <w:r w:rsidRPr="00512442">
              <w:rPr>
                <w:sz w:val="20"/>
                <w:lang w:val="es-AR"/>
              </w:rPr>
              <w:t>Forma de las Obligaciones Negociables</w:t>
            </w:r>
          </w:p>
          <w:p w14:paraId="1F124E33" w14:textId="77777777" w:rsidR="000334EA" w:rsidRPr="00512442" w:rsidRDefault="000334EA" w:rsidP="008E66E9">
            <w:pPr>
              <w:pStyle w:val="Textonotapie"/>
              <w:rPr>
                <w:sz w:val="20"/>
                <w:lang w:val="es-AR"/>
              </w:rPr>
            </w:pPr>
          </w:p>
        </w:tc>
        <w:tc>
          <w:tcPr>
            <w:tcW w:w="6031" w:type="dxa"/>
          </w:tcPr>
          <w:p w14:paraId="1C4EBA12" w14:textId="77777777"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 xml:space="preserve">Las Obligaciones Negociables podrán ser escriturales, estar representadas en certificados o títulos globales para su depósito con un agente depósito colectivo registrado, o en la medida permitida bajo las leyes y regulaciones argentinas aplicables, al portador, conforme se especifique en el Suplemento de Precio aplicable. </w:t>
            </w:r>
          </w:p>
          <w:p w14:paraId="1344F937" w14:textId="77777777" w:rsidR="000334EA" w:rsidRPr="007213A1" w:rsidRDefault="000334EA" w:rsidP="000334EA">
            <w:pPr>
              <w:pStyle w:val="notaalpie"/>
              <w:widowControl w:val="0"/>
              <w:suppressLineNumbers/>
              <w:suppressAutoHyphens/>
              <w:rPr>
                <w:rFonts w:ascii="Times New Roman" w:hAnsi="Times New Roman"/>
                <w:lang w:val="es-ES"/>
              </w:rPr>
            </w:pPr>
          </w:p>
          <w:p w14:paraId="5819810E" w14:textId="77777777"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De conformidad con lo dispuesto por la Ley de Nominatividad y sus complementarias, actualmente los títulos valores privados emitidos en Argentina deben ser nominativos no endosables o escriturales, estando prohibida la emisión de títulos al portador.</w:t>
            </w:r>
          </w:p>
          <w:p w14:paraId="6578DA43" w14:textId="77777777" w:rsidR="000334EA" w:rsidRPr="007213A1" w:rsidRDefault="000334EA" w:rsidP="000334EA">
            <w:pPr>
              <w:pStyle w:val="notaalpie"/>
              <w:widowControl w:val="0"/>
              <w:suppressLineNumbers/>
              <w:suppressAutoHyphens/>
              <w:rPr>
                <w:rFonts w:ascii="Times New Roman" w:hAnsi="Times New Roman"/>
                <w:lang w:val="es-ES"/>
              </w:rPr>
            </w:pPr>
          </w:p>
        </w:tc>
      </w:tr>
      <w:tr w:rsidR="000334EA" w:rsidRPr="00512442" w14:paraId="22FC0DD2" w14:textId="77777777" w:rsidTr="00BA304B">
        <w:trPr>
          <w:trHeight w:val="920"/>
        </w:trPr>
        <w:tc>
          <w:tcPr>
            <w:tcW w:w="2474" w:type="dxa"/>
          </w:tcPr>
          <w:p w14:paraId="67F9DBDE" w14:textId="77777777" w:rsidR="000334EA" w:rsidRPr="00512442" w:rsidRDefault="000334EA" w:rsidP="00512442">
            <w:pPr>
              <w:pStyle w:val="Textonotapie"/>
              <w:jc w:val="both"/>
              <w:rPr>
                <w:sz w:val="20"/>
                <w:lang w:val="es-AR"/>
              </w:rPr>
            </w:pPr>
            <w:r w:rsidRPr="00512442">
              <w:rPr>
                <w:sz w:val="20"/>
                <w:lang w:val="es-AR"/>
              </w:rPr>
              <w:t>Precio de Emisión</w:t>
            </w:r>
          </w:p>
          <w:p w14:paraId="7774AF35" w14:textId="77777777" w:rsidR="000334EA" w:rsidRPr="00916996" w:rsidRDefault="000334EA" w:rsidP="000334EA">
            <w:pPr>
              <w:rPr>
                <w:sz w:val="20"/>
                <w:szCs w:val="20"/>
                <w:lang w:val="es-AR" w:eastAsia="es-ES"/>
              </w:rPr>
            </w:pPr>
          </w:p>
          <w:p w14:paraId="5272831B" w14:textId="77777777" w:rsidR="000334EA" w:rsidRPr="00F72F31" w:rsidRDefault="000334EA" w:rsidP="000334EA">
            <w:pPr>
              <w:rPr>
                <w:sz w:val="20"/>
                <w:szCs w:val="20"/>
                <w:lang w:val="es-AR" w:eastAsia="es-ES"/>
              </w:rPr>
            </w:pPr>
          </w:p>
          <w:p w14:paraId="0E1C9095" w14:textId="77777777" w:rsidR="000334EA" w:rsidRPr="00F72F31" w:rsidRDefault="000334EA" w:rsidP="000334EA">
            <w:pPr>
              <w:rPr>
                <w:sz w:val="20"/>
                <w:szCs w:val="20"/>
                <w:lang w:val="es-AR" w:eastAsia="es-ES"/>
              </w:rPr>
            </w:pPr>
          </w:p>
          <w:p w14:paraId="78E35B93" w14:textId="77777777" w:rsidR="000334EA" w:rsidRPr="00F72F31" w:rsidRDefault="000334EA" w:rsidP="000334EA">
            <w:pPr>
              <w:rPr>
                <w:b/>
                <w:bCs/>
                <w:iCs/>
                <w:sz w:val="20"/>
                <w:szCs w:val="20"/>
                <w:lang w:val="es-AR" w:eastAsia="es-ES"/>
              </w:rPr>
            </w:pPr>
          </w:p>
          <w:p w14:paraId="453D0020" w14:textId="77777777" w:rsidR="000334EA" w:rsidRPr="00F72F31" w:rsidRDefault="000334EA" w:rsidP="000334EA">
            <w:pPr>
              <w:rPr>
                <w:sz w:val="20"/>
                <w:szCs w:val="20"/>
                <w:lang w:val="es-AR" w:eastAsia="es-ES"/>
              </w:rPr>
            </w:pPr>
          </w:p>
        </w:tc>
        <w:tc>
          <w:tcPr>
            <w:tcW w:w="6031" w:type="dxa"/>
          </w:tcPr>
          <w:p w14:paraId="503AB0DA" w14:textId="77777777"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Las Obligaciones Negociables podrán emitirse a la par o con descuento, o con prima respecto del valor par o de aquél otro modo que se especifique en el Suplemento de Precio. El precio de emisión para cada Clase y/o Serie de Obligaciones Negociables será el que se especifique en el Suplemento de Precio aplicable.</w:t>
            </w:r>
          </w:p>
          <w:p w14:paraId="60A131B0" w14:textId="77777777" w:rsidR="000334EA" w:rsidRPr="007213A1" w:rsidRDefault="000334EA" w:rsidP="000334EA">
            <w:pPr>
              <w:pStyle w:val="notaalpie"/>
              <w:widowControl w:val="0"/>
              <w:suppressLineNumbers/>
              <w:suppressAutoHyphens/>
              <w:rPr>
                <w:rFonts w:ascii="Times New Roman" w:hAnsi="Times New Roman"/>
                <w:lang w:val="es-ES"/>
              </w:rPr>
            </w:pPr>
          </w:p>
        </w:tc>
      </w:tr>
      <w:tr w:rsidR="000334EA" w:rsidRPr="00512442" w14:paraId="6A3EFCD9" w14:textId="77777777" w:rsidTr="00BA304B">
        <w:trPr>
          <w:trHeight w:val="920"/>
        </w:trPr>
        <w:tc>
          <w:tcPr>
            <w:tcW w:w="2474" w:type="dxa"/>
          </w:tcPr>
          <w:p w14:paraId="3AAB05CF" w14:textId="77777777" w:rsidR="000334EA" w:rsidRPr="00512442" w:rsidRDefault="000334EA" w:rsidP="00512442">
            <w:pPr>
              <w:pStyle w:val="Textonotapie"/>
              <w:jc w:val="both"/>
              <w:rPr>
                <w:sz w:val="20"/>
                <w:lang w:val="es-AR"/>
              </w:rPr>
            </w:pPr>
            <w:r w:rsidRPr="00512442">
              <w:rPr>
                <w:sz w:val="20"/>
                <w:lang w:val="es-AR"/>
              </w:rPr>
              <w:t>Montos Adicionales</w:t>
            </w:r>
          </w:p>
        </w:tc>
        <w:tc>
          <w:tcPr>
            <w:tcW w:w="6031" w:type="dxa"/>
          </w:tcPr>
          <w:p w14:paraId="4E0AABD7" w14:textId="77777777"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 xml:space="preserve">Los pagos respecto de las Obligaciones Negociables se efectuarán sin retención o deducción alguna respecto de cualesquier impuestos, derechos, gravámenes o cargos gubernamentales, presentes o futuros. Si fuera necesario retener o deducir tales impuestos, la Emisora pagará los importes necesarios para que los obligacionistas reciban los montos que hubieran recibido si no se hubiese requerido tal retención o deducción, conforme se especifica bajo el Capítulo IX “De la Oferta, Listado y Negociación de las Obligaciones Negociables” - “Montos Adicionales”, o conforme se especifique en el Suplemento de Precio aplicable. </w:t>
            </w:r>
          </w:p>
          <w:p w14:paraId="0A6F488D" w14:textId="77777777" w:rsidR="000334EA" w:rsidRPr="007213A1" w:rsidRDefault="000334EA" w:rsidP="000334EA">
            <w:pPr>
              <w:pStyle w:val="notaalpie"/>
              <w:widowControl w:val="0"/>
              <w:suppressLineNumbers/>
              <w:suppressAutoHyphens/>
              <w:rPr>
                <w:rFonts w:ascii="Times New Roman" w:hAnsi="Times New Roman"/>
                <w:lang w:val="es-ES"/>
              </w:rPr>
            </w:pPr>
          </w:p>
        </w:tc>
      </w:tr>
      <w:tr w:rsidR="000334EA" w:rsidRPr="00512442" w14:paraId="1C73A60A" w14:textId="77777777" w:rsidTr="00BA304B">
        <w:trPr>
          <w:trHeight w:val="920"/>
        </w:trPr>
        <w:tc>
          <w:tcPr>
            <w:tcW w:w="2474" w:type="dxa"/>
          </w:tcPr>
          <w:p w14:paraId="0D76F072" w14:textId="77777777" w:rsidR="000334EA" w:rsidRPr="00512442" w:rsidRDefault="000334EA" w:rsidP="00512442">
            <w:pPr>
              <w:pStyle w:val="Textonotapie"/>
              <w:jc w:val="both"/>
              <w:rPr>
                <w:sz w:val="20"/>
                <w:lang w:val="es-AR"/>
              </w:rPr>
            </w:pPr>
            <w:r w:rsidRPr="00512442">
              <w:rPr>
                <w:sz w:val="20"/>
                <w:lang w:val="es-AR"/>
              </w:rPr>
              <w:t>Calificación de Riesgo</w:t>
            </w:r>
          </w:p>
        </w:tc>
        <w:tc>
          <w:tcPr>
            <w:tcW w:w="6031" w:type="dxa"/>
          </w:tcPr>
          <w:p w14:paraId="26F2F033" w14:textId="77777777" w:rsidR="000334EA" w:rsidRPr="007213A1" w:rsidRDefault="000334EA" w:rsidP="000334EA">
            <w:pPr>
              <w:pStyle w:val="notaalpie"/>
              <w:suppressLineNumbers/>
              <w:suppressAutoHyphens/>
              <w:rPr>
                <w:rFonts w:ascii="Times New Roman" w:hAnsi="Times New Roman"/>
                <w:lang w:val="es-ES"/>
              </w:rPr>
            </w:pPr>
            <w:r w:rsidRPr="007213A1">
              <w:rPr>
                <w:rFonts w:ascii="Times New Roman" w:hAnsi="Times New Roman"/>
                <w:lang w:val="es-ES"/>
              </w:rPr>
              <w:t>En cada Clase y/o Serie de Obligaciones Negociables a emitirse bajo el Programa se determinará si se procederá a calificar las obligaciones negociables, lo cual será indicado en el Suplemento de Precio aplicable a cada Clase y/o Serie de Obligaciones Negociables.</w:t>
            </w:r>
          </w:p>
          <w:p w14:paraId="50F5A380" w14:textId="77777777" w:rsidR="000334EA" w:rsidRPr="007213A1" w:rsidRDefault="000334EA" w:rsidP="000334EA">
            <w:pPr>
              <w:pStyle w:val="notaalpie"/>
              <w:suppressLineNumbers/>
              <w:suppressAutoHyphens/>
              <w:rPr>
                <w:rFonts w:ascii="Times New Roman" w:hAnsi="Times New Roman"/>
                <w:lang w:val="es-ES"/>
              </w:rPr>
            </w:pPr>
          </w:p>
          <w:p w14:paraId="7A8E5092" w14:textId="77777777" w:rsidR="000334EA" w:rsidRPr="007213A1" w:rsidRDefault="000334EA" w:rsidP="000334EA">
            <w:pPr>
              <w:pStyle w:val="notaalpie"/>
              <w:suppressLineNumbers/>
              <w:suppressAutoHyphens/>
              <w:rPr>
                <w:rFonts w:ascii="Times New Roman" w:hAnsi="Times New Roman"/>
                <w:lang w:val="es-ES"/>
              </w:rPr>
            </w:pPr>
            <w:r w:rsidRPr="007213A1">
              <w:rPr>
                <w:rFonts w:ascii="Times New Roman" w:hAnsi="Times New Roman"/>
                <w:lang w:val="es-ES"/>
              </w:rPr>
              <w:t>ESTE PROGRAMA NO CUENTA CON CALIFICACIÓN DE RIESGO</w:t>
            </w:r>
          </w:p>
          <w:p w14:paraId="40B5E088" w14:textId="77777777" w:rsidR="000334EA" w:rsidRPr="007213A1" w:rsidRDefault="000334EA" w:rsidP="000334EA">
            <w:pPr>
              <w:pStyle w:val="notaalpie"/>
              <w:widowControl w:val="0"/>
              <w:suppressLineNumbers/>
              <w:suppressAutoHyphens/>
              <w:rPr>
                <w:rFonts w:ascii="Times New Roman" w:hAnsi="Times New Roman"/>
                <w:lang w:val="es-ES"/>
              </w:rPr>
            </w:pPr>
          </w:p>
        </w:tc>
      </w:tr>
      <w:tr w:rsidR="000334EA" w:rsidRPr="00512442" w14:paraId="79929907" w14:textId="77777777" w:rsidTr="00BA304B">
        <w:trPr>
          <w:trHeight w:val="920"/>
        </w:trPr>
        <w:tc>
          <w:tcPr>
            <w:tcW w:w="2474" w:type="dxa"/>
          </w:tcPr>
          <w:p w14:paraId="1BB57EF0" w14:textId="77777777" w:rsidR="000334EA" w:rsidRPr="00512442" w:rsidRDefault="000334EA" w:rsidP="00512442">
            <w:pPr>
              <w:pStyle w:val="Textonotapie"/>
              <w:jc w:val="both"/>
              <w:rPr>
                <w:sz w:val="20"/>
                <w:lang w:val="es-AR"/>
              </w:rPr>
            </w:pPr>
            <w:r w:rsidRPr="00512442">
              <w:rPr>
                <w:sz w:val="20"/>
                <w:lang w:val="es-AR"/>
              </w:rPr>
              <w:t>Uso de los Fondos</w:t>
            </w:r>
          </w:p>
        </w:tc>
        <w:tc>
          <w:tcPr>
            <w:tcW w:w="6031" w:type="dxa"/>
          </w:tcPr>
          <w:p w14:paraId="1CD38499" w14:textId="52953CE8" w:rsidR="000334EA" w:rsidRPr="007213A1" w:rsidRDefault="000334EA" w:rsidP="000334EA">
            <w:pPr>
              <w:pStyle w:val="notaalpie"/>
              <w:suppressLineNumbers/>
              <w:suppressAutoHyphens/>
              <w:rPr>
                <w:rFonts w:ascii="Times New Roman" w:hAnsi="Times New Roman"/>
                <w:lang w:val="es-ES"/>
              </w:rPr>
            </w:pPr>
            <w:r w:rsidRPr="007213A1">
              <w:rPr>
                <w:rFonts w:ascii="Times New Roman" w:hAnsi="Times New Roman"/>
                <w:lang w:val="es-ES"/>
              </w:rPr>
              <w:t xml:space="preserve">En cumplimiento de lo establecido por el artículo 36 de la Ley de Obligaciones Negociables, los fondos netos provenientes de la emisión de cada Clase y/o Serie de las Obligaciones Negociables bajo el Programa serán utilizados por la Emisora, para uno o más de los siguientes fines y/o cualquier otro que en el futuro permita la normativa aplicable: (i) inversión en activos físicos y bienes de capital situados en el país, (ii) adquisición de fondos de comercio situados en el país, (iii) integración de capital de trabajo en Argentina, (iv) refinanciación de pasivos; </w:t>
            </w:r>
            <w:r w:rsidRPr="00A34445">
              <w:rPr>
                <w:rFonts w:ascii="Times New Roman" w:hAnsi="Times New Roman"/>
                <w:lang w:val="es-ES"/>
              </w:rPr>
              <w:t xml:space="preserve">y/o </w:t>
            </w:r>
            <w:r w:rsidRPr="007213A1">
              <w:rPr>
                <w:rFonts w:ascii="Times New Roman" w:hAnsi="Times New Roman"/>
                <w:lang w:val="es-ES"/>
              </w:rPr>
              <w:t>(v)</w:t>
            </w:r>
            <w:r w:rsidRPr="00A34445">
              <w:rPr>
                <w:rFonts w:ascii="Times New Roman" w:hAnsi="Times New Roman"/>
                <w:lang w:val="es-ES"/>
              </w:rPr>
              <w:t xml:space="preserve"> a la</w:t>
            </w:r>
            <w:r w:rsidRPr="007213A1">
              <w:rPr>
                <w:rFonts w:ascii="Times New Roman" w:hAnsi="Times New Roman"/>
                <w:lang w:val="es-ES"/>
              </w:rPr>
              <w:t xml:space="preserve"> integración de aportes de capital en sociedades controladas o vinculadas a la Sociedad, a la adquisición de participaciones sociales y/o financiamiento del giro comercial de su negocio, siempre que el producido se aplique exclusivamente del modo estipulado en (i), (ii), (iii) y (iv) precedentes.</w:t>
            </w:r>
          </w:p>
        </w:tc>
      </w:tr>
      <w:tr w:rsidR="000334EA" w:rsidRPr="00512442" w14:paraId="3E61825C" w14:textId="77777777" w:rsidTr="00BA304B">
        <w:trPr>
          <w:trHeight w:val="920"/>
        </w:trPr>
        <w:tc>
          <w:tcPr>
            <w:tcW w:w="2474" w:type="dxa"/>
          </w:tcPr>
          <w:p w14:paraId="21DE6AF0" w14:textId="77777777" w:rsidR="009D369D" w:rsidRDefault="009D369D" w:rsidP="008E66E9">
            <w:pPr>
              <w:pStyle w:val="Textonotapie"/>
              <w:rPr>
                <w:sz w:val="20"/>
                <w:lang w:val="es-AR"/>
              </w:rPr>
            </w:pPr>
          </w:p>
          <w:p w14:paraId="08058B45" w14:textId="5680AFA0" w:rsidR="000334EA" w:rsidRPr="00512442" w:rsidRDefault="000334EA" w:rsidP="00512442">
            <w:pPr>
              <w:pStyle w:val="Textonotapie"/>
              <w:jc w:val="both"/>
              <w:rPr>
                <w:sz w:val="20"/>
                <w:lang w:val="es-AR"/>
              </w:rPr>
            </w:pPr>
            <w:r w:rsidRPr="00512442">
              <w:rPr>
                <w:sz w:val="20"/>
                <w:lang w:val="es-AR"/>
              </w:rPr>
              <w:t>Rescate anticipado</w:t>
            </w:r>
          </w:p>
        </w:tc>
        <w:tc>
          <w:tcPr>
            <w:tcW w:w="6031" w:type="dxa"/>
          </w:tcPr>
          <w:p w14:paraId="1954AC04" w14:textId="77777777" w:rsidR="009D369D" w:rsidRDefault="009D369D" w:rsidP="000334EA">
            <w:pPr>
              <w:pStyle w:val="notaalpie"/>
              <w:widowControl w:val="0"/>
              <w:suppressLineNumbers/>
              <w:suppressAutoHyphens/>
              <w:rPr>
                <w:rFonts w:ascii="Times New Roman" w:hAnsi="Times New Roman"/>
                <w:lang w:val="es-ES"/>
              </w:rPr>
            </w:pPr>
          </w:p>
          <w:p w14:paraId="57BC94EE" w14:textId="6CB93C8C"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 xml:space="preserve">Salvo que se especifique lo contrario en el Suplemento de Precio correspondiente, se permitirá el rescate anticipado de cualquier Clase y/o Serie de Obligaciones Negociables, en su totalidad o parcialmente, por razones fiscales conforme se menciona bajo el Capítulo IX. “De la Oferta, Listado y Negociación de las Obligaciones Negociables” - “Rescate Opcional por razones impositivas”. </w:t>
            </w:r>
          </w:p>
          <w:p w14:paraId="78AA5782" w14:textId="77777777" w:rsidR="000334EA" w:rsidRPr="007213A1" w:rsidRDefault="000334EA" w:rsidP="000334EA">
            <w:pPr>
              <w:pStyle w:val="notaalpie"/>
              <w:widowControl w:val="0"/>
              <w:suppressLineNumbers/>
              <w:suppressAutoHyphens/>
              <w:rPr>
                <w:rFonts w:ascii="Times New Roman" w:hAnsi="Times New Roman"/>
                <w:lang w:val="es-ES"/>
              </w:rPr>
            </w:pPr>
          </w:p>
          <w:p w14:paraId="39EC0964" w14:textId="77777777"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Asimismo, en cada Suplemento de Precio, podrán establecerse otros supuestos bajos los cuales podrá permitirse el rescate anticipado, siempre respetando el trato igualitario entre los inversores y el principio de transparencia.</w:t>
            </w:r>
          </w:p>
          <w:p w14:paraId="0AFA4624" w14:textId="77777777" w:rsidR="000334EA" w:rsidRPr="007213A1" w:rsidRDefault="000334EA" w:rsidP="000334EA">
            <w:pPr>
              <w:pStyle w:val="notaalpie"/>
              <w:widowControl w:val="0"/>
              <w:suppressLineNumbers/>
              <w:suppressAutoHyphens/>
              <w:rPr>
                <w:rFonts w:ascii="Times New Roman" w:hAnsi="Times New Roman"/>
                <w:lang w:val="es-ES"/>
              </w:rPr>
            </w:pPr>
          </w:p>
        </w:tc>
      </w:tr>
      <w:tr w:rsidR="000334EA" w:rsidRPr="00512442" w14:paraId="40A72DF7" w14:textId="77777777" w:rsidTr="00BA304B">
        <w:trPr>
          <w:trHeight w:val="920"/>
        </w:trPr>
        <w:tc>
          <w:tcPr>
            <w:tcW w:w="2474" w:type="dxa"/>
          </w:tcPr>
          <w:p w14:paraId="3DD2CE80" w14:textId="77777777" w:rsidR="000334EA" w:rsidRPr="00512442" w:rsidRDefault="000334EA" w:rsidP="00512442">
            <w:pPr>
              <w:pStyle w:val="Textonotapie"/>
              <w:jc w:val="both"/>
              <w:rPr>
                <w:sz w:val="20"/>
                <w:lang w:val="es-AR"/>
              </w:rPr>
            </w:pPr>
            <w:r w:rsidRPr="00512442">
              <w:rPr>
                <w:sz w:val="20"/>
                <w:lang w:val="es-AR"/>
              </w:rPr>
              <w:t>Recompra</w:t>
            </w:r>
          </w:p>
        </w:tc>
        <w:tc>
          <w:tcPr>
            <w:tcW w:w="6031" w:type="dxa"/>
          </w:tcPr>
          <w:p w14:paraId="5B48DE7D" w14:textId="77777777"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 xml:space="preserve">Salvo que se determine lo contrario en el Suplemento de Precio respectivo, la Emisora podrá en cualquier momento comprar o de otro modo adquirir Obligaciones Negociables mediante la compra o a través de acuerdos privados, en el mercado abierto o de otra forma, a cualquier precio, y podrá revenderlas o cancelarlas en cualquier momento a su solo criterio. Para determinar mayorías si los tenedores representativos del capital requerido de Obligaciones Negociables en circulación han formulado o no una solicitud, demanda, autorización, instrucción, notificación, consentimiento o dispensa en los términos del Prospecto y del Suplemento de Precio respectivo, las Obligaciones Negociables que mantenga la Emisora no se computarán y se considerarán fuera de circulación a tales efectos. </w:t>
            </w:r>
          </w:p>
          <w:p w14:paraId="158C4106" w14:textId="77777777" w:rsidR="000334EA" w:rsidRPr="007213A1" w:rsidRDefault="000334EA" w:rsidP="000334EA">
            <w:pPr>
              <w:pStyle w:val="notaalpie"/>
              <w:widowControl w:val="0"/>
              <w:suppressLineNumbers/>
              <w:suppressAutoHyphens/>
              <w:rPr>
                <w:rFonts w:ascii="Times New Roman" w:hAnsi="Times New Roman"/>
                <w:lang w:val="es-ES"/>
              </w:rPr>
            </w:pPr>
          </w:p>
        </w:tc>
      </w:tr>
      <w:tr w:rsidR="000334EA" w:rsidRPr="00512442" w14:paraId="17F3EF0E" w14:textId="77777777" w:rsidTr="00BA304B">
        <w:trPr>
          <w:trHeight w:val="920"/>
        </w:trPr>
        <w:tc>
          <w:tcPr>
            <w:tcW w:w="2474" w:type="dxa"/>
          </w:tcPr>
          <w:p w14:paraId="689B2BB4" w14:textId="77777777" w:rsidR="000334EA" w:rsidRPr="00512442" w:rsidRDefault="000334EA" w:rsidP="00512442">
            <w:pPr>
              <w:pStyle w:val="Textonotapie"/>
              <w:jc w:val="both"/>
              <w:rPr>
                <w:sz w:val="20"/>
                <w:lang w:val="es-AR"/>
              </w:rPr>
            </w:pPr>
            <w:r w:rsidRPr="00512442">
              <w:rPr>
                <w:sz w:val="20"/>
                <w:lang w:val="es-AR"/>
              </w:rPr>
              <w:t>Supuestos de Incumplimiento</w:t>
            </w:r>
          </w:p>
        </w:tc>
        <w:tc>
          <w:tcPr>
            <w:tcW w:w="6031" w:type="dxa"/>
          </w:tcPr>
          <w:p w14:paraId="23E88377" w14:textId="77777777"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Será cualquiera de los hechos que se describen en la Sección IX “</w:t>
            </w:r>
            <w:r w:rsidRPr="001622AF">
              <w:rPr>
                <w:rFonts w:ascii="Times New Roman" w:hAnsi="Times New Roman"/>
                <w:i/>
                <w:lang w:val="es-ES"/>
              </w:rPr>
              <w:t>De la Oferta, Listado y Negociación de las Obligaciones Negociables</w:t>
            </w:r>
            <w:r w:rsidRPr="007213A1">
              <w:rPr>
                <w:rFonts w:ascii="Times New Roman" w:hAnsi="Times New Roman"/>
                <w:lang w:val="es-ES"/>
              </w:rPr>
              <w:t>” – “</w:t>
            </w:r>
            <w:r w:rsidRPr="001622AF">
              <w:rPr>
                <w:rFonts w:ascii="Times New Roman" w:hAnsi="Times New Roman"/>
                <w:i/>
                <w:lang w:val="es-ES"/>
              </w:rPr>
              <w:t>Supuestos de Incumplimiento</w:t>
            </w:r>
            <w:r w:rsidRPr="007213A1">
              <w:rPr>
                <w:rFonts w:ascii="Times New Roman" w:hAnsi="Times New Roman"/>
                <w:lang w:val="es-ES"/>
              </w:rPr>
              <w:t>”, salvo que de otro modo se estipule con relación a una Clase y/o Serie en el Suplemento de Precio correspondiente.</w:t>
            </w:r>
          </w:p>
          <w:p w14:paraId="2A08355D" w14:textId="77777777"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 xml:space="preserve"> </w:t>
            </w:r>
          </w:p>
        </w:tc>
      </w:tr>
      <w:tr w:rsidR="000334EA" w:rsidRPr="00512442" w14:paraId="7BA1C387" w14:textId="77777777" w:rsidTr="00BA304B">
        <w:trPr>
          <w:trHeight w:val="920"/>
        </w:trPr>
        <w:tc>
          <w:tcPr>
            <w:tcW w:w="2474" w:type="dxa"/>
          </w:tcPr>
          <w:p w14:paraId="04269D65" w14:textId="77777777" w:rsidR="000334EA" w:rsidRPr="00512442" w:rsidRDefault="000334EA" w:rsidP="00512442">
            <w:pPr>
              <w:pStyle w:val="Textonotapie"/>
              <w:jc w:val="both"/>
              <w:rPr>
                <w:sz w:val="20"/>
                <w:lang w:val="es-AR"/>
              </w:rPr>
            </w:pPr>
            <w:r w:rsidRPr="00512442">
              <w:rPr>
                <w:sz w:val="20"/>
                <w:lang w:val="es-AR"/>
              </w:rPr>
              <w:t>Compromisos Generales de la Emisora</w:t>
            </w:r>
          </w:p>
        </w:tc>
        <w:tc>
          <w:tcPr>
            <w:tcW w:w="6031" w:type="dxa"/>
          </w:tcPr>
          <w:p w14:paraId="5870CCBC" w14:textId="77777777"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En la medida en que permanezca pendiente el pago de cualquier servicio con relación a las Obligaciones Negociables bajo el Programa, la Sociedad se compromete a cumplir los compromisos en la Sección IX “</w:t>
            </w:r>
            <w:r w:rsidRPr="001622AF">
              <w:rPr>
                <w:rFonts w:ascii="Times New Roman" w:hAnsi="Times New Roman"/>
                <w:i/>
                <w:lang w:val="es-ES"/>
              </w:rPr>
              <w:t>De la Oferta, Listado y Negociación de las Obligaciones Negociables</w:t>
            </w:r>
            <w:r w:rsidRPr="007213A1">
              <w:rPr>
                <w:rFonts w:ascii="Times New Roman" w:hAnsi="Times New Roman"/>
                <w:lang w:val="es-ES"/>
              </w:rPr>
              <w:t>” – “</w:t>
            </w:r>
            <w:r w:rsidRPr="001622AF">
              <w:rPr>
                <w:rFonts w:ascii="Times New Roman" w:hAnsi="Times New Roman"/>
                <w:i/>
                <w:lang w:val="es-ES"/>
              </w:rPr>
              <w:t>Compromisos Generales de la Emisora</w:t>
            </w:r>
            <w:r w:rsidRPr="007213A1">
              <w:rPr>
                <w:rFonts w:ascii="Times New Roman" w:hAnsi="Times New Roman"/>
                <w:lang w:val="es-ES"/>
              </w:rPr>
              <w:t>”, sin perjuicio de los que pudieran omitirse o establecerse específicamente con relación a una Clase y/o Serie en particular.</w:t>
            </w:r>
          </w:p>
          <w:p w14:paraId="7A6B261B" w14:textId="77777777" w:rsidR="000334EA" w:rsidRPr="007213A1" w:rsidRDefault="000334EA" w:rsidP="000334EA">
            <w:pPr>
              <w:pStyle w:val="notaalpie"/>
              <w:widowControl w:val="0"/>
              <w:suppressLineNumbers/>
              <w:suppressAutoHyphens/>
              <w:rPr>
                <w:rFonts w:ascii="Times New Roman" w:hAnsi="Times New Roman"/>
                <w:lang w:val="es-ES"/>
              </w:rPr>
            </w:pPr>
          </w:p>
        </w:tc>
      </w:tr>
      <w:tr w:rsidR="000334EA" w:rsidRPr="00512442" w14:paraId="516DBD6C" w14:textId="77777777" w:rsidTr="00BA304B">
        <w:trPr>
          <w:trHeight w:val="920"/>
        </w:trPr>
        <w:tc>
          <w:tcPr>
            <w:tcW w:w="2474" w:type="dxa"/>
          </w:tcPr>
          <w:p w14:paraId="07D71DA3" w14:textId="77777777" w:rsidR="000334EA" w:rsidRPr="00512442" w:rsidRDefault="000334EA" w:rsidP="00512442">
            <w:pPr>
              <w:pStyle w:val="Textonotapie"/>
              <w:jc w:val="both"/>
              <w:rPr>
                <w:sz w:val="20"/>
                <w:lang w:val="es-AR"/>
              </w:rPr>
            </w:pPr>
            <w:r w:rsidRPr="00512442">
              <w:rPr>
                <w:sz w:val="20"/>
                <w:lang w:val="es-AR"/>
              </w:rPr>
              <w:t xml:space="preserve">Unidad Mínima de Negociación y </w:t>
            </w:r>
          </w:p>
          <w:p w14:paraId="6298B8F9" w14:textId="77777777" w:rsidR="000334EA" w:rsidRPr="00512442" w:rsidRDefault="000334EA" w:rsidP="008E66E9">
            <w:pPr>
              <w:pStyle w:val="Textonotapie"/>
              <w:rPr>
                <w:sz w:val="20"/>
                <w:lang w:val="es-AR"/>
              </w:rPr>
            </w:pPr>
            <w:r w:rsidRPr="00512442">
              <w:rPr>
                <w:sz w:val="20"/>
                <w:lang w:val="es-AR"/>
              </w:rPr>
              <w:t>Monto Mínimo de Suscripción</w:t>
            </w:r>
          </w:p>
        </w:tc>
        <w:tc>
          <w:tcPr>
            <w:tcW w:w="6031" w:type="dxa"/>
          </w:tcPr>
          <w:p w14:paraId="17FD2298" w14:textId="77777777"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La unidad mínima de negociación y el monto mínimo de suscripción de cada una de las Clases y/o Series de Obligaciones Negociables y sus múltiplos correspondientes serán determinados oportunamente en cada Suplemento de Precio, respetando las normas aplicables vigentes.</w:t>
            </w:r>
          </w:p>
          <w:p w14:paraId="6524D78A" w14:textId="77777777" w:rsidR="000334EA" w:rsidRPr="007213A1" w:rsidRDefault="000334EA" w:rsidP="000334EA">
            <w:pPr>
              <w:pStyle w:val="notaalpie"/>
              <w:widowControl w:val="0"/>
              <w:suppressLineNumbers/>
              <w:suppressAutoHyphens/>
              <w:rPr>
                <w:rFonts w:ascii="Times New Roman" w:hAnsi="Times New Roman"/>
                <w:lang w:val="es-ES"/>
              </w:rPr>
            </w:pPr>
          </w:p>
        </w:tc>
      </w:tr>
      <w:tr w:rsidR="000334EA" w:rsidRPr="00512442" w14:paraId="0ED743FC" w14:textId="77777777" w:rsidTr="00BA304B">
        <w:trPr>
          <w:trHeight w:val="920"/>
        </w:trPr>
        <w:tc>
          <w:tcPr>
            <w:tcW w:w="2474" w:type="dxa"/>
          </w:tcPr>
          <w:p w14:paraId="7A08AE79" w14:textId="77777777" w:rsidR="000334EA" w:rsidRPr="00512442" w:rsidRDefault="000334EA" w:rsidP="00512442">
            <w:pPr>
              <w:pStyle w:val="Textonotapie"/>
              <w:jc w:val="both"/>
              <w:rPr>
                <w:sz w:val="20"/>
                <w:lang w:val="es-AR"/>
              </w:rPr>
            </w:pPr>
            <w:r w:rsidRPr="00512442">
              <w:rPr>
                <w:sz w:val="20"/>
                <w:lang w:val="es-AR"/>
              </w:rPr>
              <w:t>Listado y Negociación</w:t>
            </w:r>
          </w:p>
        </w:tc>
        <w:tc>
          <w:tcPr>
            <w:tcW w:w="6031" w:type="dxa"/>
          </w:tcPr>
          <w:p w14:paraId="3A1A5AC8" w14:textId="2DC712C5" w:rsidR="001F6362" w:rsidRPr="007213A1" w:rsidRDefault="001F6362" w:rsidP="001F6362">
            <w:pPr>
              <w:widowControl w:val="0"/>
              <w:jc w:val="both"/>
              <w:rPr>
                <w:sz w:val="20"/>
                <w:szCs w:val="20"/>
                <w:lang w:val="es-AR"/>
              </w:rPr>
            </w:pPr>
            <w:r w:rsidRPr="007213A1">
              <w:rPr>
                <w:sz w:val="20"/>
                <w:szCs w:val="20"/>
                <w:lang w:val="es-AR"/>
              </w:rPr>
              <w:t>La Emisora</w:t>
            </w:r>
            <w:r w:rsidR="007213A1">
              <w:rPr>
                <w:sz w:val="20"/>
                <w:szCs w:val="20"/>
                <w:lang w:val="es-AR"/>
              </w:rPr>
              <w:t xml:space="preserve"> </w:t>
            </w:r>
            <w:r w:rsidRPr="007213A1">
              <w:rPr>
                <w:sz w:val="20"/>
                <w:szCs w:val="20"/>
                <w:lang w:val="es-AR"/>
              </w:rPr>
              <w:t xml:space="preserve">solicitará autorización </w:t>
            </w:r>
            <w:r w:rsidR="007213A1">
              <w:rPr>
                <w:sz w:val="20"/>
                <w:szCs w:val="20"/>
                <w:lang w:val="es-AR"/>
              </w:rPr>
              <w:t>de</w:t>
            </w:r>
            <w:r w:rsidRPr="007213A1">
              <w:rPr>
                <w:sz w:val="20"/>
                <w:szCs w:val="20"/>
                <w:lang w:val="es-AR"/>
              </w:rPr>
              <w:t xml:space="preserve"> listado y/o negociación de una o más Clases y/o Series de Obligaciones Negociables, o en su caso de los valores que representen dichas Obligaciones Negociables, en uno o más mercados autorizados en la República Argentina y/o en el exterior, según se especifique en cada Suplemento de Precio.</w:t>
            </w:r>
          </w:p>
          <w:p w14:paraId="20198A31" w14:textId="77777777" w:rsidR="000334EA" w:rsidRPr="007213A1" w:rsidRDefault="000334EA" w:rsidP="000334EA">
            <w:pPr>
              <w:pStyle w:val="notaalpie"/>
              <w:widowControl w:val="0"/>
              <w:suppressLineNumbers/>
              <w:suppressAutoHyphens/>
              <w:rPr>
                <w:rFonts w:ascii="Times New Roman" w:hAnsi="Times New Roman"/>
                <w:lang w:val="es-AR"/>
              </w:rPr>
            </w:pPr>
          </w:p>
        </w:tc>
      </w:tr>
      <w:tr w:rsidR="000334EA" w:rsidRPr="00512442" w14:paraId="1DF6BF79" w14:textId="77777777" w:rsidTr="00BA304B">
        <w:trPr>
          <w:trHeight w:val="920"/>
        </w:trPr>
        <w:tc>
          <w:tcPr>
            <w:tcW w:w="2474" w:type="dxa"/>
          </w:tcPr>
          <w:p w14:paraId="7357C747" w14:textId="77777777" w:rsidR="000334EA" w:rsidRPr="00512442" w:rsidRDefault="000334EA" w:rsidP="00512442">
            <w:pPr>
              <w:pStyle w:val="Textonotapie"/>
              <w:jc w:val="both"/>
              <w:rPr>
                <w:sz w:val="20"/>
                <w:lang w:val="es-AR"/>
              </w:rPr>
            </w:pPr>
            <w:r w:rsidRPr="00512442">
              <w:rPr>
                <w:sz w:val="20"/>
                <w:lang w:val="es-AR"/>
              </w:rPr>
              <w:t>Denominación</w:t>
            </w:r>
          </w:p>
        </w:tc>
        <w:tc>
          <w:tcPr>
            <w:tcW w:w="6031" w:type="dxa"/>
          </w:tcPr>
          <w:p w14:paraId="0984D97F" w14:textId="77777777"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Las Obligaciones Negociables se emitirán en las denominaciones que se especifiquen en el Suplemento de Precio aplicable, siempre en cumplimiento de la normativa aplicable.</w:t>
            </w:r>
          </w:p>
          <w:p w14:paraId="4898836D" w14:textId="77777777" w:rsidR="000334EA" w:rsidRPr="007213A1" w:rsidRDefault="000334EA" w:rsidP="000334EA">
            <w:pPr>
              <w:pStyle w:val="notaalpie"/>
              <w:widowControl w:val="0"/>
              <w:suppressLineNumbers/>
              <w:suppressAutoHyphens/>
              <w:rPr>
                <w:rFonts w:ascii="Times New Roman" w:hAnsi="Times New Roman"/>
                <w:lang w:val="es-ES"/>
              </w:rPr>
            </w:pPr>
          </w:p>
        </w:tc>
      </w:tr>
      <w:tr w:rsidR="000334EA" w:rsidRPr="00512442" w14:paraId="7E3522D1" w14:textId="77777777" w:rsidTr="00BA304B">
        <w:trPr>
          <w:trHeight w:val="920"/>
        </w:trPr>
        <w:tc>
          <w:tcPr>
            <w:tcW w:w="2474" w:type="dxa"/>
          </w:tcPr>
          <w:p w14:paraId="1E1C3464" w14:textId="77777777" w:rsidR="000334EA" w:rsidRPr="00512442" w:rsidRDefault="000334EA" w:rsidP="00512442">
            <w:pPr>
              <w:pStyle w:val="Textonotapie"/>
              <w:jc w:val="both"/>
              <w:rPr>
                <w:sz w:val="20"/>
                <w:lang w:val="es-AR"/>
              </w:rPr>
            </w:pPr>
            <w:r w:rsidRPr="00512442">
              <w:rPr>
                <w:sz w:val="20"/>
                <w:lang w:val="es-AR"/>
              </w:rPr>
              <w:t>Colocación</w:t>
            </w:r>
          </w:p>
        </w:tc>
        <w:tc>
          <w:tcPr>
            <w:tcW w:w="6031" w:type="dxa"/>
          </w:tcPr>
          <w:p w14:paraId="3B1292FB" w14:textId="7F0B7D4A" w:rsidR="001F6362" w:rsidRPr="007213A1" w:rsidRDefault="001F6362" w:rsidP="001F6362">
            <w:pPr>
              <w:widowControl w:val="0"/>
              <w:jc w:val="both"/>
              <w:outlineLvl w:val="2"/>
              <w:rPr>
                <w:bCs/>
                <w:sz w:val="20"/>
                <w:szCs w:val="20"/>
                <w:lang w:val="es-AR"/>
              </w:rPr>
            </w:pPr>
            <w:r w:rsidRPr="007213A1">
              <w:rPr>
                <w:sz w:val="20"/>
                <w:szCs w:val="20"/>
                <w:lang w:val="es-AR"/>
              </w:rPr>
              <w:t xml:space="preserve">La Emisora colocará las Obligaciones Negociables a través a través del/los Colocador/es que designe en relación con una Clase y/o Serie de Obligaciones Negociables. En caso de que corresponda, los nombres de los Colocadores se indicarán en los Suplementos de Precio correspondientes. Los Colocadores podrán </w:t>
            </w:r>
            <w:r w:rsidR="007213A1">
              <w:rPr>
                <w:sz w:val="20"/>
                <w:szCs w:val="20"/>
                <w:lang w:val="es-AR"/>
              </w:rPr>
              <w:t>desempeñarse como</w:t>
            </w:r>
            <w:r w:rsidRPr="007213A1">
              <w:rPr>
                <w:sz w:val="20"/>
                <w:szCs w:val="20"/>
                <w:lang w:val="es-AR"/>
              </w:rPr>
              <w:t xml:space="preserve"> </w:t>
            </w:r>
            <w:r w:rsidRPr="007213A1">
              <w:rPr>
                <w:i/>
                <w:sz w:val="20"/>
                <w:szCs w:val="20"/>
                <w:lang w:val="es-AR"/>
              </w:rPr>
              <w:t>underwriters</w:t>
            </w:r>
            <w:r w:rsidRPr="007213A1">
              <w:rPr>
                <w:sz w:val="20"/>
                <w:szCs w:val="20"/>
                <w:lang w:val="es-AR"/>
              </w:rPr>
              <w:t xml:space="preserve">, colocadores con convenios de mejores esfuerzos, u otros agentes habilitados, según lo especificado en el Suplemento de Precio correspondiente. Entre otros esfuerzos de colocación, se pondrán a disposición del público inversor ejemplares del Prospecto y del Suplemento de Precio correspondiente y se podrá publicar en el boletín diario de la entidad en la República Argentina donde se listen y/o negocien las Obligaciones Negociables, un prospecto y/o un suplemento de precio resumidos donde consten los términos y condiciones de las Obligaciones Negociables a emitirse. </w:t>
            </w:r>
            <w:r w:rsidR="007213A1">
              <w:rPr>
                <w:bCs/>
                <w:sz w:val="20"/>
                <w:szCs w:val="20"/>
                <w:lang w:val="es-AR"/>
              </w:rPr>
              <w:t>Los Colocadores</w:t>
            </w:r>
            <w:r w:rsidRPr="007213A1">
              <w:rPr>
                <w:bCs/>
                <w:sz w:val="20"/>
                <w:szCs w:val="20"/>
                <w:lang w:val="es-AR"/>
              </w:rPr>
              <w:t xml:space="preserve"> realizarán las actividades de colocación de las Obligaciones Negociables </w:t>
            </w:r>
            <w:r w:rsidRPr="007213A1">
              <w:rPr>
                <w:sz w:val="20"/>
                <w:szCs w:val="20"/>
                <w:lang w:val="es-AR"/>
              </w:rPr>
              <w:t xml:space="preserve">de conformidad con </w:t>
            </w:r>
            <w:r w:rsidRPr="007213A1">
              <w:rPr>
                <w:bCs/>
                <w:sz w:val="20"/>
                <w:szCs w:val="20"/>
                <w:lang w:val="es-AR"/>
              </w:rPr>
              <w:t>lo que se disponga en el Suplemento de Precio aplicable y la normativa aplicable.</w:t>
            </w:r>
          </w:p>
          <w:p w14:paraId="529D78EE" w14:textId="77777777" w:rsidR="000334EA" w:rsidRPr="007213A1" w:rsidRDefault="000334EA" w:rsidP="000334EA">
            <w:pPr>
              <w:pStyle w:val="notaalpie"/>
              <w:widowControl w:val="0"/>
              <w:suppressLineNumbers/>
              <w:suppressAutoHyphens/>
              <w:rPr>
                <w:rFonts w:ascii="Times New Roman" w:hAnsi="Times New Roman"/>
                <w:lang w:val="es-AR"/>
              </w:rPr>
            </w:pPr>
          </w:p>
        </w:tc>
      </w:tr>
      <w:tr w:rsidR="000334EA" w:rsidRPr="00512442" w14:paraId="1F22FF8F" w14:textId="77777777" w:rsidTr="00BA304B">
        <w:trPr>
          <w:trHeight w:val="920"/>
        </w:trPr>
        <w:tc>
          <w:tcPr>
            <w:tcW w:w="2474" w:type="dxa"/>
          </w:tcPr>
          <w:p w14:paraId="57859C64" w14:textId="77777777" w:rsidR="000334EA" w:rsidRPr="00512442" w:rsidRDefault="000334EA" w:rsidP="00512442">
            <w:pPr>
              <w:pStyle w:val="Textonotapie"/>
              <w:jc w:val="both"/>
              <w:rPr>
                <w:sz w:val="20"/>
                <w:lang w:val="es-AR"/>
              </w:rPr>
            </w:pPr>
            <w:r w:rsidRPr="00512442">
              <w:rPr>
                <w:sz w:val="20"/>
                <w:lang w:val="es-AR"/>
              </w:rPr>
              <w:t>Registro y Depósito Colectivo</w:t>
            </w:r>
          </w:p>
        </w:tc>
        <w:tc>
          <w:tcPr>
            <w:tcW w:w="6031" w:type="dxa"/>
          </w:tcPr>
          <w:p w14:paraId="3BCD9AE5" w14:textId="77777777" w:rsidR="001F6362" w:rsidRPr="007213A1" w:rsidRDefault="001F6362" w:rsidP="001F6362">
            <w:pPr>
              <w:widowControl w:val="0"/>
              <w:jc w:val="both"/>
              <w:rPr>
                <w:sz w:val="20"/>
                <w:szCs w:val="20"/>
                <w:lang w:val="es-AR"/>
              </w:rPr>
            </w:pPr>
            <w:r w:rsidRPr="007213A1">
              <w:rPr>
                <w:sz w:val="20"/>
                <w:szCs w:val="20"/>
                <w:lang w:val="es-AR"/>
              </w:rPr>
              <w:t>En el caso de Obligaciones Negociables escriturales o de Obligaciones Negociables nominativas, el agente de registro podrá ser la Emisora, o en nombre de ésta, Caja de Valores o quien se designe en el Suplemento de Precio correspondiente, de acuerdo con la normativa aplicable. Podrá disponerse el depósito colectivo en Caja de Valores de las Obligaciones Negociables representadas en títulos cartulares definitivos o en certificados o títulos globales o en otra entidad de la República Argentina y/o del exterior que se especifique en el Suplemento de Precio correspondiente y que sea un depositario autorizado por las normas vigentes de la jurisdicción que corresponda.</w:t>
            </w:r>
          </w:p>
          <w:p w14:paraId="59BC129D" w14:textId="77777777" w:rsidR="000334EA" w:rsidRPr="007213A1" w:rsidRDefault="000334EA" w:rsidP="000334EA">
            <w:pPr>
              <w:pStyle w:val="notaalpie"/>
              <w:widowControl w:val="0"/>
              <w:suppressLineNumbers/>
              <w:suppressAutoHyphens/>
              <w:rPr>
                <w:rFonts w:ascii="Times New Roman" w:hAnsi="Times New Roman"/>
                <w:lang w:val="es-AR"/>
              </w:rPr>
            </w:pPr>
          </w:p>
        </w:tc>
      </w:tr>
      <w:tr w:rsidR="000334EA" w:rsidRPr="00512442" w14:paraId="09BE616B" w14:textId="77777777" w:rsidTr="00BA304B">
        <w:trPr>
          <w:trHeight w:val="920"/>
        </w:trPr>
        <w:tc>
          <w:tcPr>
            <w:tcW w:w="2474" w:type="dxa"/>
          </w:tcPr>
          <w:p w14:paraId="1CB2C15B" w14:textId="77777777" w:rsidR="000334EA" w:rsidRPr="00512442" w:rsidRDefault="000334EA" w:rsidP="00512442">
            <w:pPr>
              <w:pStyle w:val="Textonotapie"/>
              <w:jc w:val="both"/>
              <w:rPr>
                <w:sz w:val="20"/>
                <w:lang w:val="es-AR"/>
              </w:rPr>
            </w:pPr>
            <w:r w:rsidRPr="00512442">
              <w:rPr>
                <w:sz w:val="20"/>
                <w:lang w:val="es-AR"/>
              </w:rPr>
              <w:t>Ley Aplicable</w:t>
            </w:r>
          </w:p>
        </w:tc>
        <w:tc>
          <w:tcPr>
            <w:tcW w:w="6031" w:type="dxa"/>
          </w:tcPr>
          <w:p w14:paraId="10B08093" w14:textId="77777777" w:rsidR="000334EA" w:rsidRPr="007213A1" w:rsidRDefault="000334EA" w:rsidP="000334EA">
            <w:pPr>
              <w:pStyle w:val="notaalpie"/>
              <w:suppressLineNumbers/>
              <w:suppressAutoHyphens/>
              <w:rPr>
                <w:rFonts w:ascii="Times New Roman" w:hAnsi="Times New Roman"/>
                <w:lang w:val="es-ES"/>
              </w:rPr>
            </w:pPr>
            <w:r w:rsidRPr="007213A1">
              <w:rPr>
                <w:rFonts w:ascii="Times New Roman" w:hAnsi="Times New Roman"/>
                <w:lang w:val="es-ES"/>
              </w:rPr>
              <w:t>Las cuestiones relativas a requisitos inherentes de fondo y forma de las Obligaciones Negociables se regirán por lo dispuesto en la Ley de Obligaciones Negociables y las leyes y reglamentaciones argentinas aplicables, así como la capacidad y autoridad societaria de la Emisora para crear este Programa y para emitir, ofrecer y entregar las Obligaciones Negociables en Argentina. Todas las demás cuestiones respecto de las Obligaciones Negociables se regirán y serán interpretadas de acuerdo con las leyes de Argentina o de acuerdo a las leyes aplicables de la jurisdicción que se indique en el Suplemento de Precio correspondiente.</w:t>
            </w:r>
          </w:p>
          <w:p w14:paraId="5E4149F0" w14:textId="77777777" w:rsidR="000334EA" w:rsidRPr="007213A1" w:rsidRDefault="000334EA" w:rsidP="000334EA">
            <w:pPr>
              <w:pStyle w:val="notaalpie"/>
              <w:suppressLineNumbers/>
              <w:suppressAutoHyphens/>
              <w:rPr>
                <w:rFonts w:ascii="Times New Roman" w:hAnsi="Times New Roman"/>
                <w:lang w:val="es-ES"/>
              </w:rPr>
            </w:pPr>
          </w:p>
        </w:tc>
      </w:tr>
      <w:tr w:rsidR="000334EA" w:rsidRPr="00512442" w14:paraId="05353B81" w14:textId="77777777" w:rsidTr="00BA304B">
        <w:trPr>
          <w:trHeight w:val="920"/>
        </w:trPr>
        <w:tc>
          <w:tcPr>
            <w:tcW w:w="2474" w:type="dxa"/>
          </w:tcPr>
          <w:p w14:paraId="67AC088E" w14:textId="77777777" w:rsidR="000334EA" w:rsidRPr="00512442" w:rsidRDefault="000334EA" w:rsidP="00512442">
            <w:pPr>
              <w:pStyle w:val="Textonotapie"/>
              <w:jc w:val="both"/>
              <w:rPr>
                <w:sz w:val="20"/>
                <w:lang w:val="es-AR"/>
              </w:rPr>
            </w:pPr>
            <w:r w:rsidRPr="00512442">
              <w:rPr>
                <w:sz w:val="20"/>
                <w:lang w:val="es-AR"/>
              </w:rPr>
              <w:t>Jurisdicción</w:t>
            </w:r>
          </w:p>
        </w:tc>
        <w:tc>
          <w:tcPr>
            <w:tcW w:w="6031" w:type="dxa"/>
          </w:tcPr>
          <w:p w14:paraId="4DD122C0" w14:textId="2DC8B960" w:rsidR="000334EA" w:rsidRPr="007213A1" w:rsidRDefault="000334EA" w:rsidP="000334EA">
            <w:pPr>
              <w:pStyle w:val="notaalpie"/>
              <w:widowControl w:val="0"/>
              <w:suppressLineNumbers/>
              <w:suppressAutoHyphens/>
              <w:rPr>
                <w:rFonts w:ascii="Times New Roman" w:hAnsi="Times New Roman"/>
                <w:lang w:val="es-ES"/>
              </w:rPr>
            </w:pPr>
            <w:r w:rsidRPr="007213A1">
              <w:rPr>
                <w:rFonts w:ascii="Times New Roman" w:hAnsi="Times New Roman"/>
                <w:lang w:val="es-ES"/>
              </w:rPr>
              <w:t>Toda controversia que se suscite entre la Emisora y los tenedores de Obligaciones Negociables en relación a las Obligaciones Negociables será resuelta por el Tribunal Arbitral que opere en el ámbito de BYMA, quedando a salvo el derecho de los tenedores de Obligaciones Negociables contemplado en el artículo 46 de la Ley de Mercado de Capitales, de optar por acudir a los tribunales judiciales competentes.</w:t>
            </w:r>
          </w:p>
          <w:p w14:paraId="6B2F008E" w14:textId="77777777" w:rsidR="000334EA" w:rsidRPr="007213A1" w:rsidRDefault="000334EA" w:rsidP="000334EA">
            <w:pPr>
              <w:pStyle w:val="notaalpie"/>
              <w:suppressLineNumbers/>
              <w:suppressAutoHyphens/>
              <w:rPr>
                <w:rFonts w:ascii="Times New Roman" w:hAnsi="Times New Roman"/>
                <w:lang w:val="es-ES"/>
              </w:rPr>
            </w:pPr>
          </w:p>
        </w:tc>
      </w:tr>
    </w:tbl>
    <w:p w14:paraId="052E7B30" w14:textId="514091A2" w:rsidR="000334EA" w:rsidRPr="007213A1" w:rsidRDefault="000334EA" w:rsidP="00512442">
      <w:pPr>
        <w:jc w:val="center"/>
        <w:rPr>
          <w:b/>
          <w:sz w:val="20"/>
          <w:szCs w:val="20"/>
          <w:lang w:val="es-MX" w:eastAsia="es-ES"/>
        </w:rPr>
      </w:pPr>
      <w:r w:rsidRPr="007213A1">
        <w:rPr>
          <w:b/>
          <w:sz w:val="20"/>
          <w:szCs w:val="20"/>
          <w:lang w:val="es-MX" w:eastAsia="es-ES"/>
        </w:rPr>
        <w:br w:type="page"/>
        <w:t>III</w:t>
      </w:r>
      <w:r w:rsidR="00A227AF">
        <w:rPr>
          <w:b/>
          <w:sz w:val="20"/>
          <w:szCs w:val="20"/>
          <w:lang w:val="es-MX" w:eastAsia="es-ES"/>
        </w:rPr>
        <w:t xml:space="preserve">. </w:t>
      </w:r>
      <w:r w:rsidRPr="007213A1">
        <w:rPr>
          <w:b/>
          <w:sz w:val="20"/>
          <w:szCs w:val="20"/>
          <w:lang w:val="es-MX" w:eastAsia="es-ES"/>
        </w:rPr>
        <w:t>FACTORES DE RIESGO</w:t>
      </w:r>
    </w:p>
    <w:p w14:paraId="6338884C" w14:textId="77777777" w:rsidR="000334EA" w:rsidRPr="007213A1" w:rsidRDefault="000334EA" w:rsidP="000334EA">
      <w:pPr>
        <w:widowControl w:val="0"/>
        <w:suppressLineNumbers/>
        <w:suppressAutoHyphens/>
        <w:jc w:val="center"/>
        <w:rPr>
          <w:b/>
          <w:sz w:val="20"/>
          <w:szCs w:val="20"/>
          <w:lang w:val="es-MX" w:eastAsia="es-ES"/>
        </w:rPr>
      </w:pPr>
    </w:p>
    <w:p w14:paraId="0AD1BDBB" w14:textId="77777777" w:rsidR="000334EA" w:rsidRDefault="000334EA" w:rsidP="000334EA">
      <w:pPr>
        <w:jc w:val="both"/>
        <w:rPr>
          <w:rFonts w:eastAsia="Calibri"/>
          <w:i/>
          <w:iCs/>
          <w:sz w:val="20"/>
          <w:szCs w:val="20"/>
          <w:lang w:val="es-MX"/>
        </w:rPr>
      </w:pPr>
      <w:r w:rsidRPr="00112B9F">
        <w:rPr>
          <w:rFonts w:eastAsia="Calibri"/>
          <w:i/>
          <w:iCs/>
          <w:sz w:val="20"/>
          <w:szCs w:val="20"/>
          <w:lang w:val="es-MX"/>
        </w:rPr>
        <w:t xml:space="preserve">Antes de invertir en las Obligaciones Negociables, los inversores deben considerar detenidamente los riesgos descriptos a continuación, además de cualquier otra información contenida en este Prospecto. La Sociedad también puede enfrentar riesgos e incertidumbres adicionales de los que no tiene conocimiento en la actualidad, o que a la fecha de este Prospecto no considera significativos, y que podrían afectar sus negocios. Si ocurriera cualquiera de tales hechos, el precio de negociación de las Obligaciones Negociables podría bajar, y la Sociedad podría no ser capaz de pagar los intereses o el capital de las Obligaciones Negociables, ya sea total o parcialmente, y los inversores podrían perder toda o parte de su inversión. En general, se asume un riesgo mayor al invertir en títulos de emisoras de mercados emergentes tales como Argentina que al invertir en títulos de emisoras de Estados Unidos u otros mercados desarrollados. </w:t>
      </w:r>
    </w:p>
    <w:p w14:paraId="144AF2AE" w14:textId="77777777" w:rsidR="00B55910" w:rsidRPr="004C2CEC" w:rsidRDefault="00B55910" w:rsidP="004C2CEC">
      <w:pPr>
        <w:jc w:val="both"/>
        <w:rPr>
          <w:rFonts w:eastAsia="Calibri"/>
          <w:sz w:val="20"/>
          <w:lang w:val="es-MX"/>
        </w:rPr>
      </w:pPr>
    </w:p>
    <w:p w14:paraId="74CB3320" w14:textId="77777777" w:rsidR="00B55910" w:rsidRPr="00804E1F" w:rsidRDefault="00B55910" w:rsidP="00B55910">
      <w:pPr>
        <w:jc w:val="both"/>
        <w:rPr>
          <w:rFonts w:eastAsia="Calibri"/>
          <w:b/>
          <w:iCs/>
          <w:sz w:val="20"/>
          <w:szCs w:val="20"/>
          <w:lang w:val="es-AR"/>
        </w:rPr>
      </w:pPr>
      <w:r w:rsidRPr="00804E1F">
        <w:rPr>
          <w:rFonts w:eastAsia="Calibri"/>
          <w:b/>
          <w:iCs/>
          <w:sz w:val="20"/>
          <w:szCs w:val="20"/>
          <w:lang w:val="es-AR"/>
        </w:rPr>
        <w:t>Factores de riesgo relacionados con el contexto regional e internacional</w:t>
      </w:r>
    </w:p>
    <w:p w14:paraId="3275420B" w14:textId="77777777" w:rsidR="00B55910" w:rsidRPr="00804E1F" w:rsidRDefault="00B55910" w:rsidP="00B55910">
      <w:pPr>
        <w:jc w:val="both"/>
        <w:rPr>
          <w:rFonts w:eastAsia="Calibri"/>
          <w:b/>
          <w:iCs/>
          <w:sz w:val="20"/>
          <w:szCs w:val="20"/>
          <w:u w:val="single"/>
          <w:lang w:val="es-AR"/>
        </w:rPr>
      </w:pPr>
    </w:p>
    <w:p w14:paraId="57737DBB" w14:textId="77777777" w:rsidR="00B55910" w:rsidRPr="00D86D66" w:rsidRDefault="00B55910" w:rsidP="00B55910">
      <w:pPr>
        <w:jc w:val="both"/>
        <w:rPr>
          <w:rFonts w:eastAsia="Calibri"/>
          <w:bCs/>
          <w:i/>
          <w:sz w:val="20"/>
          <w:szCs w:val="20"/>
          <w:lang w:val="es-AR"/>
        </w:rPr>
      </w:pPr>
      <w:r w:rsidRPr="00D86D66">
        <w:rPr>
          <w:rFonts w:eastAsia="Calibri"/>
          <w:i/>
          <w:sz w:val="20"/>
          <w:szCs w:val="20"/>
          <w:lang w:val="es-AR"/>
        </w:rPr>
        <w:t xml:space="preserve">La </w:t>
      </w:r>
      <w:r w:rsidRPr="00D86D66">
        <w:rPr>
          <w:rFonts w:eastAsia="Calibri"/>
          <w:bCs/>
          <w:i/>
          <w:sz w:val="20"/>
          <w:szCs w:val="20"/>
          <w:lang w:val="es-AR"/>
        </w:rPr>
        <w:t>economía argentina y sus mercados de bienes, servicios financieros y valores podrían verse adversamente afectados por acontecimientos económicos en otros mercados globales, lo cual podría a su vez tener un efecto material adverso en los negocios de la Emisora.</w:t>
      </w:r>
    </w:p>
    <w:p w14:paraId="04AB51B1" w14:textId="77777777" w:rsidR="00B55910" w:rsidRPr="00804E1F" w:rsidRDefault="00B55910" w:rsidP="00B55910">
      <w:pPr>
        <w:jc w:val="both"/>
        <w:rPr>
          <w:rFonts w:eastAsia="Calibri"/>
          <w:iCs/>
          <w:sz w:val="20"/>
          <w:szCs w:val="20"/>
          <w:lang w:val="es-AR"/>
        </w:rPr>
      </w:pPr>
    </w:p>
    <w:p w14:paraId="3B69B636"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Los mercados financieros y de valores en la Argentina están influenciados, en diferentes grados, por las condiciones económicas y de mercado en otros mercados globales. Si bien las condiciones económicas varían de país a país, la percepción de los inversores de los eventos que se producen en un país puede afectar sustancialmente los flujos de capital, y los precios de negociación de valores de emisores en otros países, incluyendo la Argentina. Menores ingresos de capital y bajos precios en el mercado de valores de un país podrían tener un efecto sustancialmente adverso en la economía real de dichos países en forma de tasas de interés más altas y volatilidad del tipo de cambio.</w:t>
      </w:r>
    </w:p>
    <w:p w14:paraId="61801752" w14:textId="77777777" w:rsidR="00B55910" w:rsidRPr="00804E1F" w:rsidRDefault="00B55910" w:rsidP="00B55910">
      <w:pPr>
        <w:jc w:val="both"/>
        <w:rPr>
          <w:rFonts w:eastAsia="Calibri"/>
          <w:iCs/>
          <w:sz w:val="20"/>
          <w:szCs w:val="20"/>
          <w:lang w:val="es-AR"/>
        </w:rPr>
      </w:pPr>
    </w:p>
    <w:p w14:paraId="0A0B9F9A"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Durante los períodos de incertidumbre en los mercados internacionales, los inversores eligen generalmente invertir en activos de alta calidad (“</w:t>
      </w:r>
      <w:r w:rsidRPr="00512442">
        <w:rPr>
          <w:rFonts w:eastAsia="Calibri"/>
          <w:i/>
          <w:sz w:val="20"/>
          <w:lang w:val="es-AR"/>
        </w:rPr>
        <w:t>flight to quality</w:t>
      </w:r>
      <w:r w:rsidRPr="00804E1F">
        <w:rPr>
          <w:rFonts w:eastAsia="Calibri"/>
          <w:iCs/>
          <w:sz w:val="20"/>
          <w:szCs w:val="20"/>
          <w:lang w:val="es-AR"/>
        </w:rPr>
        <w:t>”) en detrimento de los activos de los mercados emergentes. Esto ha producido, y podría producir en un futuro un impacto negativo en la economía argentina y podría continuar afectando de manera negativa la economía del país en un futuro cercano.</w:t>
      </w:r>
    </w:p>
    <w:p w14:paraId="7AF67F41" w14:textId="77777777" w:rsidR="00B55910" w:rsidRPr="00804E1F" w:rsidRDefault="00B55910" w:rsidP="00B55910">
      <w:pPr>
        <w:jc w:val="both"/>
        <w:rPr>
          <w:rFonts w:eastAsia="Calibri"/>
          <w:iCs/>
          <w:sz w:val="20"/>
          <w:szCs w:val="20"/>
          <w:lang w:val="es-AR"/>
        </w:rPr>
      </w:pPr>
    </w:p>
    <w:p w14:paraId="5D7CD62D"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 xml:space="preserve">Una crisis global económica y/o financiera, o los efectos de un deterioro en el contexto internacional actual, podrían afectar la economía argentina y, consecuentemente, los resultados y operaciones de la Emisora. A su vez, esta situación podría afectar en forma sustancialmente adversa la capacidad de la Emisora de cumplir con los pagos de sus obligaciones incluyendo, sin limitación, a las Obligaciones Negociables. </w:t>
      </w:r>
    </w:p>
    <w:p w14:paraId="1931560A" w14:textId="77777777" w:rsidR="00B55910" w:rsidRPr="00804E1F" w:rsidRDefault="00B55910" w:rsidP="00B55910">
      <w:pPr>
        <w:jc w:val="both"/>
        <w:rPr>
          <w:rFonts w:eastAsia="Calibri"/>
          <w:iCs/>
          <w:sz w:val="20"/>
          <w:szCs w:val="20"/>
          <w:lang w:val="es-AR"/>
        </w:rPr>
      </w:pPr>
    </w:p>
    <w:p w14:paraId="6B75D4C7" w14:textId="77777777" w:rsidR="00B55910" w:rsidRPr="00D86D66" w:rsidRDefault="00B55910" w:rsidP="00B55910">
      <w:pPr>
        <w:jc w:val="both"/>
        <w:rPr>
          <w:rFonts w:eastAsia="Calibri"/>
          <w:bCs/>
          <w:i/>
          <w:sz w:val="20"/>
          <w:szCs w:val="20"/>
          <w:lang w:val="es-AR"/>
        </w:rPr>
      </w:pPr>
      <w:r w:rsidRPr="00D86D66">
        <w:rPr>
          <w:rFonts w:eastAsia="Calibri"/>
          <w:bCs/>
          <w:i/>
          <w:sz w:val="20"/>
          <w:szCs w:val="20"/>
          <w:lang w:val="es-AR"/>
        </w:rPr>
        <w:t>Los desequilibrios económicos de los países de la región podrían afectar negativamente la economía argentina y, en consecuencia, impactar adversamente en las operaciones y resultados de la Emisora.</w:t>
      </w:r>
    </w:p>
    <w:p w14:paraId="2270CA22" w14:textId="77777777" w:rsidR="00B55910" w:rsidRPr="00804E1F" w:rsidRDefault="00B55910" w:rsidP="00B55910">
      <w:pPr>
        <w:jc w:val="both"/>
        <w:rPr>
          <w:rFonts w:eastAsia="Calibri"/>
          <w:iCs/>
          <w:sz w:val="20"/>
          <w:szCs w:val="20"/>
          <w:lang w:val="es-AR"/>
        </w:rPr>
      </w:pPr>
    </w:p>
    <w:p w14:paraId="5C074D25"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La Sociedad cuenta con presencia tanto en Bolivia como en Brasil, siendo este último un foco estratégico dentro del Mercosur para INVAP. Pero, a su vez, Brasil, siendo el mercado exportador más importante de Argentina y su principal fuente de importaciones, ha experimentado en los últimos años un estancamiento de los precios de las materias primas de exportación, una caída del consumo interno y baja de inversiones, y una fuerte crisis política. No obstante, durante el año 2019 se ha visto una reacción positiva en los mercados financieros de este país debido a las reformas gubernamentales propuestas para dicho sector. El futuro de esta situación dependerá, entre otras cuestiones, de la efectiva implementación de dichas iniciativas significativas, las cuales tendrán una incidencia en las condiciones económicas y regulatorias de la región, en la economía argentina y, por lo tanto, en los resultados y la capacidad de repago de la Emisora.</w:t>
      </w:r>
    </w:p>
    <w:p w14:paraId="1F2779A2" w14:textId="77777777" w:rsidR="00B55910" w:rsidRPr="00804E1F" w:rsidRDefault="00B55910" w:rsidP="00B55910">
      <w:pPr>
        <w:jc w:val="both"/>
        <w:rPr>
          <w:rFonts w:eastAsia="Calibri"/>
          <w:b/>
          <w:iCs/>
          <w:sz w:val="20"/>
          <w:szCs w:val="20"/>
          <w:u w:val="single"/>
          <w:lang w:val="es-AR"/>
        </w:rPr>
      </w:pPr>
    </w:p>
    <w:p w14:paraId="5675B57F" w14:textId="77777777" w:rsidR="00B55910" w:rsidRPr="00804E1F" w:rsidRDefault="00B55910" w:rsidP="00B55910">
      <w:pPr>
        <w:jc w:val="both"/>
        <w:rPr>
          <w:rFonts w:eastAsia="Calibri"/>
          <w:b/>
          <w:iCs/>
          <w:sz w:val="20"/>
          <w:szCs w:val="20"/>
          <w:lang w:val="es-AR"/>
        </w:rPr>
      </w:pPr>
      <w:r w:rsidRPr="00804E1F">
        <w:rPr>
          <w:rFonts w:eastAsia="Calibri"/>
          <w:b/>
          <w:iCs/>
          <w:sz w:val="20"/>
          <w:szCs w:val="20"/>
          <w:lang w:val="es-AR"/>
        </w:rPr>
        <w:t>Factores económicos y gubernamentales de la República Argentina</w:t>
      </w:r>
    </w:p>
    <w:p w14:paraId="7CC0AD03" w14:textId="77777777" w:rsidR="00B55910" w:rsidRPr="00804E1F" w:rsidRDefault="00B55910" w:rsidP="00B55910">
      <w:pPr>
        <w:jc w:val="both"/>
        <w:rPr>
          <w:rFonts w:eastAsia="Calibri"/>
          <w:iCs/>
          <w:sz w:val="20"/>
          <w:szCs w:val="20"/>
          <w:lang w:val="es-AR"/>
        </w:rPr>
      </w:pPr>
    </w:p>
    <w:p w14:paraId="06BA512B" w14:textId="3FAAE658" w:rsidR="00B55910" w:rsidRDefault="00B55910" w:rsidP="00B55910">
      <w:pPr>
        <w:jc w:val="both"/>
        <w:rPr>
          <w:rFonts w:eastAsia="Calibri"/>
          <w:iCs/>
          <w:sz w:val="20"/>
          <w:szCs w:val="20"/>
          <w:lang w:val="es-AR"/>
        </w:rPr>
      </w:pPr>
      <w:r w:rsidRPr="00804E1F">
        <w:rPr>
          <w:rFonts w:eastAsia="Calibri"/>
          <w:iCs/>
          <w:sz w:val="20"/>
          <w:szCs w:val="20"/>
          <w:lang w:val="es-AR"/>
        </w:rPr>
        <w:t>La economía argentina se ha caracterizado en las últimas décadas por un alto grado de inestabilidad y volatilidad, períodos de crecimiento bajo o negativo y niveles de inflación y devaluación altos y variables. Los resultados de las operaciones de la Emisora, el valor de mercado de las Obligaciones Negociables y la habilidad de la Emisora de hacer pagos con respecto a las mismas, pueden verse afectados por ciertos factores posibles, entre los cuales se encuentran la eventual dificultad de Argentina para generar un sendero de crecimiento sostenido, los efectos de la inflación, la capacidad de Argentina de obtener financiación, una baja en los precios internacionales de las principales exportaciones de productos primarios argentinos (“</w:t>
      </w:r>
      <w:r w:rsidRPr="00512442">
        <w:rPr>
          <w:rFonts w:eastAsia="Calibri"/>
          <w:i/>
          <w:sz w:val="20"/>
          <w:lang w:val="es-AR"/>
        </w:rPr>
        <w:t>commodities</w:t>
      </w:r>
      <w:r w:rsidRPr="00804E1F">
        <w:rPr>
          <w:rFonts w:eastAsia="Calibri"/>
          <w:iCs/>
          <w:sz w:val="20"/>
          <w:szCs w:val="20"/>
          <w:lang w:val="es-AR"/>
        </w:rPr>
        <w:t>”), las fluctuaciones en el tipo de cambio de los competidores de Argentina, y la vulnerabilidad de la economía argentina a shocks externos.</w:t>
      </w:r>
    </w:p>
    <w:p w14:paraId="1A539FC1" w14:textId="77777777" w:rsidR="00D86D66" w:rsidRPr="00804E1F" w:rsidRDefault="00D86D66" w:rsidP="00B55910">
      <w:pPr>
        <w:jc w:val="both"/>
        <w:rPr>
          <w:rFonts w:eastAsia="Calibri"/>
          <w:iCs/>
          <w:sz w:val="20"/>
          <w:szCs w:val="20"/>
          <w:lang w:val="es-AR"/>
        </w:rPr>
      </w:pPr>
    </w:p>
    <w:p w14:paraId="78D573E9" w14:textId="77777777" w:rsidR="00B55910" w:rsidRPr="00D86D66" w:rsidRDefault="00B55910" w:rsidP="00B55910">
      <w:pPr>
        <w:jc w:val="both"/>
        <w:rPr>
          <w:rFonts w:eastAsia="Calibri"/>
          <w:iCs/>
          <w:sz w:val="20"/>
          <w:szCs w:val="20"/>
          <w:lang w:val="es-AR"/>
        </w:rPr>
      </w:pPr>
      <w:r w:rsidRPr="00D86D66">
        <w:rPr>
          <w:rFonts w:eastAsia="Calibri"/>
          <w:iCs/>
          <w:sz w:val="20"/>
          <w:szCs w:val="20"/>
          <w:lang w:val="es-AR"/>
        </w:rPr>
        <w:t>La contracción de la economía interna, así como también las condiciones del mercado, podrían afectar en forma negativa la capacidad de la Sociedad para atender los pagos derivados de las Obligaciones Negociables.</w:t>
      </w:r>
    </w:p>
    <w:p w14:paraId="2FCCA75C" w14:textId="77777777" w:rsidR="00B55910" w:rsidRPr="00D86D66" w:rsidRDefault="00B55910" w:rsidP="00B55910">
      <w:pPr>
        <w:jc w:val="both"/>
        <w:rPr>
          <w:rFonts w:eastAsia="Calibri"/>
          <w:i/>
          <w:sz w:val="20"/>
          <w:szCs w:val="20"/>
          <w:lang w:val="es-AR"/>
        </w:rPr>
      </w:pPr>
    </w:p>
    <w:p w14:paraId="593D35AF" w14:textId="22EBB0E7" w:rsidR="00B55910" w:rsidRPr="00804E1F" w:rsidRDefault="00B55910" w:rsidP="00B55910">
      <w:pPr>
        <w:jc w:val="both"/>
        <w:rPr>
          <w:rFonts w:eastAsia="Calibri"/>
          <w:iCs/>
          <w:sz w:val="20"/>
          <w:szCs w:val="20"/>
          <w:lang w:val="es-AR"/>
        </w:rPr>
      </w:pPr>
      <w:r w:rsidRPr="00804E1F">
        <w:rPr>
          <w:rFonts w:eastAsia="Calibri"/>
          <w:iCs/>
          <w:sz w:val="20"/>
          <w:szCs w:val="20"/>
          <w:lang w:val="es-AR"/>
        </w:rPr>
        <w:t xml:space="preserve">Los resultados de las operaciones de la Sociedad y las expectativas de cobro de los tenedores bajo las Obligaciones Negociables y el valor de las mismas pueden verse afectados por diversos factores tales como inflación, las fluctuaciones en el tipo de cambio, modificaciones en las tasas de interés, cambios en la política del Gobierno (como por ejemplo, la política de inversiones externas y la impositiva, las modificaciones al régimen aplicable al mercado de capitales, entre otras), acontecimientos políticos y/o sociales, económicos o internacionales que tengan lugar en Argentina o que la afecten de alguna manera. Debido a la crisis que se desató a fines de 2001, desde esa fecha </w:t>
      </w:r>
      <w:r w:rsidR="00916996">
        <w:rPr>
          <w:rFonts w:eastAsia="Calibri"/>
          <w:iCs/>
          <w:sz w:val="20"/>
          <w:szCs w:val="20"/>
          <w:lang w:val="es-AR"/>
        </w:rPr>
        <w:t>los distintos gobiernos</w:t>
      </w:r>
      <w:r w:rsidRPr="00804E1F">
        <w:rPr>
          <w:rFonts w:eastAsia="Calibri"/>
          <w:iCs/>
          <w:sz w:val="20"/>
          <w:szCs w:val="20"/>
          <w:lang w:val="es-AR"/>
        </w:rPr>
        <w:t xml:space="preserve"> ha</w:t>
      </w:r>
      <w:r w:rsidR="00916996">
        <w:rPr>
          <w:rFonts w:eastAsia="Calibri"/>
          <w:iCs/>
          <w:sz w:val="20"/>
          <w:szCs w:val="20"/>
          <w:lang w:val="es-AR"/>
        </w:rPr>
        <w:t>n</w:t>
      </w:r>
      <w:r w:rsidRPr="00804E1F">
        <w:rPr>
          <w:rFonts w:eastAsia="Calibri"/>
          <w:iCs/>
          <w:sz w:val="20"/>
          <w:szCs w:val="20"/>
          <w:lang w:val="es-AR"/>
        </w:rPr>
        <w:t xml:space="preserve"> promulgado numerosas leyes y regulaciones de gran alcance influyendo en la economía en general.</w:t>
      </w:r>
    </w:p>
    <w:p w14:paraId="1C415C6F" w14:textId="77777777" w:rsidR="00B55910" w:rsidRPr="00804E1F" w:rsidRDefault="00B55910" w:rsidP="00B55910">
      <w:pPr>
        <w:jc w:val="both"/>
        <w:rPr>
          <w:rFonts w:eastAsia="Calibri"/>
          <w:iCs/>
          <w:sz w:val="20"/>
          <w:szCs w:val="20"/>
          <w:lang w:val="es-AR"/>
        </w:rPr>
      </w:pPr>
    </w:p>
    <w:p w14:paraId="1283CA58" w14:textId="5C7A2343" w:rsidR="00B55910" w:rsidRDefault="00B55910" w:rsidP="00B55910">
      <w:pPr>
        <w:jc w:val="both"/>
        <w:rPr>
          <w:rFonts w:eastAsia="Calibri"/>
          <w:iCs/>
          <w:sz w:val="20"/>
          <w:szCs w:val="20"/>
          <w:lang w:val="es-AR"/>
        </w:rPr>
      </w:pPr>
      <w:r w:rsidRPr="00804E1F">
        <w:rPr>
          <w:rFonts w:eastAsia="Calibri"/>
          <w:iCs/>
          <w:sz w:val="20"/>
          <w:szCs w:val="20"/>
          <w:lang w:val="es-AR"/>
        </w:rPr>
        <w:t>No puede asegurarse que cualquier cambio futuro, incluyendo el dictado de regulaciones por parte de las autoridades argentinas no afectará sustancialmente la situación patrimonial o los resultados de las operaciones de las empresas, o los derechos de los tenedores de títulos valores emitidos por dichas entidades, incluyendo las Obligaciones Negociables, o el valor de los mismos.</w:t>
      </w:r>
    </w:p>
    <w:p w14:paraId="59AA375D" w14:textId="77777777" w:rsidR="00B55910" w:rsidRPr="00804E1F" w:rsidRDefault="00B55910" w:rsidP="00B55910">
      <w:pPr>
        <w:jc w:val="both"/>
        <w:rPr>
          <w:rFonts w:eastAsia="Calibri"/>
          <w:iCs/>
          <w:sz w:val="20"/>
          <w:szCs w:val="20"/>
          <w:lang w:val="es-AR"/>
        </w:rPr>
      </w:pPr>
    </w:p>
    <w:p w14:paraId="721AE3B7" w14:textId="77777777" w:rsidR="00B55910" w:rsidRPr="00D86D66" w:rsidRDefault="00B55910" w:rsidP="00B55910">
      <w:pPr>
        <w:jc w:val="both"/>
        <w:rPr>
          <w:rFonts w:eastAsia="Calibri"/>
          <w:i/>
          <w:sz w:val="20"/>
          <w:szCs w:val="20"/>
          <w:lang w:val="es-ES"/>
        </w:rPr>
      </w:pPr>
      <w:r w:rsidRPr="00D86D66">
        <w:rPr>
          <w:rFonts w:eastAsia="Calibri"/>
          <w:i/>
          <w:sz w:val="20"/>
          <w:szCs w:val="20"/>
          <w:lang w:val="es-AR"/>
        </w:rPr>
        <w:t xml:space="preserve">La economía doméstica podría experimentar un deterioro en su desempeño a la luz de las condiciones económicas corrientes y cualquier declive significativo podría impactar en forma negativa sobre la condición </w:t>
      </w:r>
      <w:r w:rsidRPr="00D86D66">
        <w:rPr>
          <w:rFonts w:eastAsia="Calibri"/>
          <w:i/>
          <w:sz w:val="20"/>
          <w:szCs w:val="20"/>
          <w:lang w:val="es-ES"/>
        </w:rPr>
        <w:t>financiera de la Emisora.</w:t>
      </w:r>
    </w:p>
    <w:p w14:paraId="0C9EEA21" w14:textId="77777777" w:rsidR="00B55910" w:rsidRPr="00804E1F" w:rsidRDefault="00B55910" w:rsidP="00B55910">
      <w:pPr>
        <w:jc w:val="both"/>
        <w:rPr>
          <w:rFonts w:eastAsia="Calibri"/>
          <w:iCs/>
          <w:sz w:val="20"/>
          <w:szCs w:val="20"/>
          <w:lang w:val="es-AR"/>
        </w:rPr>
      </w:pPr>
    </w:p>
    <w:p w14:paraId="4788B733"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En 2015 se observó cierta recuperación de la economía en términos generales respecto al año anterior, impulsada, principalmente, por el buen desempeño de la cosecha agrícola, sin embargo, durante el 2016 el Producto Bruto Interno (el “</w:t>
      </w:r>
      <w:r w:rsidRPr="00804E1F">
        <w:rPr>
          <w:rFonts w:eastAsia="Calibri"/>
          <w:iCs/>
          <w:sz w:val="20"/>
          <w:szCs w:val="20"/>
          <w:u w:val="single"/>
          <w:lang w:val="es-AR"/>
        </w:rPr>
        <w:t>PBI</w:t>
      </w:r>
      <w:r w:rsidRPr="00804E1F">
        <w:rPr>
          <w:rFonts w:eastAsia="Calibri"/>
          <w:iCs/>
          <w:sz w:val="20"/>
          <w:szCs w:val="20"/>
          <w:lang w:val="es-AR"/>
        </w:rPr>
        <w:t xml:space="preserve">”) sufrió una caída del 2,3% anual, acentuando la irregularidad de la actividad económica argentina. El buen comienzo económico del 2016 tuvo como contrapartida la caída de la actividad, con descenso del consumo privado y de la inversión, aunque exhibiendo un mejor desempeño hacia el final del año. </w:t>
      </w:r>
    </w:p>
    <w:p w14:paraId="62E8F6BE" w14:textId="77777777" w:rsidR="00B55910" w:rsidRPr="00804E1F" w:rsidRDefault="00B55910" w:rsidP="00B55910">
      <w:pPr>
        <w:jc w:val="both"/>
        <w:rPr>
          <w:rFonts w:eastAsia="Calibri"/>
          <w:iCs/>
          <w:sz w:val="20"/>
          <w:szCs w:val="20"/>
          <w:lang w:val="es-AR"/>
        </w:rPr>
      </w:pPr>
    </w:p>
    <w:p w14:paraId="1E4EC159"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Los datos oficiales del Instituto Nacional de Estadísticas y Censos (el “</w:t>
      </w:r>
      <w:r w:rsidRPr="00804E1F">
        <w:rPr>
          <w:rFonts w:eastAsia="Calibri"/>
          <w:iCs/>
          <w:sz w:val="20"/>
          <w:szCs w:val="20"/>
          <w:u w:val="single"/>
          <w:lang w:val="es-AR"/>
        </w:rPr>
        <w:t>INDEC</w:t>
      </w:r>
      <w:r w:rsidRPr="00804E1F">
        <w:rPr>
          <w:rFonts w:eastAsia="Calibri"/>
          <w:iCs/>
          <w:sz w:val="20"/>
          <w:szCs w:val="20"/>
          <w:lang w:val="es-AR"/>
        </w:rPr>
        <w:t>”) muestran un leve crecimiento del PBI durante el año 2017. La evolución macroeconómica correspondiente al segundo trimestre de 2017 demostró una expansión del PBI de un 2,7% interanual. Con esta suba el PBI acumulaba en el primer semestre un avance de 1,6% mostrando alzas del 2,9% en el consumo público y 3,8% en el consumo privado en comparación al segundo trimestre del 2016. Así, el PBI creció en 2017 un 2,9% acumulado con respecto a igual período del año 2016.</w:t>
      </w:r>
    </w:p>
    <w:p w14:paraId="4E5C4381" w14:textId="77777777" w:rsidR="00B55910" w:rsidRPr="00804E1F" w:rsidRDefault="00B55910" w:rsidP="00B55910">
      <w:pPr>
        <w:jc w:val="both"/>
        <w:rPr>
          <w:rFonts w:eastAsia="Calibri"/>
          <w:iCs/>
          <w:sz w:val="20"/>
          <w:szCs w:val="20"/>
          <w:lang w:val="es-AR"/>
        </w:rPr>
      </w:pPr>
    </w:p>
    <w:p w14:paraId="6766CF05" w14:textId="5D7E16B6" w:rsidR="00916996" w:rsidRPr="00512442" w:rsidRDefault="00B55910" w:rsidP="00B55910">
      <w:pPr>
        <w:jc w:val="both"/>
        <w:rPr>
          <w:rFonts w:eastAsia="Calibri"/>
          <w:sz w:val="20"/>
          <w:lang w:val="es-ES"/>
        </w:rPr>
      </w:pPr>
      <w:r w:rsidRPr="00804E1F">
        <w:rPr>
          <w:rFonts w:eastAsia="Calibri"/>
          <w:iCs/>
          <w:sz w:val="20"/>
          <w:szCs w:val="20"/>
          <w:lang w:val="es-AR"/>
        </w:rPr>
        <w:t xml:space="preserve">En </w:t>
      </w:r>
      <w:r w:rsidRPr="00916996">
        <w:rPr>
          <w:rFonts w:eastAsia="Calibri"/>
          <w:iCs/>
          <w:sz w:val="20"/>
          <w:szCs w:val="20"/>
          <w:lang w:val="es-AR"/>
        </w:rPr>
        <w:t xml:space="preserve">cuanto al año 2018, las variaciones en relación con el mismo periodo del año anterior del primer, </w:t>
      </w:r>
      <w:r w:rsidRPr="00F72F31">
        <w:rPr>
          <w:rFonts w:eastAsia="Calibri"/>
          <w:iCs/>
          <w:sz w:val="20"/>
          <w:szCs w:val="20"/>
          <w:lang w:val="es-AR"/>
        </w:rPr>
        <w:t xml:space="preserve">segundo, tercer y cuarto trimestre fueron de 3,6%, -4,2%, -3,5 y -6,2%, respectivamente. </w:t>
      </w:r>
      <w:r w:rsidR="00916996" w:rsidRPr="00F72F31">
        <w:rPr>
          <w:rFonts w:eastAsia="Calibri"/>
          <w:iCs/>
          <w:sz w:val="20"/>
          <w:szCs w:val="20"/>
          <w:lang w:val="es-ES"/>
        </w:rPr>
        <w:t>Los datos correspondientes al tercer trimestre del año 2019 muestran una variación interanual del -1,7%.</w:t>
      </w:r>
      <w:r w:rsidR="00916996">
        <w:rPr>
          <w:rFonts w:eastAsia="Calibri"/>
          <w:iCs/>
          <w:sz w:val="20"/>
          <w:szCs w:val="20"/>
          <w:lang w:val="es-ES"/>
        </w:rPr>
        <w:t xml:space="preserve"> </w:t>
      </w:r>
    </w:p>
    <w:p w14:paraId="5F9F4486" w14:textId="77777777" w:rsidR="00B55910" w:rsidRPr="00804E1F" w:rsidRDefault="00B55910" w:rsidP="00B55910">
      <w:pPr>
        <w:jc w:val="both"/>
        <w:rPr>
          <w:rFonts w:eastAsia="Calibri"/>
          <w:iCs/>
          <w:sz w:val="20"/>
          <w:szCs w:val="20"/>
          <w:lang w:val="es-AR"/>
        </w:rPr>
      </w:pPr>
    </w:p>
    <w:p w14:paraId="7C14B34D" w14:textId="3C12705F" w:rsidR="00B55910" w:rsidRPr="00804E1F" w:rsidRDefault="00B55910" w:rsidP="00B55910">
      <w:pPr>
        <w:jc w:val="both"/>
        <w:rPr>
          <w:rFonts w:eastAsia="Calibri"/>
          <w:iCs/>
          <w:sz w:val="20"/>
          <w:szCs w:val="20"/>
          <w:lang w:val="es-AR"/>
        </w:rPr>
      </w:pPr>
      <w:r w:rsidRPr="00804E1F">
        <w:rPr>
          <w:rFonts w:eastAsia="Calibri"/>
          <w:iCs/>
          <w:sz w:val="20"/>
          <w:szCs w:val="20"/>
          <w:lang w:val="es-AR"/>
        </w:rPr>
        <w:t>En el futuro, los desequilibrios acumulados podrían generar que los costos de la estabilización no sean menores y que el proceso de normalización pueda dificultarse. En consecuencia, podría producirse un efecto adverso sobre los resultados de las operaciones de la Emisora y sus afiliadas; lo que podría afectar eventualmente su capacidad de repago de sus obligaciones incluyendo, pero no limitado a, las Obligaciones Negociables.</w:t>
      </w:r>
    </w:p>
    <w:p w14:paraId="412F7D05" w14:textId="77777777" w:rsidR="00B55910" w:rsidRPr="00804E1F" w:rsidRDefault="00B55910" w:rsidP="00B55910">
      <w:pPr>
        <w:jc w:val="both"/>
        <w:rPr>
          <w:rFonts w:eastAsia="Calibri"/>
          <w:iCs/>
          <w:sz w:val="20"/>
          <w:szCs w:val="20"/>
          <w:lang w:val="es-AR"/>
        </w:rPr>
      </w:pPr>
    </w:p>
    <w:p w14:paraId="55DBFFCF"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 xml:space="preserve">La economía argentina está sujeta a ciertos riesgos, como una delicada situación fiscal, altas tasas de inflación, interés y de crecimiento del gasto público, volatilidad y caída en los precios de los </w:t>
      </w:r>
      <w:r w:rsidRPr="00512442">
        <w:rPr>
          <w:rFonts w:eastAsia="Calibri"/>
          <w:i/>
          <w:sz w:val="20"/>
          <w:lang w:val="es-AR"/>
        </w:rPr>
        <w:t>commodities</w:t>
      </w:r>
      <w:r w:rsidRPr="00804E1F">
        <w:rPr>
          <w:rFonts w:eastAsia="Calibri"/>
          <w:iCs/>
          <w:sz w:val="20"/>
          <w:szCs w:val="20"/>
          <w:lang w:val="es-AR"/>
        </w:rPr>
        <w:t>, entre otros. Adicionalmente, el contexto internacional es actualmente menos favorable que años atrás para los países emergentes en general, teniendo en cuenta que la normalización de la economía de Estados Unidos provocó, entre otros factores, la depreciación de las monedas frente al Dólar, la trayectoria descendente de los precios de los commodities y la reversión del flujo de capitales que implica una salida neta de economías emergentes hacia economías desarrolladas.</w:t>
      </w:r>
    </w:p>
    <w:p w14:paraId="73F17D9D" w14:textId="77777777" w:rsidR="00B55910" w:rsidRPr="00804E1F" w:rsidRDefault="00B55910" w:rsidP="00B55910">
      <w:pPr>
        <w:jc w:val="both"/>
        <w:rPr>
          <w:rFonts w:eastAsia="Calibri"/>
          <w:iCs/>
          <w:sz w:val="20"/>
          <w:szCs w:val="20"/>
          <w:lang w:val="es-AR"/>
        </w:rPr>
      </w:pPr>
    </w:p>
    <w:p w14:paraId="6C149E1F" w14:textId="6EB530DA" w:rsidR="008D2ABC" w:rsidRPr="00512442" w:rsidRDefault="00B55910" w:rsidP="00512442">
      <w:pPr>
        <w:shd w:val="clear" w:color="auto" w:fill="FFFFFF"/>
        <w:rPr>
          <w:rFonts w:ascii="Arial" w:hAnsi="Arial"/>
          <w:color w:val="2A2A2A"/>
          <w:sz w:val="18"/>
          <w:lang w:val="es-MX"/>
        </w:rPr>
      </w:pPr>
      <w:r w:rsidRPr="008D2ABC">
        <w:rPr>
          <w:rFonts w:eastAsia="Calibri"/>
          <w:iCs/>
          <w:sz w:val="20"/>
          <w:szCs w:val="20"/>
          <w:lang w:val="es-AR"/>
        </w:rPr>
        <w:t xml:space="preserve">Adicionalmente, de conformidad con lo informado por el INDEC, </w:t>
      </w:r>
      <w:r w:rsidR="008D2ABC" w:rsidRPr="00F72F31">
        <w:rPr>
          <w:rFonts w:eastAsia="Calibri"/>
          <w:iCs/>
          <w:sz w:val="20"/>
          <w:szCs w:val="20"/>
          <w:lang w:val="es-AR"/>
        </w:rPr>
        <w:t>a octubre</w:t>
      </w:r>
      <w:r w:rsidRPr="008D2ABC">
        <w:rPr>
          <w:rFonts w:eastAsia="Calibri"/>
          <w:iCs/>
          <w:sz w:val="20"/>
          <w:szCs w:val="20"/>
          <w:lang w:val="es-AR"/>
        </w:rPr>
        <w:t xml:space="preserve"> de 2019 la actividad</w:t>
      </w:r>
      <w:r w:rsidR="009D369D">
        <w:rPr>
          <w:rFonts w:eastAsia="Calibri"/>
          <w:iCs/>
          <w:sz w:val="20"/>
          <w:szCs w:val="20"/>
          <w:lang w:val="es-AR"/>
        </w:rPr>
        <w:t xml:space="preserve"> e</w:t>
      </w:r>
      <w:r w:rsidRPr="008D2ABC">
        <w:rPr>
          <w:rFonts w:eastAsia="Calibri"/>
          <w:iCs/>
          <w:sz w:val="20"/>
          <w:szCs w:val="20"/>
          <w:lang w:val="es-AR"/>
        </w:rPr>
        <w:t xml:space="preserve">conómica registró una variación </w:t>
      </w:r>
      <w:r w:rsidR="008D2ABC" w:rsidRPr="00F72F31">
        <w:rPr>
          <w:rFonts w:eastAsia="Calibri"/>
          <w:iCs/>
          <w:sz w:val="20"/>
          <w:szCs w:val="20"/>
          <w:lang w:val="es-AR"/>
        </w:rPr>
        <w:t xml:space="preserve">interanual </w:t>
      </w:r>
      <w:r w:rsidRPr="008D2ABC">
        <w:rPr>
          <w:rFonts w:eastAsia="Calibri"/>
          <w:iCs/>
          <w:sz w:val="20"/>
          <w:szCs w:val="20"/>
          <w:lang w:val="es-AR"/>
        </w:rPr>
        <w:t xml:space="preserve">del </w:t>
      </w:r>
      <w:r w:rsidR="008D2ABC" w:rsidRPr="00F72F31">
        <w:rPr>
          <w:rFonts w:eastAsia="Calibri"/>
          <w:iCs/>
          <w:sz w:val="20"/>
          <w:szCs w:val="20"/>
          <w:lang w:val="es-AR"/>
        </w:rPr>
        <w:t>-</w:t>
      </w:r>
      <w:r w:rsidRPr="008D2ABC">
        <w:rPr>
          <w:rFonts w:eastAsia="Calibri"/>
          <w:iCs/>
          <w:sz w:val="20"/>
          <w:szCs w:val="20"/>
          <w:lang w:val="es-AR"/>
        </w:rPr>
        <w:t>0,</w:t>
      </w:r>
      <w:r w:rsidR="008D2ABC" w:rsidRPr="00F72F31">
        <w:rPr>
          <w:rFonts w:eastAsia="Calibri"/>
          <w:iCs/>
          <w:sz w:val="20"/>
          <w:szCs w:val="20"/>
          <w:lang w:val="es-AR"/>
        </w:rPr>
        <w:t>9</w:t>
      </w:r>
      <w:r w:rsidRPr="008D2ABC">
        <w:rPr>
          <w:rFonts w:eastAsia="Calibri"/>
          <w:iCs/>
          <w:sz w:val="20"/>
          <w:szCs w:val="20"/>
          <w:lang w:val="es-AR"/>
        </w:rPr>
        <w:t xml:space="preserve">%. </w:t>
      </w:r>
    </w:p>
    <w:p w14:paraId="78B0A140" w14:textId="77777777" w:rsidR="00B55910" w:rsidRPr="00804E1F" w:rsidRDefault="00B55910" w:rsidP="00B55910">
      <w:pPr>
        <w:jc w:val="both"/>
        <w:rPr>
          <w:rFonts w:eastAsia="Calibri"/>
          <w:iCs/>
          <w:sz w:val="20"/>
          <w:szCs w:val="20"/>
          <w:lang w:val="es-AR"/>
        </w:rPr>
      </w:pPr>
    </w:p>
    <w:p w14:paraId="114645FC" w14:textId="0F51208D" w:rsidR="00B55910" w:rsidRPr="00804E1F" w:rsidRDefault="00B55910" w:rsidP="00B55910">
      <w:pPr>
        <w:jc w:val="both"/>
        <w:rPr>
          <w:rFonts w:eastAsia="Calibri"/>
          <w:iCs/>
          <w:sz w:val="20"/>
          <w:szCs w:val="20"/>
          <w:lang w:val="es-AR"/>
        </w:rPr>
      </w:pPr>
      <w:r w:rsidRPr="00804E1F">
        <w:rPr>
          <w:rFonts w:eastAsia="Calibri"/>
          <w:iCs/>
          <w:sz w:val="20"/>
          <w:szCs w:val="20"/>
          <w:lang w:val="es-AR"/>
        </w:rPr>
        <w:t>La Emisora no puede asegurar que una nueva desaceleración del crecimiento económico o cierta inestabilidad política y económica no produzcan un efecto significativo sobre los negocios, situación patrimonial o resultados de sus operaciones, como también sobre su capacidad de repago de las Obligaciones Negociables.</w:t>
      </w:r>
    </w:p>
    <w:p w14:paraId="4FF794FC" w14:textId="1524642A" w:rsidR="00B55910" w:rsidRDefault="00B55910" w:rsidP="00B55910">
      <w:pPr>
        <w:jc w:val="both"/>
        <w:rPr>
          <w:rFonts w:eastAsia="Calibri"/>
          <w:iCs/>
          <w:sz w:val="20"/>
          <w:szCs w:val="20"/>
          <w:lang w:val="es-AR"/>
        </w:rPr>
      </w:pPr>
    </w:p>
    <w:p w14:paraId="1586307A" w14:textId="77777777" w:rsidR="00A32234" w:rsidRPr="00A32234" w:rsidRDefault="00A32234" w:rsidP="00A32234">
      <w:pPr>
        <w:jc w:val="both"/>
        <w:rPr>
          <w:rFonts w:eastAsia="Calibri"/>
          <w:i/>
          <w:sz w:val="20"/>
          <w:szCs w:val="20"/>
          <w:lang w:val="es-AR"/>
        </w:rPr>
      </w:pPr>
      <w:r w:rsidRPr="00A32234">
        <w:rPr>
          <w:rFonts w:eastAsia="Calibri"/>
          <w:i/>
          <w:sz w:val="20"/>
          <w:szCs w:val="20"/>
          <w:lang w:val="es-AR"/>
        </w:rPr>
        <w:t>De mantenerse los niveles de inflación actuales podría verse afectada en forma adversa la evolución de la economía argentina y la posición financiera y negocios de la Emisora.</w:t>
      </w:r>
    </w:p>
    <w:p w14:paraId="57FE7EFA" w14:textId="77777777" w:rsidR="00A32234" w:rsidRPr="00512442" w:rsidRDefault="00A32234" w:rsidP="00A32234">
      <w:pPr>
        <w:jc w:val="both"/>
        <w:rPr>
          <w:rFonts w:eastAsia="Calibri"/>
          <w:i/>
          <w:sz w:val="20"/>
          <w:lang w:val="es-AR"/>
        </w:rPr>
      </w:pPr>
    </w:p>
    <w:p w14:paraId="595A21AC" w14:textId="420FF214" w:rsidR="00A32234" w:rsidRPr="00512442" w:rsidRDefault="00A32234" w:rsidP="00A32234">
      <w:pPr>
        <w:jc w:val="both"/>
        <w:rPr>
          <w:rFonts w:eastAsia="Calibri"/>
          <w:sz w:val="20"/>
          <w:lang w:val="es-AR"/>
        </w:rPr>
      </w:pPr>
      <w:r w:rsidRPr="00096E98">
        <w:rPr>
          <w:rFonts w:eastAsia="Calibri"/>
          <w:iCs/>
          <w:sz w:val="20"/>
          <w:szCs w:val="20"/>
          <w:lang w:val="es-AR"/>
        </w:rPr>
        <w:t xml:space="preserve">La economía argentina se ha caracterizado en el último tiempo por mantener sostenidos niveles de inflación. A través del Decreto N° 55/2016, se declaró en estado de emergencia administrativa al Sistema Estadístico Nacional y al INDEC, delegando en el entonces Ministerio de Hacienda y Finanzas Públicas de la Nación las facultades necesarias para proceder a su intervención. </w:t>
      </w:r>
      <w:bookmarkStart w:id="1" w:name="_Hlk9505143"/>
      <w:r w:rsidRPr="00096E98">
        <w:rPr>
          <w:rFonts w:eastAsia="Calibri"/>
          <w:iCs/>
          <w:sz w:val="20"/>
          <w:szCs w:val="20"/>
          <w:lang w:val="es-AR"/>
        </w:rPr>
        <w:t xml:space="preserve">El 15 de junio de 2016 el INDEC reanudó la publicación de sus principales estadísticas. </w:t>
      </w:r>
      <w:bookmarkEnd w:id="1"/>
      <w:r w:rsidRPr="00096E98">
        <w:rPr>
          <w:rFonts w:eastAsia="Calibri"/>
          <w:iCs/>
          <w:sz w:val="20"/>
          <w:szCs w:val="20"/>
          <w:lang w:val="es-AR"/>
        </w:rPr>
        <w:t xml:space="preserve">En dicha fecha, el organismo reveló que la inflación del mes de mayo de 2016 fue de 4,2% y que el IPC alternativo mostró un aumento del 3,5% para dicho mes. </w:t>
      </w:r>
      <w:r w:rsidRPr="00512442">
        <w:rPr>
          <w:rFonts w:eastAsia="Calibri"/>
          <w:sz w:val="20"/>
          <w:lang w:val="es-AR"/>
        </w:rPr>
        <w:t>Tras el reordenamiento del INDEC, se estableció un nuevo índice oficial de inflación, el cual muestra el impacto de la devaluación de fines de 2015 y del incremento de tarifas en la evolución de precios durante 2016. En este contexto</w:t>
      </w:r>
      <w:r w:rsidR="008D2ABC" w:rsidRPr="00512442">
        <w:rPr>
          <w:rFonts w:eastAsia="Calibri"/>
          <w:sz w:val="20"/>
          <w:lang w:val="es-AR"/>
        </w:rPr>
        <w:t>,</w:t>
      </w:r>
      <w:r w:rsidRPr="00512442">
        <w:rPr>
          <w:rFonts w:eastAsia="Calibri"/>
          <w:sz w:val="20"/>
          <w:lang w:val="es-AR"/>
        </w:rPr>
        <w:t xml:space="preserve"> </w:t>
      </w:r>
      <w:bookmarkStart w:id="2" w:name="_Hlk9505534"/>
      <w:r w:rsidRPr="00512442">
        <w:rPr>
          <w:rFonts w:eastAsia="Calibri"/>
          <w:sz w:val="20"/>
          <w:lang w:val="es-AR"/>
        </w:rPr>
        <w:t xml:space="preserve">durante el 2017 se dio a conocer el IPC nacional, el cual resultó en una inflación de 24,8%, </w:t>
      </w:r>
      <w:r w:rsidRPr="00096E98">
        <w:rPr>
          <w:rFonts w:eastAsia="Calibri"/>
          <w:iCs/>
          <w:sz w:val="20"/>
          <w:szCs w:val="20"/>
          <w:lang w:val="es-AR"/>
        </w:rPr>
        <w:t>mientras que el aumento del Índice de Precios Internos al Por Mayor (“</w:t>
      </w:r>
      <w:r w:rsidRPr="00512442">
        <w:rPr>
          <w:rFonts w:eastAsia="Calibri"/>
          <w:sz w:val="20"/>
          <w:lang w:val="es-AR"/>
        </w:rPr>
        <w:t>IPIM</w:t>
      </w:r>
      <w:r w:rsidRPr="00096E98">
        <w:rPr>
          <w:rFonts w:eastAsia="Calibri"/>
          <w:iCs/>
          <w:sz w:val="20"/>
          <w:szCs w:val="20"/>
          <w:lang w:val="es-AR"/>
        </w:rPr>
        <w:t xml:space="preserve">”) fue del 18,8%. Asimismo, el IPC acumulado durante el año 2018 fue de 47,6% de acuerdo con lo informado por el INDEC. Finalmente, de acuerdo con los últimos índices publicados por el INDEC, el IPC ascendió en enero de 2019 un 2,9% en relación con diciembre de 2018, mientras que el IPC de febrero de 2019 </w:t>
      </w:r>
      <w:r w:rsidRPr="00512442">
        <w:rPr>
          <w:rFonts w:eastAsia="Calibri"/>
          <w:sz w:val="20"/>
          <w:lang w:val="es-AR"/>
        </w:rPr>
        <w:t xml:space="preserve">registró una variación de 3,8%, la variación del IPC de marzo de 2019 fue de 4,7%, la de abril de 2019 fue de 3,4%, en mayo de 2019 se registró una variación de 3,1%, en junio de 2019 se registró una variación de 2,7%,en julio de 2019 se registró una variación de 2,2% y en agosto de 2019 se registró una variación de 4,0%, todos ellos en relación con el mes anterior; </w:t>
      </w:r>
      <w:r w:rsidRPr="00096E98">
        <w:rPr>
          <w:rFonts w:eastAsia="Calibri"/>
          <w:iCs/>
          <w:sz w:val="20"/>
          <w:szCs w:val="20"/>
          <w:lang w:val="es-AR"/>
        </w:rPr>
        <w:t>por otro lado, la inflación interanual llegó a 54,5% en el mes de agosto de 2019. En el mes de septiembre de 2019, se registró una variación del 5,9%, mientras que, en los meses de octubre y noviembre, se registró una variación del 3,3% y del 4,3%, respectivamente</w:t>
      </w:r>
      <w:r w:rsidR="007975EE">
        <w:rPr>
          <w:rFonts w:eastAsia="Calibri"/>
          <w:iCs/>
          <w:sz w:val="20"/>
          <w:szCs w:val="20"/>
          <w:lang w:val="es-AR"/>
        </w:rPr>
        <w:t>, en todos los casos respecto del mes anterior</w:t>
      </w:r>
      <w:r w:rsidRPr="00096E98">
        <w:rPr>
          <w:rFonts w:eastAsia="Calibri"/>
          <w:iCs/>
          <w:sz w:val="20"/>
          <w:szCs w:val="20"/>
          <w:lang w:val="es-AR"/>
        </w:rPr>
        <w:t>. De esta manera, la inflación interanual llegó a 52,1% en el mes de noviembre, siendo 16 décimas superior a la del mes anterior.</w:t>
      </w:r>
    </w:p>
    <w:bookmarkEnd w:id="2"/>
    <w:p w14:paraId="71CAB00E" w14:textId="77777777" w:rsidR="00A32234" w:rsidRPr="00096E98" w:rsidRDefault="00A32234" w:rsidP="00A32234">
      <w:pPr>
        <w:jc w:val="both"/>
        <w:rPr>
          <w:rFonts w:eastAsia="Calibri"/>
          <w:iCs/>
          <w:sz w:val="20"/>
          <w:szCs w:val="20"/>
          <w:lang w:val="es-AR"/>
        </w:rPr>
      </w:pPr>
    </w:p>
    <w:p w14:paraId="27EE7572" w14:textId="7C79D181" w:rsidR="00B55910" w:rsidRPr="00804E1F" w:rsidRDefault="00A32234" w:rsidP="00B55910">
      <w:pPr>
        <w:jc w:val="both"/>
        <w:rPr>
          <w:rFonts w:eastAsia="Calibri"/>
          <w:iCs/>
          <w:sz w:val="20"/>
          <w:szCs w:val="20"/>
          <w:lang w:val="es-AR"/>
        </w:rPr>
      </w:pPr>
      <w:r w:rsidRPr="00096E98">
        <w:rPr>
          <w:rFonts w:eastAsia="Calibri"/>
          <w:iCs/>
          <w:sz w:val="20"/>
          <w:szCs w:val="20"/>
          <w:lang w:val="es-AR"/>
        </w:rPr>
        <w:t>De registrarse tasas de inflación altas, las exportaciones argentinas podrían perder competitividad en los mercados internacionales y el consumo privado podría caer, causando un efecto negativo en la actividad económica y el empleo y por lo tanto la situación económica y capacidad de repago de la Emisora.</w:t>
      </w:r>
    </w:p>
    <w:p w14:paraId="021C5BCD" w14:textId="77777777" w:rsidR="00B55910" w:rsidRPr="00512442" w:rsidRDefault="00B55910" w:rsidP="00B55910">
      <w:pPr>
        <w:jc w:val="both"/>
        <w:rPr>
          <w:rFonts w:eastAsia="Calibri"/>
          <w:i/>
          <w:sz w:val="20"/>
          <w:lang w:val="es-AR"/>
        </w:rPr>
      </w:pPr>
    </w:p>
    <w:p w14:paraId="165CABCA" w14:textId="77777777" w:rsidR="00A32234" w:rsidRPr="00900401" w:rsidRDefault="00A32234" w:rsidP="00A32234">
      <w:pPr>
        <w:jc w:val="both"/>
        <w:rPr>
          <w:rFonts w:eastAsia="Calibri"/>
          <w:i/>
          <w:sz w:val="20"/>
          <w:szCs w:val="20"/>
          <w:lang w:val="es-AR"/>
        </w:rPr>
      </w:pPr>
      <w:r w:rsidRPr="00900401">
        <w:rPr>
          <w:rFonts w:eastAsia="Calibri"/>
          <w:i/>
          <w:sz w:val="20"/>
          <w:szCs w:val="20"/>
          <w:lang w:val="es-AR"/>
        </w:rPr>
        <w:t xml:space="preserve">Un reajuste en las tarifas de los servicios públicos podría afectar adversamente la tasa de inflación y, por lo tanto, la economía argentina y la situación económica </w:t>
      </w:r>
      <w:r w:rsidRPr="00900401">
        <w:rPr>
          <w:rFonts w:eastAsia="Calibri"/>
          <w:bCs/>
          <w:i/>
          <w:sz w:val="20"/>
          <w:szCs w:val="20"/>
          <w:lang w:val="es-AR"/>
        </w:rPr>
        <w:t>de la Emisora</w:t>
      </w:r>
      <w:r w:rsidRPr="00900401">
        <w:rPr>
          <w:rFonts w:eastAsia="Calibri"/>
          <w:i/>
          <w:sz w:val="20"/>
          <w:szCs w:val="20"/>
          <w:lang w:val="es-AR"/>
        </w:rPr>
        <w:t>.</w:t>
      </w:r>
    </w:p>
    <w:p w14:paraId="7C370EDD" w14:textId="77777777" w:rsidR="00A32234" w:rsidRPr="00900401" w:rsidRDefault="00A32234" w:rsidP="00A32234">
      <w:pPr>
        <w:jc w:val="both"/>
        <w:rPr>
          <w:rFonts w:eastAsia="Calibri"/>
          <w:iCs/>
          <w:sz w:val="20"/>
          <w:szCs w:val="20"/>
          <w:lang w:val="es-AR"/>
        </w:rPr>
      </w:pPr>
    </w:p>
    <w:p w14:paraId="6742341C" w14:textId="77777777" w:rsidR="00A32234" w:rsidRPr="00900401" w:rsidRDefault="00A32234" w:rsidP="00A32234">
      <w:pPr>
        <w:jc w:val="both"/>
        <w:rPr>
          <w:rFonts w:eastAsia="Calibri"/>
          <w:iCs/>
          <w:sz w:val="20"/>
          <w:szCs w:val="20"/>
          <w:lang w:val="es-AR"/>
        </w:rPr>
      </w:pPr>
      <w:r w:rsidRPr="00900401">
        <w:rPr>
          <w:rFonts w:eastAsia="Calibri"/>
          <w:iCs/>
          <w:sz w:val="20"/>
          <w:szCs w:val="20"/>
          <w:lang w:val="es-AR"/>
        </w:rPr>
        <w:t>El sector de los servicios públicos ha experimentado una fuerte suba en sus precios debido al recorte de subsidios implementados por el Gobierno Nacional. Si bien el aumento de tarifas ha sido limitado y condicionado en el pasado por la Corte Suprema de Justicia de la Nación, el mismo podría impactar adversamente en los niveles inflacionarios.</w:t>
      </w:r>
    </w:p>
    <w:p w14:paraId="71D611E0" w14:textId="77777777" w:rsidR="00A32234" w:rsidRPr="00096E98" w:rsidRDefault="00A32234" w:rsidP="00A32234">
      <w:pPr>
        <w:jc w:val="both"/>
        <w:rPr>
          <w:rFonts w:eastAsia="Calibri"/>
          <w:iCs/>
          <w:sz w:val="20"/>
          <w:szCs w:val="20"/>
          <w:lang w:val="es-AR"/>
        </w:rPr>
      </w:pPr>
    </w:p>
    <w:p w14:paraId="3C78BA4F" w14:textId="77777777" w:rsidR="00A32234" w:rsidRPr="00096E98" w:rsidRDefault="00A32234" w:rsidP="00A32234">
      <w:pPr>
        <w:jc w:val="both"/>
        <w:rPr>
          <w:sz w:val="20"/>
          <w:szCs w:val="20"/>
          <w:lang w:val="es-AR"/>
        </w:rPr>
      </w:pPr>
      <w:r w:rsidRPr="00096E98">
        <w:rPr>
          <w:sz w:val="20"/>
          <w:szCs w:val="20"/>
          <w:lang w:val="es-AR"/>
        </w:rPr>
        <w:t>Con la sanción de la Ley de Solidaridad Social y Reactivación Productiva N°27.541, se ha facultado al Poder Ejecutivo a iniciar un proceso de renegociación de la revisión tarifaria integral vigente, tendiente a reducir la carga tarifaria real para el año 2020. Consecuentemente con ello, el Poder Ejecutivo podrá intervenir administrativamente el Ente Nacional Regulador de la Electricidad (ENRE) y el Ente Nacional Regulador del Gas (ENARGAS) por el término de un año.</w:t>
      </w:r>
    </w:p>
    <w:p w14:paraId="0AB14029" w14:textId="77777777" w:rsidR="00B55910" w:rsidRPr="00804E1F" w:rsidRDefault="00B55910" w:rsidP="00B55910">
      <w:pPr>
        <w:jc w:val="both"/>
        <w:rPr>
          <w:rFonts w:eastAsia="Calibri"/>
          <w:iCs/>
          <w:sz w:val="20"/>
          <w:szCs w:val="20"/>
          <w:lang w:val="es-AR"/>
        </w:rPr>
      </w:pPr>
    </w:p>
    <w:p w14:paraId="4CF712AD" w14:textId="77777777" w:rsidR="00B55910" w:rsidRPr="00D86D66" w:rsidRDefault="00B55910" w:rsidP="00B55910">
      <w:pPr>
        <w:jc w:val="both"/>
        <w:rPr>
          <w:rFonts w:eastAsia="Calibri"/>
          <w:i/>
          <w:sz w:val="20"/>
          <w:szCs w:val="20"/>
          <w:lang w:val="es-AR"/>
        </w:rPr>
      </w:pPr>
      <w:r w:rsidRPr="00D86D66">
        <w:rPr>
          <w:rFonts w:eastAsia="Calibri"/>
          <w:i/>
          <w:sz w:val="20"/>
          <w:szCs w:val="20"/>
          <w:lang w:val="es-AR"/>
        </w:rPr>
        <w:t>La capacidad de Argentina de obtener financiamiento y de atraer inversiones extranjeras directas ha sido limitada por lo que el mantenimiento de dicha condición podría tener un efecto desfavorable sobre la economía y el desarrollo financiero de la Emisora.</w:t>
      </w:r>
    </w:p>
    <w:p w14:paraId="3D945003" w14:textId="77777777" w:rsidR="00B55910" w:rsidRPr="00804E1F" w:rsidRDefault="00B55910" w:rsidP="00B55910">
      <w:pPr>
        <w:jc w:val="both"/>
        <w:rPr>
          <w:rFonts w:eastAsia="Calibri"/>
          <w:iCs/>
          <w:sz w:val="20"/>
          <w:szCs w:val="20"/>
          <w:lang w:val="es-AR"/>
        </w:rPr>
      </w:pPr>
    </w:p>
    <w:p w14:paraId="7DCE62C5"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 xml:space="preserve">En el pasado la Argentina ha tenido un acceso limitado al financiamiento externo, fundamentalmente por haber entrado en default en diciembre de 2001 con tenedores de bonos del exterior y con instituciones financieras multilaterales, entre otras. </w:t>
      </w:r>
    </w:p>
    <w:p w14:paraId="71B01E0B" w14:textId="77777777" w:rsidR="00B55910" w:rsidRPr="00804E1F" w:rsidRDefault="00B55910" w:rsidP="00B55910">
      <w:pPr>
        <w:jc w:val="both"/>
        <w:rPr>
          <w:rFonts w:eastAsia="Calibri"/>
          <w:iCs/>
          <w:sz w:val="20"/>
          <w:szCs w:val="20"/>
          <w:lang w:val="es-AR"/>
        </w:rPr>
      </w:pPr>
    </w:p>
    <w:p w14:paraId="13C057BE" w14:textId="12F0A325" w:rsidR="00B55910" w:rsidRPr="00804E1F" w:rsidRDefault="00B55910" w:rsidP="00F72F31">
      <w:pPr>
        <w:jc w:val="both"/>
        <w:rPr>
          <w:rFonts w:eastAsia="Calibri"/>
          <w:iCs/>
          <w:sz w:val="20"/>
          <w:szCs w:val="20"/>
          <w:lang w:val="es-AR"/>
        </w:rPr>
      </w:pPr>
      <w:r w:rsidRPr="00804E1F">
        <w:rPr>
          <w:rFonts w:eastAsia="Calibri"/>
          <w:iCs/>
          <w:sz w:val="20"/>
          <w:szCs w:val="20"/>
          <w:lang w:val="es-AR"/>
        </w:rPr>
        <w:t xml:space="preserve">No obstante, </w:t>
      </w:r>
      <w:bookmarkStart w:id="3" w:name="_Hlk9507602"/>
      <w:r w:rsidRPr="00804E1F">
        <w:rPr>
          <w:rFonts w:eastAsia="Calibri"/>
          <w:iCs/>
          <w:sz w:val="20"/>
          <w:szCs w:val="20"/>
          <w:lang w:val="es-AR"/>
        </w:rPr>
        <w:t>en mayo de 2018, se retomaron las negociaciones con el FMI con la intención de solicitar a ese Fondo un “Acuerdo Stand-By” por un monto de US$50.000 millones a lo largo de 36 meses</w:t>
      </w:r>
      <w:r w:rsidR="007975EE">
        <w:rPr>
          <w:rFonts w:eastAsia="Calibri"/>
          <w:iCs/>
          <w:sz w:val="20"/>
          <w:szCs w:val="20"/>
          <w:lang w:val="es-AR"/>
        </w:rPr>
        <w:t xml:space="preserve"> estableciéndose</w:t>
      </w:r>
      <w:r w:rsidRPr="00804E1F">
        <w:rPr>
          <w:rFonts w:eastAsia="Calibri"/>
          <w:iCs/>
          <w:sz w:val="20"/>
          <w:szCs w:val="20"/>
          <w:lang w:val="es-AR"/>
        </w:rPr>
        <w:t xml:space="preserve"> objetivos específicos que el Gobierno Nacional se compromet</w:t>
      </w:r>
      <w:r w:rsidR="007975EE">
        <w:rPr>
          <w:rFonts w:eastAsia="Calibri"/>
          <w:iCs/>
          <w:sz w:val="20"/>
          <w:szCs w:val="20"/>
          <w:lang w:val="es-AR"/>
        </w:rPr>
        <w:t>ía</w:t>
      </w:r>
      <w:r w:rsidRPr="00804E1F">
        <w:rPr>
          <w:rFonts w:eastAsia="Calibri"/>
          <w:iCs/>
          <w:sz w:val="20"/>
          <w:szCs w:val="20"/>
          <w:lang w:val="es-AR"/>
        </w:rPr>
        <w:t xml:space="preserve"> a alcanzar en el marco de</w:t>
      </w:r>
      <w:r w:rsidR="007975EE">
        <w:rPr>
          <w:rFonts w:eastAsia="Calibri"/>
          <w:iCs/>
          <w:sz w:val="20"/>
          <w:szCs w:val="20"/>
          <w:lang w:val="es-AR"/>
        </w:rPr>
        <w:t xml:space="preserve"> </w:t>
      </w:r>
      <w:r w:rsidRPr="00804E1F">
        <w:rPr>
          <w:rFonts w:eastAsia="Calibri"/>
          <w:iCs/>
          <w:sz w:val="20"/>
          <w:szCs w:val="20"/>
          <w:lang w:val="es-AR"/>
        </w:rPr>
        <w:t>l</w:t>
      </w:r>
      <w:r w:rsidR="007975EE">
        <w:rPr>
          <w:rFonts w:eastAsia="Calibri"/>
          <w:iCs/>
          <w:sz w:val="20"/>
          <w:szCs w:val="20"/>
          <w:lang w:val="es-AR"/>
        </w:rPr>
        <w:t>o</w:t>
      </w:r>
      <w:r w:rsidRPr="00804E1F">
        <w:rPr>
          <w:rFonts w:eastAsia="Calibri"/>
          <w:iCs/>
          <w:sz w:val="20"/>
          <w:szCs w:val="20"/>
          <w:lang w:val="es-AR"/>
        </w:rPr>
        <w:t xml:space="preserve"> </w:t>
      </w:r>
      <w:r w:rsidR="007975EE">
        <w:rPr>
          <w:rFonts w:eastAsia="Calibri"/>
          <w:iCs/>
          <w:sz w:val="20"/>
          <w:szCs w:val="20"/>
          <w:lang w:val="es-AR"/>
        </w:rPr>
        <w:t>acordado</w:t>
      </w:r>
      <w:r w:rsidR="007975EE" w:rsidRPr="00804E1F">
        <w:rPr>
          <w:rFonts w:eastAsia="Calibri"/>
          <w:iCs/>
          <w:sz w:val="20"/>
          <w:szCs w:val="20"/>
          <w:lang w:val="es-AR"/>
        </w:rPr>
        <w:t xml:space="preserve"> </w:t>
      </w:r>
      <w:r w:rsidRPr="00804E1F">
        <w:rPr>
          <w:rFonts w:eastAsia="Calibri"/>
          <w:iCs/>
          <w:sz w:val="20"/>
          <w:szCs w:val="20"/>
          <w:lang w:val="es-AR"/>
        </w:rPr>
        <w:t xml:space="preserve">con el FMI, tratando cuestiones tales como política fiscal, monetaria, financiera, controles de tipo de cambio, obra pública, empleo, etc. </w:t>
      </w:r>
      <w:r w:rsidR="007975EE">
        <w:rPr>
          <w:rFonts w:eastAsia="Calibri"/>
          <w:iCs/>
          <w:sz w:val="20"/>
          <w:szCs w:val="20"/>
          <w:lang w:val="es-AR"/>
        </w:rPr>
        <w:t>En septiembre</w:t>
      </w:r>
      <w:r w:rsidRPr="00804E1F">
        <w:rPr>
          <w:rFonts w:eastAsia="Calibri"/>
          <w:iCs/>
          <w:sz w:val="20"/>
          <w:szCs w:val="20"/>
          <w:lang w:val="es-AR"/>
        </w:rPr>
        <w:t xml:space="preserve"> de 2018, el entonces Ministro de Hacienda en conjunto con la titular del FMI, anunciaron un nuevo acuerdo, elevando el préstamo original en US$7,1 mil millones y un adelantamiento en el cronograma de desembolso de las cuotas</w:t>
      </w:r>
      <w:r w:rsidR="007975EE">
        <w:rPr>
          <w:rFonts w:eastAsia="Calibri"/>
          <w:iCs/>
          <w:sz w:val="20"/>
          <w:szCs w:val="20"/>
          <w:lang w:val="es-AR"/>
        </w:rPr>
        <w:t>, bajo ciertas condiciones adicionales.</w:t>
      </w:r>
      <w:bookmarkEnd w:id="3"/>
      <w:r w:rsidR="007975EE">
        <w:rPr>
          <w:rFonts w:eastAsia="Calibri"/>
          <w:iCs/>
          <w:sz w:val="20"/>
          <w:szCs w:val="20"/>
          <w:lang w:val="es-AR"/>
        </w:rPr>
        <w:t xml:space="preserve"> </w:t>
      </w:r>
      <w:r w:rsidRPr="00804E1F">
        <w:rPr>
          <w:rFonts w:eastAsia="Calibri"/>
          <w:iCs/>
          <w:sz w:val="20"/>
          <w:szCs w:val="20"/>
          <w:lang w:val="es-AR"/>
        </w:rPr>
        <w:t>Tras las elecciones primarias abiertas, simultáneas y obligatorias (las “</w:t>
      </w:r>
      <w:r w:rsidRPr="00804E1F">
        <w:rPr>
          <w:rFonts w:eastAsia="Calibri"/>
          <w:iCs/>
          <w:sz w:val="20"/>
          <w:szCs w:val="20"/>
          <w:u w:val="single"/>
          <w:lang w:val="es-AR"/>
        </w:rPr>
        <w:t>PASO</w:t>
      </w:r>
      <w:r w:rsidRPr="00804E1F">
        <w:rPr>
          <w:rFonts w:eastAsia="Calibri"/>
          <w:iCs/>
          <w:sz w:val="20"/>
          <w:szCs w:val="20"/>
          <w:lang w:val="es-AR"/>
        </w:rPr>
        <w:t xml:space="preserve">”), </w:t>
      </w:r>
      <w:r w:rsidR="00E746E6">
        <w:rPr>
          <w:rFonts w:eastAsia="Calibri"/>
          <w:iCs/>
          <w:sz w:val="20"/>
          <w:szCs w:val="20"/>
          <w:lang w:val="es-AR"/>
        </w:rPr>
        <w:t xml:space="preserve">uno de los desembolsos bajo </w:t>
      </w:r>
      <w:r w:rsidRPr="00804E1F">
        <w:rPr>
          <w:rFonts w:eastAsia="Calibri"/>
          <w:iCs/>
          <w:sz w:val="20"/>
          <w:szCs w:val="20"/>
          <w:lang w:val="es-AR"/>
        </w:rPr>
        <w:t xml:space="preserve">el Acuerdo Stand-By, fue puesto en suspenso a causa de la inestabilidad </w:t>
      </w:r>
      <w:r w:rsidR="00E746E6">
        <w:rPr>
          <w:rFonts w:eastAsia="Calibri"/>
          <w:iCs/>
          <w:sz w:val="20"/>
          <w:szCs w:val="20"/>
          <w:lang w:val="es-AR"/>
        </w:rPr>
        <w:t>política y económica tras las PASO</w:t>
      </w:r>
      <w:r w:rsidRPr="00804E1F">
        <w:rPr>
          <w:rFonts w:eastAsia="Calibri"/>
          <w:iCs/>
          <w:sz w:val="20"/>
          <w:szCs w:val="20"/>
          <w:lang w:val="es-AR"/>
        </w:rPr>
        <w:t>.</w:t>
      </w:r>
      <w:r w:rsidR="00E746E6">
        <w:rPr>
          <w:rFonts w:eastAsia="Calibri"/>
          <w:iCs/>
          <w:sz w:val="20"/>
          <w:szCs w:val="20"/>
          <w:lang w:val="es-AR"/>
        </w:rPr>
        <w:t xml:space="preserve"> A la fecha del presente no ha habido una definición ni una renegociación del Acuerdo Stand-By. </w:t>
      </w:r>
    </w:p>
    <w:p w14:paraId="54F2C64D" w14:textId="77777777" w:rsidR="00B55910" w:rsidRPr="00804E1F" w:rsidRDefault="00B55910" w:rsidP="00B55910">
      <w:pPr>
        <w:jc w:val="both"/>
        <w:rPr>
          <w:rFonts w:eastAsia="Calibri"/>
          <w:iCs/>
          <w:sz w:val="20"/>
          <w:szCs w:val="20"/>
          <w:lang w:val="es-AR"/>
        </w:rPr>
      </w:pPr>
    </w:p>
    <w:p w14:paraId="00AE4D3F"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Si la Argentina siguiese deteriorando su capacidad para acceder en forma fluida al mercado de capitales internacional, atraer inversiones extranjeras directas u obtener financiamiento externo, existe el riesgo de que el país no pueda reiniciar el ciclo de inversión y lograr tasas de crecimiento económico. La condición fiscal del país podría sufrir un mayor impacto, generando aún más inflación, y socavando aún más la capacidad del Gobierno Nacional de implementar políticas económicas diseñadas para promover el crecimiento.</w:t>
      </w:r>
    </w:p>
    <w:p w14:paraId="64821DDB" w14:textId="77777777" w:rsidR="00B55910" w:rsidRPr="00804E1F" w:rsidRDefault="00B55910" w:rsidP="00B55910">
      <w:pPr>
        <w:jc w:val="both"/>
        <w:rPr>
          <w:rFonts w:eastAsia="Calibri"/>
          <w:iCs/>
          <w:sz w:val="20"/>
          <w:szCs w:val="20"/>
          <w:lang w:val="es-AR"/>
        </w:rPr>
      </w:pPr>
    </w:p>
    <w:p w14:paraId="6EC043C1" w14:textId="77777777" w:rsidR="00B55910" w:rsidRPr="009D3F74" w:rsidRDefault="00B55910" w:rsidP="00B55910">
      <w:pPr>
        <w:jc w:val="both"/>
        <w:rPr>
          <w:rFonts w:eastAsia="Calibri"/>
          <w:i/>
          <w:sz w:val="20"/>
          <w:szCs w:val="20"/>
          <w:lang w:val="es-AR"/>
        </w:rPr>
      </w:pPr>
      <w:r w:rsidRPr="009D3F74">
        <w:rPr>
          <w:rFonts w:eastAsia="Calibri"/>
          <w:i/>
          <w:sz w:val="20"/>
          <w:szCs w:val="20"/>
          <w:lang w:val="es-AR"/>
        </w:rPr>
        <w:t xml:space="preserve">Un descenso en los precios internacionales de los commodities exportados por Argentina y una apreciación real adicional del Peso respecto del Dólar podría perjudicar la situación económica, crear nuevas presiones sobre el mercado cambiario y tener un efecto sustancialmente adverso sobre las perspectivas de la Emisora. </w:t>
      </w:r>
    </w:p>
    <w:p w14:paraId="60F44437" w14:textId="77777777" w:rsidR="00B55910" w:rsidRPr="00804E1F" w:rsidRDefault="00B55910" w:rsidP="00B55910">
      <w:pPr>
        <w:jc w:val="both"/>
        <w:rPr>
          <w:rFonts w:eastAsia="Calibri"/>
          <w:iCs/>
          <w:sz w:val="20"/>
          <w:szCs w:val="20"/>
          <w:lang w:val="es-AR"/>
        </w:rPr>
      </w:pPr>
    </w:p>
    <w:p w14:paraId="15E9CAA0"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La importancia que tiene la exportación de determinados commodities, tales como la soja, para la economía argentina, hacen al país más vulnerable a las variaciones de precios de los mismos. Una significativa apreciación real del Peso podría reducir la competitividad de Argentina, afectando de forma significativa las exportaciones del país lo que a su vez podría crear nuevas presiones recesivas en su economía y por consiguiente una nueva situación de desequilibrio en el mercado cambiario que podría derivar en una elevada volatilidad del tipo de cambio. Más importante, en el corto plazo, una significativa apreciación del tipo de cambio real podría reducir significativamente los ingresos tributarios del sector público argentino en términos reales, dada la fuerte dependencia de los ingresos tributarios de los impuestos a las exportaciones (retenciones).</w:t>
      </w:r>
    </w:p>
    <w:p w14:paraId="450F0B08" w14:textId="77777777" w:rsidR="00B55910" w:rsidRPr="00804E1F" w:rsidRDefault="00B55910" w:rsidP="00B55910">
      <w:pPr>
        <w:jc w:val="both"/>
        <w:rPr>
          <w:rFonts w:eastAsia="Calibri"/>
          <w:iCs/>
          <w:sz w:val="20"/>
          <w:szCs w:val="20"/>
          <w:lang w:val="es-AR"/>
        </w:rPr>
      </w:pPr>
    </w:p>
    <w:p w14:paraId="0C4B4376" w14:textId="77777777" w:rsidR="00B55910" w:rsidRPr="009D3F74" w:rsidRDefault="00B55910" w:rsidP="00B55910">
      <w:pPr>
        <w:jc w:val="both"/>
        <w:rPr>
          <w:rFonts w:eastAsia="Calibri"/>
          <w:i/>
          <w:sz w:val="20"/>
          <w:szCs w:val="20"/>
          <w:lang w:val="es-AR"/>
        </w:rPr>
      </w:pPr>
      <w:r w:rsidRPr="009D3F74">
        <w:rPr>
          <w:rFonts w:eastAsia="Calibri"/>
          <w:i/>
          <w:sz w:val="20"/>
          <w:szCs w:val="20"/>
          <w:lang w:val="es-AR"/>
        </w:rPr>
        <w:t xml:space="preserve">Cierta volatilidad en el marco regulatorio podría tener un efecto adverso en la economía del país en general, y en la posición financiera de la Emisora en particular. </w:t>
      </w:r>
    </w:p>
    <w:p w14:paraId="3E67BD3D" w14:textId="77777777" w:rsidR="00B55910" w:rsidRPr="00804E1F" w:rsidRDefault="00B55910" w:rsidP="00B55910">
      <w:pPr>
        <w:jc w:val="both"/>
        <w:rPr>
          <w:rFonts w:eastAsia="Calibri"/>
          <w:iCs/>
          <w:sz w:val="20"/>
          <w:szCs w:val="20"/>
          <w:lang w:val="es-AR"/>
        </w:rPr>
      </w:pPr>
    </w:p>
    <w:p w14:paraId="2CD3AFEB"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Potenciales pujas distributivas sectoriales y/o la judicialización podrían inhibir la implementación por parte del Gobierno de políticas diseñadas para generar crecimiento y alentar la confianza del consumidor y los inversores. No puede asegurarse que las normas que eventualmente se dicten en el futuro por las autoridades argentinas, no afecten de forma adversa los activos, ingresos y los resultados operativos de compañías del sector privado, incluyendo a la Emisora, los derechos de los tenedores de títulos valores emitidos por dichas entidades, o el valor de dichos títulos valores, incluyendo, sin limitación, a las Obligaciones Negociables.</w:t>
      </w:r>
    </w:p>
    <w:p w14:paraId="479DA27A" w14:textId="77777777" w:rsidR="009F3577" w:rsidRPr="009D3F74" w:rsidRDefault="009F3577" w:rsidP="009F3577">
      <w:pPr>
        <w:jc w:val="both"/>
        <w:rPr>
          <w:rFonts w:eastAsia="Calibri"/>
          <w:i/>
          <w:sz w:val="20"/>
          <w:szCs w:val="20"/>
          <w:lang w:val="es-AR"/>
        </w:rPr>
      </w:pPr>
    </w:p>
    <w:p w14:paraId="056EFEDC" w14:textId="4A14B115" w:rsidR="009F3577" w:rsidRPr="009D3F74" w:rsidRDefault="009F3577" w:rsidP="009F3577">
      <w:pPr>
        <w:jc w:val="both"/>
        <w:rPr>
          <w:rFonts w:eastAsia="Calibri"/>
          <w:bCs/>
          <w:i/>
          <w:sz w:val="20"/>
          <w:szCs w:val="20"/>
          <w:lang w:val="es-AR"/>
        </w:rPr>
      </w:pPr>
      <w:r w:rsidRPr="009D3F74">
        <w:rPr>
          <w:rFonts w:eastAsia="Calibri"/>
          <w:bCs/>
          <w:i/>
          <w:sz w:val="20"/>
          <w:szCs w:val="20"/>
          <w:lang w:val="es-AR"/>
        </w:rPr>
        <w:t xml:space="preserve">Las fluctuaciones en el valor del Peso podrían afectar en forma adversa la economía argentina y la situación </w:t>
      </w:r>
      <w:r w:rsidRPr="009D3F74">
        <w:rPr>
          <w:rFonts w:eastAsia="Calibri"/>
          <w:i/>
          <w:sz w:val="20"/>
          <w:szCs w:val="20"/>
          <w:lang w:val="es-AR"/>
        </w:rPr>
        <w:t xml:space="preserve">financiera </w:t>
      </w:r>
      <w:r w:rsidRPr="009D3F74">
        <w:rPr>
          <w:rFonts w:eastAsia="Calibri"/>
          <w:bCs/>
          <w:i/>
          <w:sz w:val="20"/>
          <w:szCs w:val="20"/>
          <w:lang w:val="es-AR"/>
        </w:rPr>
        <w:t>de la Compañía</w:t>
      </w:r>
    </w:p>
    <w:p w14:paraId="0E33FDEA" w14:textId="77777777" w:rsidR="009F3577" w:rsidRPr="00804E1F" w:rsidRDefault="009F3577" w:rsidP="009F3577">
      <w:pPr>
        <w:jc w:val="both"/>
        <w:rPr>
          <w:rFonts w:eastAsia="Calibri"/>
          <w:bCs/>
          <w:iCs/>
          <w:sz w:val="20"/>
          <w:szCs w:val="20"/>
          <w:lang w:val="es-AR"/>
        </w:rPr>
      </w:pPr>
    </w:p>
    <w:p w14:paraId="3B158B3F" w14:textId="60D5B616" w:rsidR="009F3577" w:rsidRPr="00804E1F" w:rsidRDefault="009F3577" w:rsidP="009F3577">
      <w:pPr>
        <w:jc w:val="both"/>
        <w:rPr>
          <w:rFonts w:eastAsia="Calibri"/>
          <w:iCs/>
          <w:sz w:val="20"/>
          <w:szCs w:val="20"/>
          <w:lang w:val="es-ES"/>
        </w:rPr>
      </w:pPr>
      <w:r w:rsidRPr="00804E1F">
        <w:rPr>
          <w:rFonts w:eastAsia="Calibri"/>
          <w:bCs/>
          <w:iCs/>
          <w:sz w:val="20"/>
          <w:szCs w:val="20"/>
          <w:lang w:val="es-AR"/>
        </w:rPr>
        <w:t>La</w:t>
      </w:r>
      <w:r w:rsidRPr="00804E1F">
        <w:rPr>
          <w:rFonts w:eastAsia="Calibri"/>
          <w:iCs/>
          <w:sz w:val="20"/>
          <w:szCs w:val="20"/>
          <w:lang w:val="es-AR"/>
        </w:rPr>
        <w:t xml:space="preserve"> devaluación del Peso p</w:t>
      </w:r>
      <w:r w:rsidR="001E5B83">
        <w:rPr>
          <w:rFonts w:eastAsia="Calibri"/>
          <w:iCs/>
          <w:sz w:val="20"/>
          <w:szCs w:val="20"/>
          <w:lang w:val="es-AR"/>
        </w:rPr>
        <w:t>odría</w:t>
      </w:r>
      <w:r w:rsidRPr="00804E1F">
        <w:rPr>
          <w:rFonts w:eastAsia="Calibri"/>
          <w:iCs/>
          <w:sz w:val="20"/>
          <w:szCs w:val="20"/>
          <w:lang w:val="es-AR"/>
        </w:rPr>
        <w:t xml:space="preserve"> tener un impacto negativo sobre la capacidad de pag</w:t>
      </w:r>
      <w:r w:rsidR="001E5B83">
        <w:rPr>
          <w:rFonts w:eastAsia="Calibri"/>
          <w:iCs/>
          <w:sz w:val="20"/>
          <w:szCs w:val="20"/>
          <w:lang w:val="es-AR"/>
        </w:rPr>
        <w:t>o</w:t>
      </w:r>
      <w:r w:rsidRPr="00804E1F">
        <w:rPr>
          <w:rFonts w:eastAsia="Calibri"/>
          <w:iCs/>
          <w:sz w:val="20"/>
          <w:szCs w:val="20"/>
          <w:lang w:val="es-AR"/>
        </w:rPr>
        <w:t xml:space="preserve"> </w:t>
      </w:r>
      <w:r w:rsidR="001E5B83">
        <w:rPr>
          <w:rFonts w:eastAsia="Calibri"/>
          <w:iCs/>
          <w:sz w:val="20"/>
          <w:szCs w:val="20"/>
          <w:lang w:val="es-AR"/>
        </w:rPr>
        <w:t xml:space="preserve">de </w:t>
      </w:r>
      <w:r w:rsidRPr="00804E1F">
        <w:rPr>
          <w:rFonts w:eastAsia="Calibri"/>
          <w:iCs/>
          <w:sz w:val="20"/>
          <w:szCs w:val="20"/>
          <w:lang w:val="es-AR"/>
        </w:rPr>
        <w:t xml:space="preserve">deudas en moneda extranjera, </w:t>
      </w:r>
      <w:r w:rsidR="001E5B83">
        <w:rPr>
          <w:rFonts w:eastAsia="Calibri"/>
          <w:iCs/>
          <w:sz w:val="20"/>
          <w:szCs w:val="20"/>
          <w:lang w:val="es-AR"/>
        </w:rPr>
        <w:t xml:space="preserve">de </w:t>
      </w:r>
      <w:r w:rsidRPr="00804E1F">
        <w:rPr>
          <w:rFonts w:eastAsia="Calibri"/>
          <w:iCs/>
          <w:sz w:val="20"/>
          <w:szCs w:val="20"/>
          <w:lang w:val="es-AR"/>
        </w:rPr>
        <w:t xml:space="preserve">generar inflación, </w:t>
      </w:r>
      <w:r w:rsidR="001E5B83">
        <w:rPr>
          <w:rFonts w:eastAsia="Calibri"/>
          <w:iCs/>
          <w:sz w:val="20"/>
          <w:szCs w:val="20"/>
          <w:lang w:val="es-AR"/>
        </w:rPr>
        <w:t xml:space="preserve">de </w:t>
      </w:r>
      <w:r w:rsidRPr="00804E1F">
        <w:rPr>
          <w:rFonts w:eastAsia="Calibri"/>
          <w:iCs/>
          <w:sz w:val="20"/>
          <w:szCs w:val="20"/>
          <w:lang w:val="es-AR"/>
        </w:rPr>
        <w:t xml:space="preserve">reducir </w:t>
      </w:r>
      <w:r w:rsidR="001E5B83">
        <w:rPr>
          <w:rFonts w:eastAsia="Calibri"/>
          <w:iCs/>
          <w:sz w:val="20"/>
          <w:szCs w:val="20"/>
          <w:lang w:val="es-AR"/>
        </w:rPr>
        <w:t>el poder adquisitivo de</w:t>
      </w:r>
      <w:r w:rsidRPr="00804E1F">
        <w:rPr>
          <w:rFonts w:eastAsia="Calibri"/>
          <w:iCs/>
          <w:sz w:val="20"/>
          <w:szCs w:val="20"/>
          <w:lang w:val="es-AR"/>
        </w:rPr>
        <w:t xml:space="preserve"> los salarios</w:t>
      </w:r>
      <w:r w:rsidR="001E5B83">
        <w:rPr>
          <w:rFonts w:eastAsia="Calibri"/>
          <w:iCs/>
          <w:sz w:val="20"/>
          <w:szCs w:val="20"/>
          <w:lang w:val="es-AR"/>
        </w:rPr>
        <w:t xml:space="preserve">, para las empresas </w:t>
      </w:r>
      <w:r w:rsidRPr="00804E1F">
        <w:rPr>
          <w:rFonts w:eastAsia="Calibri"/>
          <w:iCs/>
          <w:sz w:val="20"/>
          <w:szCs w:val="20"/>
          <w:lang w:val="es-AR"/>
        </w:rPr>
        <w:t>cuya cartera de negocios depende, en parte, de la demanda del mercado interno</w:t>
      </w:r>
      <w:r w:rsidR="001E5B83">
        <w:rPr>
          <w:rFonts w:eastAsia="Calibri"/>
          <w:iCs/>
          <w:sz w:val="20"/>
          <w:szCs w:val="20"/>
          <w:lang w:val="es-AR"/>
        </w:rPr>
        <w:t>,</w:t>
      </w:r>
      <w:r w:rsidRPr="00804E1F">
        <w:rPr>
          <w:rFonts w:eastAsia="Calibri"/>
          <w:iCs/>
          <w:sz w:val="20"/>
          <w:szCs w:val="20"/>
          <w:lang w:val="es-AR"/>
        </w:rPr>
        <w:t xml:space="preserve"> y </w:t>
      </w:r>
      <w:r w:rsidR="001E5B83">
        <w:rPr>
          <w:rFonts w:eastAsia="Calibri"/>
          <w:iCs/>
          <w:sz w:val="20"/>
          <w:szCs w:val="20"/>
          <w:lang w:val="es-AR"/>
        </w:rPr>
        <w:t xml:space="preserve">podría </w:t>
      </w:r>
      <w:r w:rsidRPr="00804E1F">
        <w:rPr>
          <w:rFonts w:eastAsia="Calibri"/>
          <w:iCs/>
          <w:sz w:val="20"/>
          <w:szCs w:val="20"/>
          <w:lang w:val="es-AR"/>
        </w:rPr>
        <w:t>afecta</w:t>
      </w:r>
      <w:r w:rsidR="001E5B83">
        <w:rPr>
          <w:rFonts w:eastAsia="Calibri"/>
          <w:iCs/>
          <w:sz w:val="20"/>
          <w:szCs w:val="20"/>
          <w:lang w:val="es-AR"/>
        </w:rPr>
        <w:t>r</w:t>
      </w:r>
      <w:r w:rsidRPr="00804E1F">
        <w:rPr>
          <w:rFonts w:eastAsia="Calibri"/>
          <w:iCs/>
          <w:sz w:val="20"/>
          <w:szCs w:val="20"/>
          <w:lang w:val="es-AR"/>
        </w:rPr>
        <w:t xml:space="preserve"> adversamente la capacidad del Gobierno Nacional de pagar sus obligaciones de deuda externa. </w:t>
      </w:r>
      <w:r w:rsidRPr="00804E1F">
        <w:rPr>
          <w:rFonts w:eastAsia="Calibri"/>
          <w:iCs/>
          <w:sz w:val="20"/>
          <w:szCs w:val="20"/>
          <w:lang w:val="es-ES"/>
        </w:rPr>
        <w:t>Tal devaluación podría también afectar adversamente la capacidad del Gobierno para honrar su deuda externa y generar un aumento en la tasa de interés en Argentina, con consecuencias adversas para los negocios y la situación financiera de la Compañía.</w:t>
      </w:r>
    </w:p>
    <w:p w14:paraId="7BA0B220" w14:textId="77777777" w:rsidR="009F3577" w:rsidRPr="00F72F31" w:rsidRDefault="009F3577" w:rsidP="009F3577">
      <w:pPr>
        <w:jc w:val="both"/>
        <w:rPr>
          <w:rFonts w:eastAsia="Calibri"/>
          <w:iCs/>
          <w:sz w:val="20"/>
          <w:szCs w:val="20"/>
          <w:lang w:val="es-ES"/>
        </w:rPr>
      </w:pPr>
    </w:p>
    <w:p w14:paraId="44462EDF" w14:textId="77777777" w:rsidR="009F3577" w:rsidRPr="00804E1F" w:rsidRDefault="009F3577" w:rsidP="009F3577">
      <w:pPr>
        <w:jc w:val="both"/>
        <w:rPr>
          <w:rFonts w:eastAsia="Calibri"/>
          <w:iCs/>
          <w:sz w:val="20"/>
          <w:szCs w:val="20"/>
          <w:lang w:val="es-ES"/>
        </w:rPr>
      </w:pPr>
      <w:r w:rsidRPr="00804E1F">
        <w:rPr>
          <w:rFonts w:eastAsia="Calibri"/>
          <w:iCs/>
          <w:sz w:val="20"/>
          <w:szCs w:val="20"/>
          <w:lang w:val="es-AR"/>
        </w:rPr>
        <w:t xml:space="preserve">Una depreciación significativa del Peso podría, entre otras cuestiones, aumentar los egresos por servicios de la deuda denominada en Dólares de la Emisora. </w:t>
      </w:r>
      <w:r w:rsidRPr="00804E1F">
        <w:rPr>
          <w:rFonts w:eastAsia="Calibri"/>
          <w:iCs/>
          <w:sz w:val="20"/>
          <w:szCs w:val="20"/>
          <w:lang w:val="es-ES"/>
        </w:rPr>
        <w:t>Sin embargo, como se mencionó anteriormente, el mercado en el que opera la Emisora determina sus precios en Dólares, Por ende, en caso de una devaluación del Peso, los ingresos de la Emisora serían superiores, mientras que algunos de sus costos locales no sufrirían un aumento o éste podría ser menor al aumento de sus ingresos.</w:t>
      </w:r>
    </w:p>
    <w:p w14:paraId="17A2F475" w14:textId="01B74423" w:rsidR="009F3577" w:rsidRDefault="009D369D" w:rsidP="009F3577">
      <w:pPr>
        <w:jc w:val="both"/>
        <w:rPr>
          <w:rFonts w:eastAsia="Calibri"/>
          <w:iCs/>
          <w:sz w:val="20"/>
          <w:szCs w:val="20"/>
          <w:lang w:val="es-AR"/>
        </w:rPr>
      </w:pPr>
      <w:r>
        <w:rPr>
          <w:rFonts w:eastAsia="Calibri"/>
          <w:iCs/>
          <w:sz w:val="20"/>
          <w:szCs w:val="20"/>
          <w:lang w:val="es-AR"/>
        </w:rPr>
        <w:br/>
      </w:r>
      <w:r w:rsidR="009F3577">
        <w:rPr>
          <w:rFonts w:eastAsia="Calibri"/>
          <w:iCs/>
          <w:sz w:val="20"/>
          <w:szCs w:val="20"/>
          <w:lang w:val="es-AR"/>
        </w:rPr>
        <w:t>No obstante, t</w:t>
      </w:r>
      <w:r w:rsidR="009F3577" w:rsidRPr="00804E1F">
        <w:rPr>
          <w:rFonts w:eastAsia="Calibri"/>
          <w:iCs/>
          <w:sz w:val="20"/>
          <w:szCs w:val="20"/>
          <w:lang w:val="es-AR"/>
        </w:rPr>
        <w:t xml:space="preserve">anto una depreciación como una apreciación significativa podrían tener un </w:t>
      </w:r>
      <w:r w:rsidR="0062035D">
        <w:rPr>
          <w:rFonts w:eastAsia="Calibri"/>
          <w:iCs/>
          <w:sz w:val="20"/>
          <w:szCs w:val="20"/>
          <w:lang w:val="es-AR"/>
        </w:rPr>
        <w:t>fuerte impacto</w:t>
      </w:r>
      <w:r w:rsidR="009F3577" w:rsidRPr="00804E1F">
        <w:rPr>
          <w:rFonts w:eastAsia="Calibri"/>
          <w:iCs/>
          <w:sz w:val="20"/>
          <w:szCs w:val="20"/>
          <w:lang w:val="es-AR"/>
        </w:rPr>
        <w:t xml:space="preserve"> en la economía argentina y en la posición financiera de la Emisora, su negocio y su capacidad de repagar sus deudas, incluyendo el repago de las Obligaciones Negociables.</w:t>
      </w:r>
    </w:p>
    <w:p w14:paraId="6188EB98" w14:textId="6B8FAFD0" w:rsidR="009F3577" w:rsidRDefault="009F3577" w:rsidP="009F3577">
      <w:pPr>
        <w:jc w:val="both"/>
        <w:rPr>
          <w:rFonts w:eastAsia="Calibri"/>
          <w:iCs/>
          <w:sz w:val="20"/>
          <w:szCs w:val="20"/>
          <w:lang w:val="es-AR"/>
        </w:rPr>
      </w:pPr>
    </w:p>
    <w:p w14:paraId="761C9375" w14:textId="4ACA037D" w:rsidR="00B55910" w:rsidRPr="009D3F74" w:rsidRDefault="00B55910" w:rsidP="00B55910">
      <w:pPr>
        <w:jc w:val="both"/>
        <w:rPr>
          <w:rFonts w:eastAsia="Calibri"/>
          <w:i/>
          <w:sz w:val="20"/>
          <w:szCs w:val="20"/>
          <w:lang w:val="es-AR"/>
        </w:rPr>
      </w:pPr>
      <w:r w:rsidRPr="009D3F74">
        <w:rPr>
          <w:rFonts w:eastAsia="Calibri"/>
          <w:i/>
          <w:sz w:val="20"/>
          <w:szCs w:val="20"/>
          <w:lang w:val="es-AR"/>
        </w:rPr>
        <w:t xml:space="preserve">Con el fin de atenuar la volatibilidad cambiaria y disminuir su efecto adverso en la actividad económica de Argentina, el Gobierno Argentino en conjunto con el Banco Central, </w:t>
      </w:r>
      <w:r w:rsidR="003E29C8">
        <w:rPr>
          <w:rFonts w:eastAsia="Calibri"/>
          <w:i/>
          <w:sz w:val="20"/>
          <w:szCs w:val="20"/>
          <w:lang w:val="es-AR"/>
        </w:rPr>
        <w:t>podría adoptar</w:t>
      </w:r>
      <w:r w:rsidR="003E29C8" w:rsidRPr="009D3F74">
        <w:rPr>
          <w:rFonts w:eastAsia="Calibri"/>
          <w:i/>
          <w:sz w:val="20"/>
          <w:szCs w:val="20"/>
          <w:lang w:val="es-AR"/>
        </w:rPr>
        <w:t xml:space="preserve"> </w:t>
      </w:r>
      <w:r w:rsidRPr="009D3F74">
        <w:rPr>
          <w:rFonts w:eastAsia="Calibri"/>
          <w:i/>
          <w:sz w:val="20"/>
          <w:szCs w:val="20"/>
          <w:lang w:val="es-AR"/>
        </w:rPr>
        <w:t xml:space="preserve">nuevas medidas de control sobre el mercado de cambios. </w:t>
      </w:r>
    </w:p>
    <w:p w14:paraId="4151D34F" w14:textId="77777777" w:rsidR="00B55910" w:rsidRPr="00804E1F" w:rsidRDefault="00B55910" w:rsidP="00B55910">
      <w:pPr>
        <w:jc w:val="both"/>
        <w:rPr>
          <w:rFonts w:eastAsia="Calibri"/>
          <w:iCs/>
          <w:sz w:val="20"/>
          <w:szCs w:val="20"/>
          <w:lang w:val="es-AR"/>
        </w:rPr>
      </w:pPr>
    </w:p>
    <w:p w14:paraId="7B245570" w14:textId="3EB95473" w:rsidR="00B55910" w:rsidRPr="00804E1F" w:rsidRDefault="003E29C8" w:rsidP="00B55910">
      <w:pPr>
        <w:jc w:val="both"/>
        <w:rPr>
          <w:rFonts w:eastAsia="Calibri"/>
          <w:iCs/>
          <w:sz w:val="20"/>
          <w:szCs w:val="20"/>
          <w:lang w:val="es-AR"/>
        </w:rPr>
      </w:pPr>
      <w:r>
        <w:rPr>
          <w:rFonts w:eastAsia="Calibri"/>
          <w:iCs/>
          <w:sz w:val="20"/>
          <w:szCs w:val="20"/>
          <w:lang w:val="es-AR"/>
        </w:rPr>
        <w:t xml:space="preserve">El Gobierno Argentino en conjunto con el Banco Central podría adoptar nueva medidas adicionales a las vigentes a la fecha del presente Prospecto. </w:t>
      </w:r>
      <w:r w:rsidR="00B55910" w:rsidRPr="00804E1F">
        <w:rPr>
          <w:rFonts w:eastAsia="Calibri"/>
          <w:iCs/>
          <w:sz w:val="20"/>
          <w:szCs w:val="20"/>
          <w:lang w:val="es-AR"/>
        </w:rPr>
        <w:t>Es incierto el impacto que las nuevas medidas podrían tener en la economía argentina y en la situación de la Emisora. No puede asegurarse que las normas</w:t>
      </w:r>
      <w:r>
        <w:rPr>
          <w:rFonts w:eastAsia="Calibri"/>
          <w:iCs/>
          <w:sz w:val="20"/>
          <w:szCs w:val="20"/>
          <w:lang w:val="es-AR"/>
        </w:rPr>
        <w:t xml:space="preserve"> vigentes</w:t>
      </w:r>
      <w:r w:rsidR="00B55910" w:rsidRPr="00804E1F">
        <w:rPr>
          <w:rFonts w:eastAsia="Calibri"/>
          <w:iCs/>
          <w:sz w:val="20"/>
          <w:szCs w:val="20"/>
          <w:lang w:val="es-AR"/>
        </w:rPr>
        <w:t xml:space="preserve"> no serán modificadas, o que nuevas normas sean dictadas en el futuro que profundicen las limitaciones al ingreso y egreso de fondos al mercado local de cambios. Cualquiera de dichas medidas, como asimismo cualquier control y/o restricción adicional, podría afectar en forma adversa la capacidad de la Emisora para acceder a los mercados de capitales internacionales y podrían menoscabar su capacidad de efectuar los pagos de capital y/o intereses de sus obligaciones denominadas en moneda extranjera o transferir al exterior (total o parcialmente) fondos para realizar pagos de las Obligaciones Negociables (lo cual podría afectar la condición financiera y los resultados de las operaciones de la Emisora). Por lo tanto, los inversores no residentes o residentes argentinos con activos en el exterior que inviertan en las Obligaciones Negociables deberán tener particularmente en cuenta esta situación. Para mayores detalles sobre las presentes y otras medidas de control sobre el mercado de cambios, véase también la sección “Información Adicional - Controles de Cambios” del Capítulo X del Prospecto.</w:t>
      </w:r>
    </w:p>
    <w:p w14:paraId="4C409549" w14:textId="77777777" w:rsidR="00B55910" w:rsidRPr="00804E1F" w:rsidRDefault="00B55910" w:rsidP="00B55910">
      <w:pPr>
        <w:jc w:val="both"/>
        <w:rPr>
          <w:rFonts w:eastAsia="Calibri"/>
          <w:iCs/>
          <w:sz w:val="20"/>
          <w:szCs w:val="20"/>
          <w:lang w:val="es-AR"/>
        </w:rPr>
      </w:pPr>
    </w:p>
    <w:p w14:paraId="64ABFB9E" w14:textId="42F4AF8C" w:rsidR="00B55910" w:rsidRPr="009D3F74" w:rsidRDefault="00B55910" w:rsidP="00B55910">
      <w:pPr>
        <w:jc w:val="both"/>
        <w:rPr>
          <w:rFonts w:eastAsia="Calibri"/>
          <w:i/>
          <w:sz w:val="20"/>
          <w:szCs w:val="20"/>
          <w:lang w:val="es-AR"/>
        </w:rPr>
      </w:pPr>
      <w:r w:rsidRPr="009D3F74">
        <w:rPr>
          <w:rFonts w:eastAsia="Calibri"/>
          <w:i/>
          <w:sz w:val="20"/>
          <w:szCs w:val="20"/>
          <w:lang w:val="es-AR"/>
        </w:rPr>
        <w:t xml:space="preserve">En caso de que se emitan Obligaciones Negociables sometidas a jurisdicción de tribunales extranjeros, </w:t>
      </w:r>
      <w:r w:rsidR="003E29C8">
        <w:rPr>
          <w:rFonts w:eastAsia="Calibri"/>
          <w:i/>
          <w:sz w:val="20"/>
          <w:szCs w:val="20"/>
          <w:lang w:val="es-AR"/>
        </w:rPr>
        <w:t>podría</w:t>
      </w:r>
      <w:r w:rsidR="003E29C8" w:rsidRPr="009D3F74">
        <w:rPr>
          <w:rFonts w:eastAsia="Calibri"/>
          <w:i/>
          <w:sz w:val="20"/>
          <w:szCs w:val="20"/>
          <w:lang w:val="es-AR"/>
        </w:rPr>
        <w:t xml:space="preserve"> </w:t>
      </w:r>
      <w:r w:rsidRPr="009D3F74">
        <w:rPr>
          <w:rFonts w:eastAsia="Calibri"/>
          <w:i/>
          <w:sz w:val="20"/>
          <w:szCs w:val="20"/>
          <w:lang w:val="es-AR"/>
        </w:rPr>
        <w:t xml:space="preserve">suceder que no se puedan ejecutar con normalidad en Argentina los reclamos iniciados en el extranjero. </w:t>
      </w:r>
    </w:p>
    <w:p w14:paraId="34E0BE08" w14:textId="77777777" w:rsidR="00B55910" w:rsidRPr="00804E1F" w:rsidRDefault="00B55910" w:rsidP="00B55910">
      <w:pPr>
        <w:jc w:val="both"/>
        <w:rPr>
          <w:rFonts w:eastAsia="Calibri"/>
          <w:iCs/>
          <w:sz w:val="20"/>
          <w:szCs w:val="20"/>
          <w:lang w:val="es-AR"/>
        </w:rPr>
      </w:pPr>
    </w:p>
    <w:p w14:paraId="2CE70662" w14:textId="42F53E50" w:rsidR="00B55910" w:rsidRPr="00804E1F" w:rsidRDefault="00B55910" w:rsidP="00B55910">
      <w:pPr>
        <w:jc w:val="both"/>
        <w:rPr>
          <w:rFonts w:eastAsia="Calibri"/>
          <w:iCs/>
          <w:sz w:val="20"/>
          <w:szCs w:val="20"/>
          <w:lang w:val="es-AR"/>
        </w:rPr>
      </w:pPr>
      <w:r w:rsidRPr="00804E1F">
        <w:rPr>
          <w:rFonts w:eastAsia="Calibri"/>
          <w:iCs/>
          <w:sz w:val="20"/>
          <w:szCs w:val="20"/>
          <w:lang w:val="es-AR"/>
        </w:rPr>
        <w:t xml:space="preserve">Bajo la legislación argentina, se </w:t>
      </w:r>
      <w:r w:rsidR="003E29C8" w:rsidRPr="00804E1F">
        <w:rPr>
          <w:rFonts w:eastAsia="Calibri"/>
          <w:iCs/>
          <w:sz w:val="20"/>
          <w:szCs w:val="20"/>
          <w:lang w:val="es-AR"/>
        </w:rPr>
        <w:t>admit</w:t>
      </w:r>
      <w:r w:rsidR="003E29C8">
        <w:rPr>
          <w:rFonts w:eastAsia="Calibri"/>
          <w:iCs/>
          <w:sz w:val="20"/>
          <w:szCs w:val="20"/>
          <w:lang w:val="es-AR"/>
        </w:rPr>
        <w:t>e</w:t>
      </w:r>
      <w:r w:rsidR="003E29C8" w:rsidRPr="00804E1F">
        <w:rPr>
          <w:rFonts w:eastAsia="Calibri"/>
          <w:iCs/>
          <w:sz w:val="20"/>
          <w:szCs w:val="20"/>
          <w:lang w:val="es-AR"/>
        </w:rPr>
        <w:t xml:space="preserve"> </w:t>
      </w:r>
      <w:r w:rsidRPr="00804E1F">
        <w:rPr>
          <w:rFonts w:eastAsia="Calibri"/>
          <w:iCs/>
          <w:sz w:val="20"/>
          <w:szCs w:val="20"/>
          <w:lang w:val="es-AR"/>
        </w:rPr>
        <w:t xml:space="preserve">la ejecución de sentencias extranjeras siempre que se satisfagan los recaudos de los artículos 517 a 519 inclusive del Código Procesal Civil y Comercial de la Nación o, por ser unos de los poderes reservados a las provincias, de los códigos de procedimientos locales, </w:t>
      </w:r>
      <w:r w:rsidR="003E29C8">
        <w:rPr>
          <w:rFonts w:eastAsia="Calibri"/>
          <w:iCs/>
          <w:sz w:val="20"/>
          <w:szCs w:val="20"/>
          <w:lang w:val="es-AR"/>
        </w:rPr>
        <w:t>siempre</w:t>
      </w:r>
      <w:r w:rsidR="003E29C8" w:rsidRPr="00804E1F">
        <w:rPr>
          <w:rFonts w:eastAsia="Calibri"/>
          <w:iCs/>
          <w:sz w:val="20"/>
          <w:szCs w:val="20"/>
          <w:lang w:val="es-AR"/>
        </w:rPr>
        <w:t xml:space="preserve"> </w:t>
      </w:r>
      <w:r w:rsidRPr="00804E1F">
        <w:rPr>
          <w:rFonts w:eastAsia="Calibri"/>
          <w:iCs/>
          <w:sz w:val="20"/>
          <w:szCs w:val="20"/>
          <w:lang w:val="es-AR"/>
        </w:rPr>
        <w:t xml:space="preserve">que la sentencia no viole principios de orden público del derecho argentino, según lo determinen los tribunales competentes de Argentina. La Emisora no puede garantizar que un tribunal argentino pueda considerar que la ejecución de sentencias extranjeras por las que se lo condene a hacer pagos en virtud de títulos, incluyendo las Obligaciones Negociables, en moneda extranjera fuera de Argentina resulta contraria a las normas de orden público del derecho argentino, por ejemplo, si en ese momento existieran restricciones legales que prohíban a deudores argentinos transferir al exterior moneda extranjera para cancelar deudas. </w:t>
      </w:r>
    </w:p>
    <w:p w14:paraId="35ECB066" w14:textId="77777777" w:rsidR="00B55910" w:rsidRPr="00804E1F" w:rsidRDefault="00B55910" w:rsidP="00B55910">
      <w:pPr>
        <w:jc w:val="both"/>
        <w:rPr>
          <w:rFonts w:eastAsia="Calibri"/>
          <w:iCs/>
          <w:sz w:val="20"/>
          <w:szCs w:val="20"/>
          <w:lang w:val="es-AR"/>
        </w:rPr>
      </w:pPr>
    </w:p>
    <w:p w14:paraId="04931FE1" w14:textId="77777777" w:rsidR="00B55910" w:rsidRPr="009D3F74" w:rsidRDefault="00B55910" w:rsidP="00B55910">
      <w:pPr>
        <w:jc w:val="both"/>
        <w:rPr>
          <w:rFonts w:eastAsia="Calibri"/>
          <w:bCs/>
          <w:i/>
          <w:sz w:val="20"/>
          <w:szCs w:val="20"/>
          <w:lang w:val="es-AR"/>
        </w:rPr>
      </w:pPr>
      <w:r w:rsidRPr="009D3F74">
        <w:rPr>
          <w:rFonts w:eastAsia="Calibri"/>
          <w:bCs/>
          <w:i/>
          <w:sz w:val="20"/>
          <w:szCs w:val="20"/>
          <w:lang w:val="es-AR"/>
        </w:rPr>
        <w:t>El Peso como moneda hiperinflacionaria conforme a la NIC 29</w:t>
      </w:r>
    </w:p>
    <w:p w14:paraId="1B3AA5C0" w14:textId="77777777" w:rsidR="00B55910" w:rsidRPr="00804E1F" w:rsidRDefault="00B55910" w:rsidP="00B55910">
      <w:pPr>
        <w:jc w:val="both"/>
        <w:rPr>
          <w:rFonts w:eastAsia="Calibri"/>
          <w:bCs/>
          <w:iCs/>
          <w:sz w:val="20"/>
          <w:szCs w:val="20"/>
          <w:lang w:val="es-AR"/>
        </w:rPr>
      </w:pPr>
    </w:p>
    <w:p w14:paraId="33F57444"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La Norma Internacional de Contabilidad 29 (en adelante, la “</w:t>
      </w:r>
      <w:r w:rsidRPr="00804E1F">
        <w:rPr>
          <w:rFonts w:eastAsia="Calibri"/>
          <w:iCs/>
          <w:sz w:val="20"/>
          <w:szCs w:val="20"/>
          <w:u w:val="single"/>
          <w:lang w:val="es-AR"/>
        </w:rPr>
        <w:t>NIC 29</w:t>
      </w:r>
      <w:r w:rsidRPr="00804E1F">
        <w:rPr>
          <w:rFonts w:eastAsia="Calibri"/>
          <w:iCs/>
          <w:sz w:val="20"/>
          <w:szCs w:val="20"/>
          <w:lang w:val="es-AR"/>
        </w:rPr>
        <w:t xml:space="preserve">”) requiere que los estados financieros de cualquier entidad cuya divisa sea calificada como de una economía hiperinflacionaria sea reexpresada en términos de unidad de medida corriente al final del período de referencia. Sin perjuicio de que la NIC 29 no establece un valor absoluto desde el cual se califica como economía hiperinflacionaria, es práctica habitual considerar hiperinflacionario a cambios en el nivel de precios que excedan o estén cerca de 100% en una base acumulativa por los últimos tres años consecutivos, junto con otra información macroeconómica. </w:t>
      </w:r>
    </w:p>
    <w:p w14:paraId="6A7A3369" w14:textId="77777777" w:rsidR="00B55910" w:rsidRPr="00804E1F" w:rsidRDefault="00B55910" w:rsidP="00B55910">
      <w:pPr>
        <w:jc w:val="both"/>
        <w:rPr>
          <w:rFonts w:eastAsia="Calibri"/>
          <w:iCs/>
          <w:sz w:val="20"/>
          <w:szCs w:val="20"/>
          <w:lang w:val="es-AR"/>
        </w:rPr>
      </w:pPr>
    </w:p>
    <w:p w14:paraId="6D1333C2"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 xml:space="preserve">Adicionalmente, la CNV mediante Resolución General Nº 777 dictó la </w:t>
      </w:r>
      <w:r w:rsidRPr="00804E1F">
        <w:rPr>
          <w:rFonts w:eastAsia="Calibri"/>
          <w:bCs/>
          <w:iCs/>
          <w:sz w:val="20"/>
          <w:szCs w:val="20"/>
          <w:lang w:val="es-AR"/>
        </w:rPr>
        <w:t>reglamentación pertinente para la confección de los estados financieros en moneda constante</w:t>
      </w:r>
      <w:r w:rsidRPr="00804E1F">
        <w:rPr>
          <w:rFonts w:eastAsia="Calibri"/>
          <w:iCs/>
          <w:sz w:val="20"/>
          <w:szCs w:val="20"/>
          <w:lang w:val="es-AR"/>
        </w:rPr>
        <w:t>, estableciendo, entre otras cuestiones, que las entidades emisoras sujetas a la fiscalización de la CNV deberán aplicar el método de reexpresión de estados financieros en moneda homogénea, conforme lo establecido por la NIC 29.</w:t>
      </w:r>
    </w:p>
    <w:p w14:paraId="14B599E8" w14:textId="77777777" w:rsidR="00B55910" w:rsidRPr="009D3F74" w:rsidRDefault="00B55910" w:rsidP="00B55910">
      <w:pPr>
        <w:jc w:val="both"/>
        <w:rPr>
          <w:rFonts w:eastAsia="Calibri"/>
          <w:i/>
          <w:sz w:val="20"/>
          <w:szCs w:val="20"/>
          <w:lang w:val="es-AR"/>
        </w:rPr>
      </w:pPr>
    </w:p>
    <w:p w14:paraId="4C92EE16" w14:textId="77777777" w:rsidR="00A32234" w:rsidRPr="00A32234" w:rsidRDefault="00A32234" w:rsidP="00A32234">
      <w:pPr>
        <w:jc w:val="both"/>
        <w:rPr>
          <w:rFonts w:eastAsia="Calibri"/>
          <w:i/>
          <w:sz w:val="20"/>
          <w:szCs w:val="20"/>
          <w:lang w:val="es-AR"/>
        </w:rPr>
      </w:pPr>
      <w:r w:rsidRPr="00A32234">
        <w:rPr>
          <w:rFonts w:eastAsia="Calibri"/>
          <w:i/>
          <w:sz w:val="20"/>
          <w:szCs w:val="20"/>
          <w:lang w:val="es-AR"/>
        </w:rPr>
        <w:t>Ley de Solidaridad Social y Reactivación Económica.</w:t>
      </w:r>
    </w:p>
    <w:p w14:paraId="3BC4AFC3" w14:textId="77777777" w:rsidR="00A32234" w:rsidRPr="00A32234" w:rsidRDefault="00A32234" w:rsidP="00A32234">
      <w:pPr>
        <w:jc w:val="both"/>
        <w:rPr>
          <w:rFonts w:eastAsia="Calibri"/>
          <w:i/>
          <w:sz w:val="20"/>
          <w:szCs w:val="20"/>
          <w:lang w:val="es-AR"/>
        </w:rPr>
      </w:pPr>
    </w:p>
    <w:p w14:paraId="0397A9A7" w14:textId="77777777" w:rsidR="00A32234" w:rsidRPr="00096E98" w:rsidRDefault="00A32234" w:rsidP="00A32234">
      <w:pPr>
        <w:jc w:val="both"/>
        <w:rPr>
          <w:rFonts w:eastAsia="Calibri"/>
          <w:iCs/>
          <w:sz w:val="20"/>
          <w:szCs w:val="20"/>
          <w:lang w:val="es-AR"/>
        </w:rPr>
      </w:pPr>
      <w:r w:rsidRPr="00096E98">
        <w:rPr>
          <w:rFonts w:eastAsia="Calibri"/>
          <w:iCs/>
          <w:sz w:val="20"/>
          <w:szCs w:val="20"/>
          <w:lang w:val="es-AR"/>
        </w:rPr>
        <w:t>El día 23 de diciembre de 2019, fue publicada en el Boletín Oficial de la República Argentina la Ley N°27.541 de Solidaridad Social y Reactivación Productiva. La misma tiene como objetivo, entre otros, crear condiciones para asegurar la sostenibilidad de la deuda pública argentina, reglar la reestructuración tarifaria del sistema energético, promover la reactivación productiva, alcanzar la sostenibilidad fiscal y fortalecer el carácter redistributivo y solidario de los haberes previsionales.</w:t>
      </w:r>
    </w:p>
    <w:p w14:paraId="6C542F07" w14:textId="77777777" w:rsidR="00A32234" w:rsidRPr="00096E98" w:rsidRDefault="00A32234" w:rsidP="00A32234">
      <w:pPr>
        <w:jc w:val="both"/>
        <w:rPr>
          <w:rFonts w:eastAsia="Calibri"/>
          <w:iCs/>
          <w:sz w:val="20"/>
          <w:szCs w:val="20"/>
          <w:lang w:val="es-AR"/>
        </w:rPr>
      </w:pPr>
    </w:p>
    <w:p w14:paraId="749D04B1" w14:textId="49862462" w:rsidR="00A32234" w:rsidRPr="00096E98" w:rsidRDefault="00A32234" w:rsidP="00A32234">
      <w:pPr>
        <w:jc w:val="both"/>
        <w:rPr>
          <w:rFonts w:eastAsia="Calibri"/>
          <w:iCs/>
          <w:sz w:val="20"/>
          <w:szCs w:val="20"/>
          <w:lang w:val="es-AR"/>
        </w:rPr>
      </w:pPr>
      <w:r w:rsidRPr="00096E98">
        <w:rPr>
          <w:rFonts w:eastAsia="Calibri"/>
          <w:iCs/>
          <w:sz w:val="20"/>
          <w:szCs w:val="20"/>
          <w:lang w:val="es-AR"/>
        </w:rPr>
        <w:t xml:space="preserve">Dentro de los aspectos más destacables de dicha ley se encuentran, entre otros: (i) la declaración de la emergencia pública en materia económica, financiera, fiscal, administrativa, previsional, tarifaria, energética, sanitaria y social hasta el 31/12/20; (ii) modificaciones a Impuestos sobre Bienes Personales, a Impuesto a Créditos y Débitos, Impuesto a las Ganancias y a Impuestos Internos; (iii) la implementación del Impuesto para una Argentina Inclusiva y Solidaria (PAIS) por un término de 5 períodos fiscales, mediante el cual se grava con una alícuota del 30% a la compra de billetes y divisas en moneda extranjera para atesoramiento o sin finalidad específica; a la adquisición de servicios en el exterior; y al cambio de divisas efectuado por las entidades financieras destinadas al pago, por cuenta y orden del contratante residente en el país de servicios prestado por sujetos no residentes, que se cancelen mediante la utilización de tarjetas de crédito, de compra y de débito, entre otros; (iv) la modificación en las alícuotas que gravan los derechos de exportación de bienes agrícolas, agroindustriales, industriales y servicios, entre otros; </w:t>
      </w:r>
      <w:r w:rsidR="009F3577">
        <w:rPr>
          <w:rFonts w:eastAsia="Calibri"/>
          <w:iCs/>
          <w:sz w:val="20"/>
          <w:szCs w:val="20"/>
          <w:lang w:val="es-AR"/>
        </w:rPr>
        <w:t xml:space="preserve">y </w:t>
      </w:r>
      <w:r w:rsidRPr="00096E98">
        <w:rPr>
          <w:rFonts w:eastAsia="Calibri"/>
          <w:iCs/>
          <w:sz w:val="20"/>
          <w:szCs w:val="20"/>
          <w:lang w:val="es-AR"/>
        </w:rPr>
        <w:t>(v) la autorización al Gobierno Nacional para emitir letras denominadas en dólares estadounidenses por hasta un monto de U$S 4.571.000.000</w:t>
      </w:r>
      <w:r w:rsidR="009F3577">
        <w:rPr>
          <w:rFonts w:eastAsia="Calibri"/>
          <w:iCs/>
          <w:sz w:val="20"/>
          <w:szCs w:val="20"/>
          <w:lang w:val="es-AR"/>
        </w:rPr>
        <w:t xml:space="preserve"> </w:t>
      </w:r>
      <w:r w:rsidRPr="00096E98">
        <w:rPr>
          <w:rFonts w:eastAsia="Calibri"/>
          <w:iCs/>
          <w:sz w:val="20"/>
          <w:szCs w:val="20"/>
          <w:lang w:val="es-AR"/>
        </w:rPr>
        <w:t>para que con las mismas pueda adquirir divisas al BCRA, debiendo destinarse las mismas al pago de deuda pública denominada en moneda extranjera, entre otras.</w:t>
      </w:r>
    </w:p>
    <w:p w14:paraId="46CA02E5" w14:textId="77777777" w:rsidR="00A32234" w:rsidRPr="00096E98" w:rsidRDefault="00A32234" w:rsidP="00A32234">
      <w:pPr>
        <w:jc w:val="both"/>
        <w:rPr>
          <w:rFonts w:eastAsia="Calibri"/>
          <w:iCs/>
          <w:sz w:val="20"/>
          <w:szCs w:val="20"/>
          <w:lang w:val="es-AR"/>
        </w:rPr>
      </w:pPr>
    </w:p>
    <w:p w14:paraId="327A7439" w14:textId="326BACC9" w:rsidR="00214904" w:rsidRPr="00A32234" w:rsidRDefault="00A32234" w:rsidP="00A32234">
      <w:pPr>
        <w:jc w:val="both"/>
        <w:rPr>
          <w:rFonts w:eastAsia="Calibri"/>
          <w:iCs/>
          <w:sz w:val="20"/>
          <w:szCs w:val="20"/>
          <w:lang w:val="es-AR"/>
        </w:rPr>
      </w:pPr>
      <w:r w:rsidRPr="00096E98">
        <w:rPr>
          <w:rFonts w:eastAsia="Calibri"/>
          <w:iCs/>
          <w:sz w:val="20"/>
          <w:szCs w:val="20"/>
          <w:lang w:val="es-AR"/>
        </w:rPr>
        <w:t>A la fecha no es posible prever el impacto que dichas medidas tendrán en la situación económica y financiera del país como en la situación patrimonial y en los resultados de las operaciones de INVAP.</w:t>
      </w:r>
    </w:p>
    <w:p w14:paraId="67D068B8" w14:textId="00141E60" w:rsidR="00A32234" w:rsidRPr="00A32234" w:rsidRDefault="00A32234" w:rsidP="00A32234">
      <w:pPr>
        <w:jc w:val="both"/>
        <w:rPr>
          <w:rFonts w:eastAsia="Calibri"/>
          <w:iCs/>
          <w:sz w:val="20"/>
          <w:szCs w:val="20"/>
          <w:lang w:val="es-AR"/>
        </w:rPr>
      </w:pPr>
    </w:p>
    <w:p w14:paraId="24971411" w14:textId="77777777" w:rsidR="00B55910" w:rsidRPr="00804E1F" w:rsidRDefault="00B55910" w:rsidP="00B55910">
      <w:pPr>
        <w:jc w:val="both"/>
        <w:rPr>
          <w:rFonts w:eastAsia="Calibri"/>
          <w:b/>
          <w:bCs/>
          <w:iCs/>
          <w:sz w:val="20"/>
          <w:szCs w:val="20"/>
          <w:lang w:val="es-AR"/>
        </w:rPr>
      </w:pPr>
      <w:r w:rsidRPr="00804E1F">
        <w:rPr>
          <w:rFonts w:eastAsia="Calibri"/>
          <w:b/>
          <w:bCs/>
          <w:iCs/>
          <w:sz w:val="20"/>
          <w:szCs w:val="20"/>
          <w:lang w:val="es-AR"/>
        </w:rPr>
        <w:t>Factores de Riesgo Relacionados con la Compañía</w:t>
      </w:r>
    </w:p>
    <w:p w14:paraId="52E9884C" w14:textId="77777777" w:rsidR="00B55910" w:rsidRPr="00804E1F" w:rsidRDefault="00B55910" w:rsidP="00B55910">
      <w:pPr>
        <w:jc w:val="both"/>
        <w:rPr>
          <w:rFonts w:eastAsia="Calibri"/>
          <w:iCs/>
          <w:sz w:val="20"/>
          <w:szCs w:val="20"/>
          <w:lang w:val="es-AR"/>
        </w:rPr>
      </w:pPr>
    </w:p>
    <w:p w14:paraId="641EA752" w14:textId="77777777" w:rsidR="00B55910" w:rsidRPr="009D3F74" w:rsidRDefault="00B55910" w:rsidP="00B55910">
      <w:pPr>
        <w:jc w:val="both"/>
        <w:rPr>
          <w:rFonts w:eastAsia="Calibri"/>
          <w:bCs/>
          <w:i/>
          <w:sz w:val="20"/>
          <w:szCs w:val="20"/>
          <w:lang w:val="es-AR"/>
        </w:rPr>
      </w:pPr>
      <w:r w:rsidRPr="009D3F74">
        <w:rPr>
          <w:rFonts w:eastAsia="Calibri"/>
          <w:bCs/>
          <w:i/>
          <w:sz w:val="20"/>
          <w:szCs w:val="20"/>
          <w:lang w:val="es-AR"/>
        </w:rPr>
        <w:t xml:space="preserve">Dificultad del análisis comparativo por las fluctuaciones en los montos de la facturación de la Sociedad </w:t>
      </w:r>
    </w:p>
    <w:p w14:paraId="0705DB38" w14:textId="77777777" w:rsidR="00B55910" w:rsidRPr="00804E1F" w:rsidRDefault="00B55910" w:rsidP="00B55910">
      <w:pPr>
        <w:jc w:val="both"/>
        <w:rPr>
          <w:rFonts w:eastAsia="Calibri"/>
          <w:iCs/>
          <w:sz w:val="20"/>
          <w:szCs w:val="20"/>
          <w:lang w:val="es-AR"/>
        </w:rPr>
      </w:pPr>
    </w:p>
    <w:p w14:paraId="06B7B270"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 xml:space="preserve">Por ser INVAP una empresa de proyectos tecnológicos de envergadura, el volumen de negocios puede variar en forma significativa entre los períodos económicos. La naturaleza viable en el flujo de contratos y órdenes que la Sociedad obtiene puede dar lugar a diferencias importantes en el monto de la facturación producida un año respecto a la de años anteriores. La naturaleza específica de las operaciones puede generar dificultades, y hasta tornar irrelevante la comparación entre los diferentes períodos contables. Este fenómeno es particularmente exacerbado en el caso de grandes proyectos que pueden llegar a potenciar temporalmente hasta 2 o 3 veces la facturación anual regular. Por otro lado, otro factor a tener en cuenta es la duración de los proyectos, que llegan a extenderse hasta por 6 años. En consecuencia, si bien la información contable de la Compañía refleja la situación económica y financiera de la Sociedad, no es posible asegurar que los análisis futuros de los resultados de la Compañía no afecten de manera adversa la valuación de las Obligaciones Negociables. </w:t>
      </w:r>
    </w:p>
    <w:p w14:paraId="504523EA" w14:textId="77777777" w:rsidR="00B55910" w:rsidRPr="00804E1F" w:rsidRDefault="00B55910" w:rsidP="00B55910">
      <w:pPr>
        <w:jc w:val="both"/>
        <w:rPr>
          <w:rFonts w:eastAsia="Calibri"/>
          <w:iCs/>
          <w:sz w:val="20"/>
          <w:szCs w:val="20"/>
          <w:lang w:val="es-AR"/>
        </w:rPr>
      </w:pPr>
    </w:p>
    <w:p w14:paraId="48621D21" w14:textId="77777777" w:rsidR="00B55910" w:rsidRPr="009D3F74" w:rsidRDefault="00B55910" w:rsidP="00B55910">
      <w:pPr>
        <w:jc w:val="both"/>
        <w:rPr>
          <w:rFonts w:eastAsia="Calibri"/>
          <w:bCs/>
          <w:i/>
          <w:sz w:val="20"/>
          <w:szCs w:val="20"/>
          <w:lang w:val="es-AR"/>
        </w:rPr>
      </w:pPr>
      <w:r w:rsidRPr="009D3F74">
        <w:rPr>
          <w:rFonts w:eastAsia="Calibri"/>
          <w:bCs/>
          <w:i/>
          <w:sz w:val="20"/>
          <w:szCs w:val="20"/>
          <w:lang w:val="es-AR"/>
        </w:rPr>
        <w:t>La complejidad de los productos y proyectos puede a veces resultar en costos no planificados, lo cual generaría dificultades económicas y financieras</w:t>
      </w:r>
    </w:p>
    <w:p w14:paraId="77046456" w14:textId="77777777" w:rsidR="00B55910" w:rsidRPr="00804E1F" w:rsidRDefault="00B55910" w:rsidP="00B55910">
      <w:pPr>
        <w:jc w:val="both"/>
        <w:rPr>
          <w:rFonts w:eastAsia="Calibri"/>
          <w:iCs/>
          <w:sz w:val="20"/>
          <w:szCs w:val="20"/>
          <w:lang w:val="es-AR"/>
        </w:rPr>
      </w:pPr>
    </w:p>
    <w:p w14:paraId="7E8A1FEA"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 xml:space="preserve">INVAP realiza el diseño, fabricación e integración de un amplio espectro de dispositivos, equipos y sistemas que poseen un elevado valor agregado y se implementan principalmente en grandes proyectos (en forma relativa al tamaño de la Sociedad). Los proyectos son del tipo “misiones críticas”, donde se requiere proveer productos novedosos (con elevados niveles de disponibilidad, confiabilidad, calidad y seguridad) que se encuentran asociados con las dificultades técnicas de implementación. Adicionalmente, no puede ser soslayado que existe una posibilidad de que el cumplimiento de los cronogramas contractuales para terminar un proyecto no pueda ser satisfecho por las mencionadas dificultades técnicas, o su terminación podría resultar gravosa, lo que puede derivar en consecuencias económico-financieras adversas para INVAP. La ocurrencia de uno o más de estos eventos puede tener potencialmente un impacto negativo relevante sobre el resultado de las operaciones y la posición financiera de la Sociedad. </w:t>
      </w:r>
    </w:p>
    <w:p w14:paraId="13F74AC6" w14:textId="77777777" w:rsidR="00B55910" w:rsidRPr="00804E1F" w:rsidRDefault="00B55910" w:rsidP="00B55910">
      <w:pPr>
        <w:jc w:val="both"/>
        <w:rPr>
          <w:rFonts w:eastAsia="Calibri"/>
          <w:iCs/>
          <w:sz w:val="20"/>
          <w:szCs w:val="20"/>
          <w:lang w:val="es-AR"/>
        </w:rPr>
      </w:pPr>
    </w:p>
    <w:p w14:paraId="10FC3DAA"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Si bien la Sociedad, en la mayoría de los casos sólo provee garantías de duración limitada y por montos acotados (y no abarcan daños indirectos), podrían surgir dificultades en alcanzar los factores de performance acordados en los contratos que pueden resultar en penalidades, pérdidas de garantías y en perjuicios en la implementación de los proyectos. A su vez, los pagos de los montos acordados en ciertos contratos de servicios se encuentran condicionados a que INVAP complete una cierta cantidad de objetivos o etapas. En consecuencia, una baja performance de la empresa, o defectos en la entrega de productos (y eventual repago) o el atraso en la implementación de proyectos podrían significar el retraso o la caída de ingresos operativos, y ello podría afectar adversamente la capacidad de la Sociedad de hacer frente a las deudas financieras asumidas, incluidas las Obligaciones Negociables.</w:t>
      </w:r>
    </w:p>
    <w:p w14:paraId="37D64AEC" w14:textId="77777777" w:rsidR="00B55910" w:rsidRPr="00804E1F" w:rsidRDefault="00B55910" w:rsidP="00B55910">
      <w:pPr>
        <w:jc w:val="both"/>
        <w:rPr>
          <w:rFonts w:eastAsia="Calibri"/>
          <w:iCs/>
          <w:sz w:val="20"/>
          <w:szCs w:val="20"/>
          <w:lang w:val="es-AR"/>
        </w:rPr>
      </w:pPr>
    </w:p>
    <w:p w14:paraId="6204187E" w14:textId="77777777" w:rsidR="00B55910" w:rsidRPr="009D3F74" w:rsidRDefault="00B55910" w:rsidP="00B55910">
      <w:pPr>
        <w:jc w:val="both"/>
        <w:rPr>
          <w:rFonts w:eastAsia="Calibri"/>
          <w:i/>
          <w:sz w:val="20"/>
          <w:szCs w:val="20"/>
          <w:lang w:val="es-AR"/>
        </w:rPr>
      </w:pPr>
      <w:r w:rsidRPr="009D3F74">
        <w:rPr>
          <w:rFonts w:eastAsia="Calibri"/>
          <w:i/>
          <w:sz w:val="20"/>
          <w:szCs w:val="20"/>
          <w:lang w:val="es-AR"/>
        </w:rPr>
        <w:t>Una alta exposición al sector público, por la cantidad de contratos firmados con el Estado Argentino, condiciona la capacidad de pago de las obligaciones financieras de la Sociedad al pago del Estado Argentino.</w:t>
      </w:r>
    </w:p>
    <w:p w14:paraId="522C7C27" w14:textId="77777777" w:rsidR="00B55910" w:rsidRPr="00804E1F" w:rsidRDefault="00B55910" w:rsidP="00B55910">
      <w:pPr>
        <w:jc w:val="both"/>
        <w:rPr>
          <w:rFonts w:eastAsia="Calibri"/>
          <w:iCs/>
          <w:sz w:val="20"/>
          <w:szCs w:val="20"/>
          <w:lang w:val="es-AR"/>
        </w:rPr>
      </w:pPr>
    </w:p>
    <w:p w14:paraId="0FA3D0F8"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 xml:space="preserve">Si bien la Sociedad intenta diversificar su cartera de clientes en los diferentes sectores de la economía (público y privado), la misma mantiene contratos con diversos organismos estatales de la República Argentina, especialmente en el área espacial, lo cual conlleva a estar expuesta a riesgos relacionados con cambios políticos, económicos, inflacionarios, jurídicos o indirectamente derivados del marco internacional. </w:t>
      </w:r>
    </w:p>
    <w:p w14:paraId="1A9463AE" w14:textId="77777777" w:rsidR="00B55910" w:rsidRPr="00804E1F" w:rsidRDefault="00B55910" w:rsidP="00B55910">
      <w:pPr>
        <w:jc w:val="both"/>
        <w:rPr>
          <w:rFonts w:eastAsia="Calibri"/>
          <w:iCs/>
          <w:sz w:val="20"/>
          <w:szCs w:val="20"/>
          <w:lang w:val="es-AR"/>
        </w:rPr>
      </w:pPr>
    </w:p>
    <w:p w14:paraId="49C0DCC8"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Por ello, en caso de que dichos organismos estatales y/o el Estado Nacional no cumpliera o se viera económica o jurídicamente imposibilitado de cumplir con las obligaciones contraídas con la Sociedad, se verían adversamente afectados los resultados de la Sociedad, y en consecuencia, su capacidad de hacer frente a los pagos de sus deudas financiera, incluidas las obligaciones de pago bajo las Obligaciones Negociables.</w:t>
      </w:r>
    </w:p>
    <w:p w14:paraId="06E2C4F1" w14:textId="77777777" w:rsidR="00B55910" w:rsidRPr="00804E1F" w:rsidRDefault="00B55910" w:rsidP="00B55910">
      <w:pPr>
        <w:jc w:val="both"/>
        <w:rPr>
          <w:rFonts w:eastAsia="Calibri"/>
          <w:iCs/>
          <w:sz w:val="20"/>
          <w:szCs w:val="20"/>
          <w:lang w:val="es-AR"/>
        </w:rPr>
      </w:pPr>
    </w:p>
    <w:p w14:paraId="4BE8742F" w14:textId="77777777" w:rsidR="00B55910" w:rsidRPr="009D3F74" w:rsidRDefault="00B55910" w:rsidP="00B55910">
      <w:pPr>
        <w:jc w:val="both"/>
        <w:rPr>
          <w:rFonts w:eastAsia="Calibri"/>
          <w:bCs/>
          <w:i/>
          <w:sz w:val="20"/>
          <w:szCs w:val="20"/>
          <w:lang w:val="es-AR"/>
        </w:rPr>
      </w:pPr>
      <w:r w:rsidRPr="009D3F74">
        <w:rPr>
          <w:rFonts w:eastAsia="Calibri"/>
          <w:bCs/>
          <w:i/>
          <w:sz w:val="20"/>
          <w:szCs w:val="20"/>
          <w:lang w:val="es-AR"/>
        </w:rPr>
        <w:t xml:space="preserve">La transferencia de tecnología permitiría el desarrollo de competidores. </w:t>
      </w:r>
    </w:p>
    <w:p w14:paraId="2FBE1D85" w14:textId="77777777" w:rsidR="00B55910" w:rsidRPr="00804E1F" w:rsidRDefault="00B55910" w:rsidP="00B55910">
      <w:pPr>
        <w:jc w:val="both"/>
        <w:rPr>
          <w:rFonts w:eastAsia="Calibri"/>
          <w:iCs/>
          <w:sz w:val="20"/>
          <w:szCs w:val="20"/>
          <w:lang w:val="es-AR"/>
        </w:rPr>
      </w:pPr>
    </w:p>
    <w:p w14:paraId="2B7F471E"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 xml:space="preserve">En la Argentina, la empresa compite principalmente contra empresas extranjeras que promueven la venta de equipamiento producido en otros países. Especialmente en el ámbito de equipamiento de defensa y de los proyectos nucleares, la empresa está expuesta a las actividades de comercialización de grandes grupos multinacionales que cuentan con trayectoria en el mercado y que cuentan con mayor poder de financiamiento y capacidad instalada que INVAP. Si bien la Sociedad ha tenido la oportunidad de demostrar su capacidad para desenvolverse en licitaciones internacionales con resultados satisfactorios en el caso que la competencia cambiara radicalmente su estrategia y participara fuertemente en las licitaciones o compitiera en los segmentos de mercado que explota INVAP, podrían verse adversamente afectados los resultados de INVAP, y en consecuencia su capacidad de hacer frente a las obligaciones de pago bajo las Obligaciones Negociables. </w:t>
      </w:r>
    </w:p>
    <w:p w14:paraId="4CD80E88" w14:textId="77777777" w:rsidR="00B55910" w:rsidRPr="00804E1F" w:rsidRDefault="00B55910" w:rsidP="00B55910">
      <w:pPr>
        <w:jc w:val="both"/>
        <w:rPr>
          <w:rFonts w:eastAsia="Calibri"/>
          <w:iCs/>
          <w:sz w:val="20"/>
          <w:szCs w:val="20"/>
          <w:lang w:val="es-AR"/>
        </w:rPr>
      </w:pPr>
    </w:p>
    <w:p w14:paraId="31171636" w14:textId="77777777" w:rsidR="00B55910" w:rsidRPr="009D3F74" w:rsidRDefault="00B55910" w:rsidP="00B55910">
      <w:pPr>
        <w:jc w:val="both"/>
        <w:rPr>
          <w:rFonts w:eastAsia="Calibri"/>
          <w:bCs/>
          <w:i/>
          <w:sz w:val="20"/>
          <w:szCs w:val="20"/>
          <w:lang w:val="es-AR"/>
        </w:rPr>
      </w:pPr>
      <w:r w:rsidRPr="009D3F74">
        <w:rPr>
          <w:rFonts w:eastAsia="Calibri"/>
          <w:bCs/>
          <w:i/>
          <w:sz w:val="20"/>
          <w:szCs w:val="20"/>
          <w:lang w:val="es-AR"/>
        </w:rPr>
        <w:t xml:space="preserve">Dificultades en el cobro de trabajos pueden afectar los resultados de la Sociedad </w:t>
      </w:r>
    </w:p>
    <w:p w14:paraId="5DBBECE8" w14:textId="77777777" w:rsidR="00B55910" w:rsidRPr="00804E1F" w:rsidRDefault="00B55910" w:rsidP="00B55910">
      <w:pPr>
        <w:jc w:val="both"/>
        <w:rPr>
          <w:rFonts w:eastAsia="Calibri"/>
          <w:iCs/>
          <w:sz w:val="20"/>
          <w:szCs w:val="20"/>
          <w:lang w:val="es-AR"/>
        </w:rPr>
      </w:pPr>
    </w:p>
    <w:p w14:paraId="0D7C7194"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 xml:space="preserve">Dada la particularidad de los proyectos que desarrolla INVAP y la especificidad de cada uno de sus proyectos, la Sociedad se encuentra expuesta al riesgo de que sus clientes no paguen o no puedan pagar en tiempo y forma por los productos y servicios provistos. Por otro lado, dado que la mayoría de sus clientes son entidades del sector público (nacional e internacional) el riesgo se ve potenciado por la posibilidad que se amparen en normas de orden público que impidan la ejecución de las sumas debidas. Si bien la Sociedad desarrolla políticas tendientes a asegurar el pago mediante adelantos y garantías, excepto en aquellos casos en que los clientes abonan por adelantado, los resultados de la Sociedad se encuentran expuestos al riesgo de una eventual desaprobación por parte del cliente o el riesgo de default o morosidad de los pagos durante la entrega de los bienes. En estos casos, se produciría la caída de los resultados operativos de la Compañía, y podría verse afectada su capacidad de repago de las Obligaciones Negociables. </w:t>
      </w:r>
    </w:p>
    <w:p w14:paraId="7A1DE074" w14:textId="77777777" w:rsidR="00B55910" w:rsidRPr="00804E1F" w:rsidRDefault="00B55910" w:rsidP="00B55910">
      <w:pPr>
        <w:jc w:val="both"/>
        <w:rPr>
          <w:rFonts w:eastAsia="Calibri"/>
          <w:iCs/>
          <w:sz w:val="20"/>
          <w:szCs w:val="20"/>
          <w:lang w:val="es-AR"/>
        </w:rPr>
      </w:pPr>
    </w:p>
    <w:p w14:paraId="03DE45AD" w14:textId="77777777" w:rsidR="00B55910" w:rsidRPr="009D3F74" w:rsidRDefault="00B55910" w:rsidP="00B55910">
      <w:pPr>
        <w:jc w:val="both"/>
        <w:rPr>
          <w:rFonts w:eastAsia="Calibri"/>
          <w:i/>
          <w:sz w:val="20"/>
          <w:szCs w:val="20"/>
          <w:lang w:val="es-AR"/>
        </w:rPr>
      </w:pPr>
      <w:r w:rsidRPr="009D3F74">
        <w:rPr>
          <w:rFonts w:eastAsia="Calibri"/>
          <w:i/>
          <w:sz w:val="20"/>
          <w:szCs w:val="20"/>
          <w:lang w:val="es-AR"/>
        </w:rPr>
        <w:t>El mercado de la Compañía puede ser negativamente afectado por las recesiones económicas</w:t>
      </w:r>
    </w:p>
    <w:p w14:paraId="0123AD82" w14:textId="77777777" w:rsidR="00B55910" w:rsidRPr="00804E1F" w:rsidRDefault="00B55910" w:rsidP="00B55910">
      <w:pPr>
        <w:jc w:val="both"/>
        <w:rPr>
          <w:rFonts w:eastAsia="Calibri"/>
          <w:iCs/>
          <w:sz w:val="20"/>
          <w:szCs w:val="20"/>
          <w:lang w:val="es-AR"/>
        </w:rPr>
      </w:pPr>
    </w:p>
    <w:p w14:paraId="50C3F56B"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Ciertos segmentos del mercado que desarrolla la Compañía son particularmente vulnerables a las recesiones económicas que, en caso de ocurrir, podrían desacelerar el crecimiento de dichos mercados y, consecuentemente, afectar negativamente el negocio de la Compañía en estas áreas</w:t>
      </w:r>
    </w:p>
    <w:p w14:paraId="219D9B59" w14:textId="77777777" w:rsidR="00B55910" w:rsidRPr="00804E1F" w:rsidRDefault="00B55910" w:rsidP="00B55910">
      <w:pPr>
        <w:jc w:val="both"/>
        <w:rPr>
          <w:rFonts w:eastAsia="Calibri"/>
          <w:iCs/>
          <w:sz w:val="20"/>
          <w:szCs w:val="20"/>
          <w:lang w:val="es-AR"/>
        </w:rPr>
      </w:pPr>
    </w:p>
    <w:p w14:paraId="365D5CDB" w14:textId="77777777" w:rsidR="00B55910" w:rsidRPr="00804E1F" w:rsidRDefault="00B55910" w:rsidP="00B55910">
      <w:pPr>
        <w:jc w:val="both"/>
        <w:rPr>
          <w:rFonts w:eastAsia="Calibri"/>
          <w:iCs/>
          <w:sz w:val="20"/>
          <w:szCs w:val="20"/>
          <w:lang w:val="es-AR"/>
        </w:rPr>
      </w:pPr>
      <w:r w:rsidRPr="00804E1F">
        <w:rPr>
          <w:rFonts w:eastAsia="Calibri"/>
          <w:b/>
          <w:iCs/>
          <w:sz w:val="20"/>
          <w:szCs w:val="20"/>
          <w:lang w:val="es-AR"/>
        </w:rPr>
        <w:t>Factores de riesgo relativos a las Obligaciones Negociables</w:t>
      </w:r>
    </w:p>
    <w:p w14:paraId="36C007E3" w14:textId="77777777" w:rsidR="00B55910" w:rsidRPr="00804E1F" w:rsidRDefault="00B55910" w:rsidP="00B55910">
      <w:pPr>
        <w:jc w:val="both"/>
        <w:rPr>
          <w:rFonts w:eastAsia="Calibri"/>
          <w:b/>
          <w:iCs/>
          <w:sz w:val="20"/>
          <w:szCs w:val="20"/>
          <w:lang w:val="es-AR"/>
        </w:rPr>
      </w:pPr>
    </w:p>
    <w:p w14:paraId="7FFB707E" w14:textId="77777777" w:rsidR="00B55910" w:rsidRPr="009D3F74" w:rsidRDefault="00B55910" w:rsidP="00B55910">
      <w:pPr>
        <w:jc w:val="both"/>
        <w:rPr>
          <w:rFonts w:eastAsia="Calibri"/>
          <w:i/>
          <w:sz w:val="20"/>
          <w:szCs w:val="20"/>
          <w:lang w:val="es-AR"/>
        </w:rPr>
      </w:pPr>
      <w:r w:rsidRPr="009D3F74">
        <w:rPr>
          <w:rFonts w:eastAsia="Calibri"/>
          <w:i/>
          <w:sz w:val="20"/>
          <w:szCs w:val="20"/>
          <w:lang w:val="es-AR"/>
        </w:rPr>
        <w:t>Posibilidad de que no exista mercado de negociación para las Obligaciones Negociables de la Emisora.</w:t>
      </w:r>
    </w:p>
    <w:p w14:paraId="6C179A97" w14:textId="77777777" w:rsidR="00B55910" w:rsidRPr="009D3F74" w:rsidRDefault="00B55910" w:rsidP="00B55910">
      <w:pPr>
        <w:jc w:val="both"/>
        <w:rPr>
          <w:rFonts w:eastAsia="Calibri"/>
          <w:i/>
          <w:sz w:val="20"/>
          <w:szCs w:val="20"/>
          <w:lang w:val="es-AR"/>
        </w:rPr>
      </w:pPr>
    </w:p>
    <w:p w14:paraId="6092869E"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Las Obligaciones Negociables de cualquier Clase serán una nueva emisión de Obligaciones Negociables sin mercado de negociación establecido ni antecedentes de negociación, y podrán no listarse en ninguna bolsa de valores. La Emisora no puede garantizar el futuro desarrollo de un mercado secundario para las Obligaciones Negociables; ni en caso de desarrollarse dicho mercado, que el mismo proveerá a los tenedores de Obligaciones Negociables un nivel de liquidez satisfactorio.</w:t>
      </w:r>
    </w:p>
    <w:p w14:paraId="70434DA9" w14:textId="77777777" w:rsidR="00B55910" w:rsidRPr="00804E1F" w:rsidRDefault="00B55910" w:rsidP="00B55910">
      <w:pPr>
        <w:jc w:val="both"/>
        <w:rPr>
          <w:rFonts w:eastAsia="Calibri"/>
          <w:iCs/>
          <w:sz w:val="20"/>
          <w:szCs w:val="20"/>
          <w:lang w:val="es-AR"/>
        </w:rPr>
      </w:pPr>
    </w:p>
    <w:p w14:paraId="61074CAC"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Asimismo, la liquidez y mercado de negociación de las Obligaciones Negociables podrán verse seriamente afectados por las cuestiones indicadas anteriormente.</w:t>
      </w:r>
    </w:p>
    <w:p w14:paraId="798A0FE4" w14:textId="1A649F0E" w:rsidR="00B55910" w:rsidRPr="009D3F74" w:rsidRDefault="009D3F74" w:rsidP="00B55910">
      <w:pPr>
        <w:jc w:val="both"/>
        <w:rPr>
          <w:rFonts w:eastAsia="Calibri"/>
          <w:i/>
          <w:sz w:val="20"/>
          <w:szCs w:val="20"/>
          <w:lang w:val="es-AR"/>
        </w:rPr>
      </w:pPr>
      <w:r>
        <w:rPr>
          <w:rFonts w:eastAsia="Calibri"/>
          <w:i/>
          <w:sz w:val="20"/>
          <w:szCs w:val="20"/>
          <w:lang w:val="es-AR"/>
        </w:rPr>
        <w:t>La Emisora</w:t>
      </w:r>
      <w:r w:rsidR="00B55910" w:rsidRPr="009D3F74">
        <w:rPr>
          <w:rFonts w:eastAsia="Calibri"/>
          <w:i/>
          <w:sz w:val="20"/>
          <w:szCs w:val="20"/>
          <w:lang w:val="es-AR"/>
        </w:rPr>
        <w:t xml:space="preserve"> se encuentra imposibilitado de asumir el pago de Montos Adicionales</w:t>
      </w:r>
    </w:p>
    <w:p w14:paraId="409092CB" w14:textId="77777777" w:rsidR="00B55910" w:rsidRPr="00804E1F" w:rsidRDefault="00B55910" w:rsidP="00B55910">
      <w:pPr>
        <w:jc w:val="both"/>
        <w:rPr>
          <w:rFonts w:eastAsia="Calibri"/>
          <w:iCs/>
          <w:sz w:val="20"/>
          <w:szCs w:val="20"/>
          <w:lang w:val="es-AR"/>
        </w:rPr>
      </w:pPr>
    </w:p>
    <w:p w14:paraId="055C3E0E" w14:textId="4F25EA77" w:rsidR="00B55910" w:rsidRPr="00804E1F" w:rsidRDefault="00B55910" w:rsidP="00B55910">
      <w:pPr>
        <w:jc w:val="both"/>
        <w:rPr>
          <w:rFonts w:eastAsia="Calibri"/>
          <w:iCs/>
          <w:sz w:val="20"/>
          <w:szCs w:val="20"/>
          <w:lang w:val="es-AR"/>
        </w:rPr>
      </w:pPr>
      <w:r w:rsidRPr="00804E1F">
        <w:rPr>
          <w:rFonts w:eastAsia="Calibri"/>
          <w:iCs/>
          <w:sz w:val="20"/>
          <w:szCs w:val="20"/>
          <w:lang w:val="es-AR"/>
        </w:rPr>
        <w:t>De acuerdo al art. 5° la ley 22.016, las Sociedades del Estado no se encuentran autorizadas a “convenir en el futuro cláusulas por las que tomen a su cargo gravámenes nacionales, provinciales y municipales (impuestos, tasas y contribuciones), que pudiesen recaer sobre la otra parte contratante o sus proveedores o subcontratistas, o por las que convengan en pagar tales gravámenes por cuenta de ellos o asuman la obligación expresa de abonarles un suplemento de precio para cubrir su importe o contraigan otros compromisos de alcance análogas”, por lo que los tenedores de las Obligaciones Negociables podrían sufrir una disminución en el resultado esperado de sus inversiones, debido a que l</w:t>
      </w:r>
      <w:r w:rsidR="007F031D">
        <w:rPr>
          <w:rFonts w:eastAsia="Calibri"/>
          <w:iCs/>
          <w:sz w:val="20"/>
          <w:szCs w:val="20"/>
          <w:lang w:val="es-AR"/>
        </w:rPr>
        <w:t>a</w:t>
      </w:r>
      <w:r w:rsidRPr="00804E1F">
        <w:rPr>
          <w:rFonts w:eastAsia="Calibri"/>
          <w:iCs/>
          <w:sz w:val="20"/>
          <w:szCs w:val="20"/>
          <w:lang w:val="es-AR"/>
        </w:rPr>
        <w:t xml:space="preserve"> Emisor</w:t>
      </w:r>
      <w:r w:rsidR="007F031D">
        <w:rPr>
          <w:rFonts w:eastAsia="Calibri"/>
          <w:iCs/>
          <w:sz w:val="20"/>
          <w:szCs w:val="20"/>
          <w:lang w:val="es-AR"/>
        </w:rPr>
        <w:t>a</w:t>
      </w:r>
      <w:r w:rsidRPr="00804E1F">
        <w:rPr>
          <w:rFonts w:eastAsia="Calibri"/>
          <w:iCs/>
          <w:sz w:val="20"/>
          <w:szCs w:val="20"/>
          <w:lang w:val="es-AR"/>
        </w:rPr>
        <w:t xml:space="preserve"> no podrá asumir el pago de Montos Adicionales, mientras dicha legislación se encuentre vigente.</w:t>
      </w:r>
    </w:p>
    <w:p w14:paraId="3EC55D6D" w14:textId="77777777" w:rsidR="00B55910" w:rsidRPr="00804E1F" w:rsidRDefault="00B55910" w:rsidP="00B55910">
      <w:pPr>
        <w:jc w:val="both"/>
        <w:rPr>
          <w:rFonts w:eastAsia="Calibri"/>
          <w:iCs/>
          <w:sz w:val="20"/>
          <w:szCs w:val="20"/>
          <w:lang w:val="es-AR"/>
        </w:rPr>
      </w:pPr>
    </w:p>
    <w:p w14:paraId="2C08AA16" w14:textId="77777777" w:rsidR="00B55910" w:rsidRPr="009D3F74" w:rsidRDefault="00B55910" w:rsidP="00B55910">
      <w:pPr>
        <w:jc w:val="both"/>
        <w:rPr>
          <w:rFonts w:eastAsia="Calibri"/>
          <w:i/>
          <w:sz w:val="20"/>
          <w:szCs w:val="20"/>
          <w:lang w:val="es-AR"/>
        </w:rPr>
      </w:pPr>
      <w:r w:rsidRPr="009D3F74">
        <w:rPr>
          <w:rFonts w:eastAsia="Calibri"/>
          <w:i/>
          <w:sz w:val="20"/>
          <w:szCs w:val="20"/>
          <w:lang w:val="es-AR"/>
        </w:rPr>
        <w:t>La Emisora podría rescatar las Obligaciones Negociables antes de su vencimiento.</w:t>
      </w:r>
    </w:p>
    <w:p w14:paraId="6371C5D0" w14:textId="77777777" w:rsidR="00B55910" w:rsidRPr="00804E1F" w:rsidRDefault="00B55910" w:rsidP="00B55910">
      <w:pPr>
        <w:jc w:val="both"/>
        <w:rPr>
          <w:rFonts w:eastAsia="Calibri"/>
          <w:iCs/>
          <w:sz w:val="20"/>
          <w:szCs w:val="20"/>
          <w:lang w:val="es-AR"/>
        </w:rPr>
      </w:pPr>
    </w:p>
    <w:p w14:paraId="1EBEA2C4"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Las Obligaciones Negociables son rescatables a opción de la Emisora en caso de producirse ciertos cambios en el régimen fiscal argentino o por cualquier otra causa establecida en el Suplemento de Precio aplicable, si así lo especificara. En consecuencia, un inversor podría no contar con la opción de reinvertir el producido del rescate en un título comparable a una tasa de interés efectiva tan alta como la aplicable a las Obligaciones Negociables.</w:t>
      </w:r>
    </w:p>
    <w:p w14:paraId="7BBDEEB3" w14:textId="77777777" w:rsidR="00B55910" w:rsidRPr="00804E1F" w:rsidRDefault="00B55910" w:rsidP="00B55910">
      <w:pPr>
        <w:jc w:val="both"/>
        <w:rPr>
          <w:rFonts w:eastAsia="Calibri"/>
          <w:iCs/>
          <w:sz w:val="20"/>
          <w:szCs w:val="20"/>
          <w:lang w:val="es-AR"/>
        </w:rPr>
      </w:pPr>
    </w:p>
    <w:p w14:paraId="407B5512" w14:textId="77777777" w:rsidR="00B55910" w:rsidRPr="009D3F74" w:rsidRDefault="00B55910" w:rsidP="00B55910">
      <w:pPr>
        <w:jc w:val="both"/>
        <w:rPr>
          <w:rFonts w:eastAsia="Calibri"/>
          <w:i/>
          <w:sz w:val="20"/>
          <w:szCs w:val="20"/>
          <w:lang w:val="es-AR"/>
        </w:rPr>
      </w:pPr>
      <w:r w:rsidRPr="009D3F74">
        <w:rPr>
          <w:rFonts w:eastAsia="Calibri"/>
          <w:i/>
          <w:sz w:val="20"/>
          <w:szCs w:val="20"/>
          <w:lang w:val="es-AR"/>
        </w:rPr>
        <w:t>Prioridades de cobro de otros acreedores de la Emisora.</w:t>
      </w:r>
    </w:p>
    <w:p w14:paraId="567B59BF" w14:textId="77777777" w:rsidR="00B55910" w:rsidRPr="00804E1F" w:rsidRDefault="00B55910" w:rsidP="00B55910">
      <w:pPr>
        <w:jc w:val="both"/>
        <w:rPr>
          <w:rFonts w:eastAsia="Calibri"/>
          <w:iCs/>
          <w:sz w:val="20"/>
          <w:szCs w:val="20"/>
          <w:lang w:val="es-AR"/>
        </w:rPr>
      </w:pPr>
    </w:p>
    <w:p w14:paraId="552ED5CB"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Salvo que el respectivo Suplemento de Precio especifique lo contrario, las Obligaciones Negociables tendrán igual prioridad de pago que todas las demás deudas no garantizadas y no subordinadas de la Emisora, existente y futura, salvo las obligaciones que gozan de preferencia por ley o de puro derecho, incluidos, entre otros, los reclamos fiscales y laborales.</w:t>
      </w:r>
    </w:p>
    <w:p w14:paraId="00CCABAF" w14:textId="77777777" w:rsidR="00B55910" w:rsidRPr="00804E1F" w:rsidRDefault="00B55910" w:rsidP="00B55910">
      <w:pPr>
        <w:jc w:val="both"/>
        <w:rPr>
          <w:rFonts w:eastAsia="Calibri"/>
          <w:iCs/>
          <w:sz w:val="20"/>
          <w:szCs w:val="20"/>
          <w:lang w:val="es-AR"/>
        </w:rPr>
      </w:pPr>
    </w:p>
    <w:p w14:paraId="46E3115F"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Si así se especificara en el respectivo Suplemento de Precio, INVAP también podrá emitir Obligaciones Negociables Subordinadas. En ese caso, además de la prioridad otorgada a ciertos acreedores según se explicara en el párrafo precedente, las Obligaciones Negociables Subordinadas también estarán sujetas en todo momento al pago de cierta deuda no garantizada y no subordinada de INVAP, según se detalle en el Suplemento de Precio aplicable.</w:t>
      </w:r>
    </w:p>
    <w:p w14:paraId="101E3737" w14:textId="77777777" w:rsidR="00B55910" w:rsidRPr="00804E1F" w:rsidRDefault="00B55910" w:rsidP="00B55910">
      <w:pPr>
        <w:jc w:val="both"/>
        <w:rPr>
          <w:rFonts w:eastAsia="Calibri"/>
          <w:iCs/>
          <w:sz w:val="20"/>
          <w:szCs w:val="20"/>
          <w:lang w:val="es-AR"/>
        </w:rPr>
      </w:pPr>
    </w:p>
    <w:p w14:paraId="109FAA78" w14:textId="77777777" w:rsidR="00B55910" w:rsidRPr="009D3F74" w:rsidRDefault="00B55910" w:rsidP="00B55910">
      <w:pPr>
        <w:jc w:val="both"/>
        <w:rPr>
          <w:rFonts w:eastAsia="Calibri"/>
          <w:bCs/>
          <w:i/>
          <w:sz w:val="20"/>
          <w:szCs w:val="20"/>
          <w:lang w:val="es-AR"/>
        </w:rPr>
      </w:pPr>
      <w:r w:rsidRPr="009D3F74">
        <w:rPr>
          <w:rFonts w:eastAsia="Calibri"/>
          <w:bCs/>
          <w:i/>
          <w:sz w:val="20"/>
          <w:szCs w:val="20"/>
          <w:lang w:val="es-AR"/>
        </w:rPr>
        <w:t>En caso de concurso preventivo o acuerdo preventivo extrajudicial los tenedores de las Obligaciones Negociables votarán en forma diferente a los demás acreedores quirografarios.</w:t>
      </w:r>
    </w:p>
    <w:p w14:paraId="585B64C8" w14:textId="77777777" w:rsidR="00B55910" w:rsidRPr="00804E1F" w:rsidRDefault="00B55910" w:rsidP="00B55910">
      <w:pPr>
        <w:jc w:val="both"/>
        <w:rPr>
          <w:rFonts w:eastAsia="Calibri"/>
          <w:b/>
          <w:bCs/>
          <w:iCs/>
          <w:sz w:val="20"/>
          <w:szCs w:val="20"/>
          <w:lang w:val="es-AR"/>
        </w:rPr>
      </w:pPr>
    </w:p>
    <w:p w14:paraId="4536266C"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En caso que la Sociedad se encontrara sujeta a procesos judiciales de concurso preventivo, acuerdos preventivos extrajudiciales y/o similares, las normas vigentes que regulan las Obligaciones Negociables (incluyendo, sin limitación las disposiciones de la Ley de Obligaciones Negociables), y los términos y condiciones de las Obligaciones Negociables emitidas bajo cualquier Serie y/o Clase, estarán sujetos a las disposiciones previstas por la Ley Nº 24.522 de Concursos y Quiebras y sus modificatorias y/o complementarias (la “</w:t>
      </w:r>
      <w:r w:rsidRPr="00804E1F">
        <w:rPr>
          <w:rFonts w:eastAsia="Calibri"/>
          <w:iCs/>
          <w:sz w:val="20"/>
          <w:szCs w:val="20"/>
          <w:u w:val="single"/>
          <w:lang w:val="es-AR"/>
        </w:rPr>
        <w:t>Ley de Concursos</w:t>
      </w:r>
      <w:r w:rsidRPr="00804E1F">
        <w:rPr>
          <w:rFonts w:eastAsia="Calibri"/>
          <w:iCs/>
          <w:sz w:val="20"/>
          <w:szCs w:val="20"/>
          <w:lang w:val="es-AR"/>
        </w:rPr>
        <w:t xml:space="preserve">”) y demás normas aplicables a procesos de reestructuración empresariales, y consecuentemente, algunas disposiciones de las Obligaciones Negociables no se aplicarán. </w:t>
      </w:r>
    </w:p>
    <w:p w14:paraId="496CC7F0" w14:textId="77777777" w:rsidR="00B55910" w:rsidRPr="00804E1F" w:rsidRDefault="00B55910" w:rsidP="00B55910">
      <w:pPr>
        <w:jc w:val="both"/>
        <w:rPr>
          <w:rFonts w:eastAsia="Calibri"/>
          <w:iCs/>
          <w:sz w:val="20"/>
          <w:szCs w:val="20"/>
          <w:lang w:val="es-AR"/>
        </w:rPr>
      </w:pPr>
    </w:p>
    <w:p w14:paraId="6D3F1FB2"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 xml:space="preserve">La Ley de Concursos establece para los obligacionistas un procedimiento de votación diferente al de los restantes acreedores quirografarios a los efectos del cómputo de las mayorías requeridas por la Ley de Concursos, (que requiere la mayoría absoluta de los acreedores que representen dos tercios del monto de capital no garantizado). Conforme este sistema diferencial, el poder de negociación de los titulares de las Obligaciones Negociables puede ser significativamente menor que el de los demás acreedores financieros de la Sociedad. </w:t>
      </w:r>
    </w:p>
    <w:p w14:paraId="29AFE3E1" w14:textId="77777777" w:rsidR="00B55910" w:rsidRPr="00804E1F" w:rsidRDefault="00B55910" w:rsidP="00B55910">
      <w:pPr>
        <w:jc w:val="both"/>
        <w:rPr>
          <w:rFonts w:eastAsia="Calibri"/>
          <w:iCs/>
          <w:sz w:val="20"/>
          <w:szCs w:val="20"/>
          <w:lang w:val="es-AR"/>
        </w:rPr>
      </w:pPr>
    </w:p>
    <w:p w14:paraId="5BC5FE16"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 xml:space="preserve">En particular, la Ley de Concursos establece que, en el caso de títulos emitidos en serie, como las Obligaciones Negociables, sus tenedores participarán de la obtención de conformidades para la aprobación de una propuesta concordataria y/o de un acuerdo de reestructuración de dichos créditos sujeto a un procedimiento para el cálculo de mayorías diferente al requerido con respecto a otros acreedores quirografarios. Dicho procedimiento establece que: 1) los tenedores se reunirán en asamblea convocada por el fiduciario o por el juez en su caso; 2) en ella, los tenedores presentes expresarán, a través de su voto, su conformidad o rechazo de la propuesta de acuerdo preventivo que les corresponda, y manifestarán a qué alternativa adhieren para el caso que la propuesta fuere aprobada; 3) el plan se considerará aprobado o rechazado en base al monto de capital total que vote a favor y el monto de capital total que vote en contra de la propuesta, más el acuerdo de los demás acreedores; 4) la conformidad será exteriorizada por el fiduciario o por quien haya designado la asamblea, sirviendo el acta de la asamblea como instrumento suficiente a todos los efectos; 5) podrá prescindirse de la asamblea cuando el fideicomiso o las normas aplicables a él prevean otro método de obtención de aceptaciones de los titulares de créditos que el juez estime suficiente; 6) en los casos en que sea el fiduciario quien haya resultado verificado o declarado admisible como titular de los créditos, de conformidad con lo previsto en el artículo 32 bis de la Ley de Concursos, podrá desdoblar su voto; se computará como aceptación por el capital de los beneficiarios que hayan expresado su conformidad con la propuesta de acuerdo con el método previsto en el fideicomiso o en la ley que le resulte aplicable; y como rechazo por el resto. Se computará en la mayoría de personas como una aceptación y una negativa; 7) en el caso de legitimados o representantes colectivos verificados o declarados admisibles en los términos del artículo 32 bis de la Ley de Concursos, en el régimen de voto se aplicará el inciso 6 anterior; y 8) en todos los casos el juez podrá disponer las medidas pertinentes para asegurar la participación de los acreedores y la regularidad de la obtención de las conformidades o rechazos. </w:t>
      </w:r>
    </w:p>
    <w:p w14:paraId="55B1798B" w14:textId="77777777" w:rsidR="00B55910" w:rsidRPr="00804E1F" w:rsidRDefault="00B55910" w:rsidP="00B55910">
      <w:pPr>
        <w:jc w:val="both"/>
        <w:rPr>
          <w:rFonts w:eastAsia="Calibri"/>
          <w:iCs/>
          <w:sz w:val="20"/>
          <w:szCs w:val="20"/>
          <w:lang w:val="es-AR"/>
        </w:rPr>
      </w:pPr>
    </w:p>
    <w:p w14:paraId="1490A463"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 xml:space="preserve">Adicionalmente, ciertos precedentes jurisprudenciales han sostenido que aquellos titulares de las Obligaciones Negociables que no asistan a la asamblea para expresar su voto o se abstengan de votar, no serán computados a los efectos de los cálculos que corresponden realizar para calcular dichas mayorías. </w:t>
      </w:r>
    </w:p>
    <w:p w14:paraId="0BFF2A1B" w14:textId="77777777" w:rsidR="00B55910" w:rsidRPr="00804E1F" w:rsidRDefault="00B55910" w:rsidP="00B55910">
      <w:pPr>
        <w:jc w:val="both"/>
        <w:rPr>
          <w:rFonts w:eastAsia="Calibri"/>
          <w:iCs/>
          <w:sz w:val="20"/>
          <w:szCs w:val="20"/>
          <w:lang w:val="es-AR"/>
        </w:rPr>
      </w:pPr>
    </w:p>
    <w:p w14:paraId="56FF13DE"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La consecuencia del régimen de obtención de mayorías antes descripto y de los precedentes judiciales mencionados hace que en caso de que la Sociedad entre en un proceso concursal o de reestructuración de sus pasivos, el poder de negociación de los tenedores de las Obligaciones Negociables, en relación al de los restantes acreedores financieros y comerciales, pueda verse disminuido.</w:t>
      </w:r>
    </w:p>
    <w:p w14:paraId="12A9FF1F" w14:textId="77777777" w:rsidR="00B55910" w:rsidRPr="00804E1F" w:rsidRDefault="00B55910" w:rsidP="00B55910">
      <w:pPr>
        <w:jc w:val="both"/>
        <w:rPr>
          <w:rFonts w:eastAsia="Calibri"/>
          <w:iCs/>
          <w:sz w:val="20"/>
          <w:szCs w:val="20"/>
          <w:lang w:val="es-AR"/>
        </w:rPr>
      </w:pPr>
    </w:p>
    <w:p w14:paraId="6F41FC4F" w14:textId="77777777" w:rsidR="00B55910" w:rsidRPr="009D3F74" w:rsidRDefault="00B55910" w:rsidP="00B55910">
      <w:pPr>
        <w:jc w:val="both"/>
        <w:rPr>
          <w:rFonts w:eastAsia="Calibri"/>
          <w:i/>
          <w:sz w:val="20"/>
          <w:szCs w:val="20"/>
          <w:lang w:val="es-AR"/>
        </w:rPr>
      </w:pPr>
      <w:r w:rsidRPr="009D3F74">
        <w:rPr>
          <w:rFonts w:eastAsia="Calibri"/>
          <w:i/>
          <w:sz w:val="20"/>
          <w:szCs w:val="20"/>
          <w:lang w:val="es-AR"/>
        </w:rPr>
        <w:t>La calificación de las Obligaciones Negociables que sea publicada podría verse afectada negativamente en el futuro.</w:t>
      </w:r>
    </w:p>
    <w:p w14:paraId="51795DCE" w14:textId="77777777" w:rsidR="00B55910" w:rsidRPr="00804E1F" w:rsidRDefault="00B55910" w:rsidP="00B55910">
      <w:pPr>
        <w:jc w:val="both"/>
        <w:rPr>
          <w:rFonts w:eastAsia="Calibri"/>
          <w:iCs/>
          <w:sz w:val="20"/>
          <w:szCs w:val="20"/>
          <w:lang w:val="es-AR"/>
        </w:rPr>
      </w:pPr>
    </w:p>
    <w:p w14:paraId="38109276"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La Emisora podrá optar entre solicitar una, dos o ninguna calificación de riesgo. Las calificaciones que oportunamente sean otorgadas podrían verse reducidas en el caso que la Compañía no sea capaz de llevar a cabo las proyecciones sobre las cuales se ha basado dicha calificación, y esto tener un impacto negativo en el precio de mercado de las Obligaciones Negociables.</w:t>
      </w:r>
    </w:p>
    <w:p w14:paraId="6ECF7E8C" w14:textId="77777777" w:rsidR="00B55910" w:rsidRPr="00804E1F" w:rsidRDefault="00B55910" w:rsidP="00B55910">
      <w:pPr>
        <w:jc w:val="both"/>
        <w:rPr>
          <w:rFonts w:eastAsia="Calibri"/>
          <w:iCs/>
          <w:sz w:val="20"/>
          <w:szCs w:val="20"/>
          <w:lang w:val="es-AR"/>
        </w:rPr>
      </w:pPr>
    </w:p>
    <w:p w14:paraId="2936BE37" w14:textId="77777777" w:rsidR="00B55910" w:rsidRPr="00804E1F" w:rsidRDefault="00B55910" w:rsidP="00B55910">
      <w:pPr>
        <w:jc w:val="both"/>
        <w:rPr>
          <w:rFonts w:eastAsia="Calibri"/>
          <w:iCs/>
          <w:sz w:val="20"/>
          <w:szCs w:val="20"/>
          <w:lang w:val="es-AR"/>
        </w:rPr>
      </w:pPr>
      <w:r w:rsidRPr="00804E1F">
        <w:rPr>
          <w:rFonts w:eastAsia="Calibri"/>
          <w:iCs/>
          <w:sz w:val="20"/>
          <w:szCs w:val="20"/>
          <w:lang w:val="es-AR"/>
        </w:rPr>
        <w:t>El precio de mercado de las Obligaciones Negociables podría verse material y negativamente afectado por uno o varios de los factores de riesgo aquí listados o por otros que la compañía desconoce o no puede prefigurar que afecten a su operatoria.</w:t>
      </w:r>
    </w:p>
    <w:p w14:paraId="00A8439C" w14:textId="77777777" w:rsidR="00B55910" w:rsidRPr="00804E1F" w:rsidRDefault="00B55910" w:rsidP="000334EA">
      <w:pPr>
        <w:jc w:val="both"/>
        <w:rPr>
          <w:rFonts w:eastAsia="Calibri"/>
          <w:iCs/>
          <w:sz w:val="20"/>
          <w:szCs w:val="20"/>
          <w:lang w:val="es-AR"/>
        </w:rPr>
      </w:pPr>
    </w:p>
    <w:p w14:paraId="2B68548D" w14:textId="77777777" w:rsidR="000334EA" w:rsidRPr="00FF6308" w:rsidRDefault="000334EA" w:rsidP="000334EA">
      <w:pPr>
        <w:jc w:val="center"/>
        <w:rPr>
          <w:rFonts w:eastAsia="Calibri"/>
          <w:b/>
          <w:bCs/>
          <w:sz w:val="20"/>
          <w:szCs w:val="20"/>
          <w:lang w:val="es-MX"/>
        </w:rPr>
      </w:pPr>
    </w:p>
    <w:p w14:paraId="27A3E07D" w14:textId="77777777" w:rsidR="000334EA" w:rsidRPr="00FF6308" w:rsidRDefault="000334EA">
      <w:pPr>
        <w:rPr>
          <w:b/>
          <w:sz w:val="20"/>
          <w:szCs w:val="20"/>
          <w:highlight w:val="yellow"/>
          <w:lang w:val="es-MX" w:eastAsia="es-ES"/>
        </w:rPr>
      </w:pPr>
      <w:r w:rsidRPr="00FF6308">
        <w:rPr>
          <w:b/>
          <w:sz w:val="20"/>
          <w:szCs w:val="20"/>
          <w:highlight w:val="yellow"/>
          <w:lang w:val="es-MX" w:eastAsia="es-ES"/>
        </w:rPr>
        <w:br w:type="page"/>
      </w:r>
    </w:p>
    <w:p w14:paraId="54E7EBF5" w14:textId="4D71EC23" w:rsidR="000334EA" w:rsidRPr="007213A1" w:rsidRDefault="000334EA" w:rsidP="000334EA">
      <w:pPr>
        <w:widowControl w:val="0"/>
        <w:suppressLineNumbers/>
        <w:suppressAutoHyphens/>
        <w:jc w:val="center"/>
        <w:rPr>
          <w:b/>
          <w:sz w:val="20"/>
          <w:szCs w:val="20"/>
          <w:lang w:val="es-MX" w:eastAsia="es-ES"/>
        </w:rPr>
      </w:pPr>
      <w:r w:rsidRPr="007213A1">
        <w:rPr>
          <w:b/>
          <w:sz w:val="20"/>
          <w:szCs w:val="20"/>
          <w:lang w:val="es-MX" w:eastAsia="es-ES"/>
        </w:rPr>
        <w:t>IV</w:t>
      </w:r>
      <w:r w:rsidR="00A227AF">
        <w:rPr>
          <w:b/>
          <w:sz w:val="20"/>
          <w:szCs w:val="20"/>
          <w:lang w:val="es-MX" w:eastAsia="es-ES"/>
        </w:rPr>
        <w:t xml:space="preserve">. </w:t>
      </w:r>
      <w:r w:rsidRPr="007213A1">
        <w:rPr>
          <w:b/>
          <w:sz w:val="20"/>
          <w:szCs w:val="20"/>
          <w:lang w:val="es-MX" w:eastAsia="es-ES"/>
        </w:rPr>
        <w:t>POLÍTICAS DE LA EMISORA</w:t>
      </w:r>
    </w:p>
    <w:p w14:paraId="6053F9F5" w14:textId="77777777" w:rsidR="000334EA" w:rsidRPr="007213A1" w:rsidRDefault="000334EA" w:rsidP="000334EA">
      <w:pPr>
        <w:widowControl w:val="0"/>
        <w:suppressLineNumbers/>
        <w:suppressAutoHyphens/>
        <w:jc w:val="center"/>
        <w:rPr>
          <w:b/>
          <w:sz w:val="20"/>
          <w:szCs w:val="20"/>
          <w:lang w:val="es-MX" w:eastAsia="es-ES"/>
        </w:rPr>
      </w:pPr>
    </w:p>
    <w:p w14:paraId="10A911AF" w14:textId="1DBCEF79" w:rsidR="000334EA" w:rsidRDefault="000334EA" w:rsidP="000334EA">
      <w:pPr>
        <w:spacing w:line="240" w:lineRule="atLeast"/>
        <w:jc w:val="both"/>
        <w:rPr>
          <w:b/>
          <w:sz w:val="20"/>
          <w:szCs w:val="20"/>
          <w:lang w:val="es-MX"/>
        </w:rPr>
      </w:pPr>
      <w:r w:rsidRPr="007213A1">
        <w:rPr>
          <w:b/>
          <w:sz w:val="20"/>
          <w:szCs w:val="20"/>
          <w:lang w:val="es-MX"/>
        </w:rPr>
        <w:t>a)</w:t>
      </w:r>
      <w:r w:rsidRPr="007213A1">
        <w:rPr>
          <w:b/>
          <w:sz w:val="20"/>
          <w:szCs w:val="20"/>
          <w:lang w:val="es-MX"/>
        </w:rPr>
        <w:tab/>
        <w:t>Políticas de Inversiones, de Financiamiento y Ambientales</w:t>
      </w:r>
    </w:p>
    <w:p w14:paraId="743BABF4" w14:textId="77777777" w:rsidR="00203621" w:rsidRPr="007213A1" w:rsidRDefault="00203621" w:rsidP="000334EA">
      <w:pPr>
        <w:spacing w:line="240" w:lineRule="atLeast"/>
        <w:jc w:val="both"/>
        <w:rPr>
          <w:sz w:val="20"/>
          <w:szCs w:val="20"/>
          <w:lang w:val="es-MX"/>
        </w:rPr>
      </w:pPr>
    </w:p>
    <w:p w14:paraId="07C82596" w14:textId="57D4D05A" w:rsidR="00ED1EF1" w:rsidRDefault="00ED1EF1" w:rsidP="00ED1EF1">
      <w:pPr>
        <w:jc w:val="both"/>
        <w:rPr>
          <w:sz w:val="20"/>
          <w:szCs w:val="20"/>
          <w:lang w:val="es-AR"/>
        </w:rPr>
      </w:pPr>
      <w:r w:rsidRPr="005175F2">
        <w:rPr>
          <w:sz w:val="20"/>
          <w:szCs w:val="20"/>
          <w:lang w:val="es-AR"/>
        </w:rPr>
        <w:t xml:space="preserve">En los últimos años la </w:t>
      </w:r>
      <w:r>
        <w:rPr>
          <w:sz w:val="20"/>
          <w:szCs w:val="20"/>
          <w:lang w:val="es-AR"/>
        </w:rPr>
        <w:t>empresa ha llevado adelante un proceso de diversificación de actividades y formas asociativas, imprescindibles para poder ejecutar proyectos de exportación o porque por su naturaleza los nuevos contratos han requerido generar alianzas estratégicas y comerciales con otras empresas nacionales o del exterior.</w:t>
      </w:r>
    </w:p>
    <w:p w14:paraId="1A49E929" w14:textId="77777777" w:rsidR="00A65D97" w:rsidRDefault="00A65D97" w:rsidP="00ED1EF1">
      <w:pPr>
        <w:jc w:val="both"/>
        <w:rPr>
          <w:sz w:val="20"/>
          <w:szCs w:val="20"/>
          <w:lang w:val="es-AR"/>
        </w:rPr>
      </w:pPr>
    </w:p>
    <w:p w14:paraId="2456ABC8" w14:textId="5DEA8E8B" w:rsidR="00ED1EF1" w:rsidRPr="005175F2" w:rsidRDefault="00ED1EF1" w:rsidP="00ED1EF1">
      <w:pPr>
        <w:jc w:val="both"/>
        <w:rPr>
          <w:sz w:val="20"/>
          <w:szCs w:val="20"/>
          <w:lang w:val="es-AR"/>
        </w:rPr>
      </w:pPr>
      <w:r>
        <w:rPr>
          <w:sz w:val="20"/>
          <w:szCs w:val="20"/>
          <w:lang w:val="es-AR"/>
        </w:rPr>
        <w:t>A su vez, INVAP sigue manteniendo una fuerte política orientada a investigación, desarrollo e innovación, con el objetivo de detectar nuevas aplicaciones de las tecnologías que la empresa domina y oportunidades de que puedan generar futuros negocios, para lo cual se realizan inversiones en activos físicos, en activos intangibles y en desarrollos requeridos para cumplir con los requerimientos de licitaciones donde INVAP participa.</w:t>
      </w:r>
    </w:p>
    <w:p w14:paraId="5777F631" w14:textId="77777777" w:rsidR="000334EA" w:rsidRPr="007213A1" w:rsidRDefault="000334EA" w:rsidP="000334EA">
      <w:pPr>
        <w:widowControl w:val="0"/>
        <w:suppressLineNumbers/>
        <w:suppressAutoHyphens/>
        <w:jc w:val="both"/>
        <w:rPr>
          <w:b/>
          <w:sz w:val="20"/>
          <w:szCs w:val="20"/>
          <w:lang w:val="es-MX" w:eastAsia="es-ES"/>
        </w:rPr>
      </w:pPr>
    </w:p>
    <w:p w14:paraId="302C98DB" w14:textId="25229856" w:rsidR="000334EA" w:rsidRPr="007213A1" w:rsidRDefault="000334EA" w:rsidP="000334EA">
      <w:pPr>
        <w:spacing w:line="240" w:lineRule="atLeast"/>
        <w:jc w:val="both"/>
        <w:rPr>
          <w:b/>
          <w:i/>
          <w:sz w:val="20"/>
          <w:szCs w:val="20"/>
          <w:lang w:val="es-MX"/>
        </w:rPr>
      </w:pPr>
      <w:r w:rsidRPr="007213A1">
        <w:rPr>
          <w:b/>
          <w:i/>
          <w:sz w:val="20"/>
          <w:szCs w:val="20"/>
          <w:lang w:val="es-MX"/>
        </w:rPr>
        <w:t>Inversiones y desinversiones</w:t>
      </w:r>
    </w:p>
    <w:p w14:paraId="39F0E858" w14:textId="77777777" w:rsidR="000334EA" w:rsidRPr="007213A1" w:rsidRDefault="000334EA" w:rsidP="000334EA">
      <w:pPr>
        <w:jc w:val="both"/>
        <w:rPr>
          <w:sz w:val="20"/>
          <w:szCs w:val="20"/>
          <w:lang w:val="es-MX"/>
        </w:rPr>
      </w:pPr>
    </w:p>
    <w:p w14:paraId="68E54F68" w14:textId="62DFFC5D" w:rsidR="00ED1EF1" w:rsidRPr="001774C5" w:rsidRDefault="00ED1EF1" w:rsidP="00ED1EF1">
      <w:pPr>
        <w:jc w:val="both"/>
        <w:rPr>
          <w:bCs/>
          <w:sz w:val="20"/>
          <w:szCs w:val="20"/>
          <w:lang w:val="es-ES"/>
        </w:rPr>
      </w:pPr>
      <w:r w:rsidRPr="000745D7">
        <w:rPr>
          <w:sz w:val="20"/>
          <w:szCs w:val="20"/>
          <w:lang w:val="es-AR"/>
        </w:rPr>
        <w:t>Para más información, ver Capítulo</w:t>
      </w:r>
      <w:r w:rsidRPr="001774C5">
        <w:rPr>
          <w:sz w:val="20"/>
          <w:szCs w:val="20"/>
          <w:u w:val="single"/>
          <w:lang w:val="es-AR"/>
        </w:rPr>
        <w:t xml:space="preserve"> </w:t>
      </w:r>
      <w:r w:rsidRPr="001774C5">
        <w:rPr>
          <w:bCs/>
          <w:sz w:val="20"/>
          <w:szCs w:val="20"/>
          <w:lang w:val="es-ES"/>
        </w:rPr>
        <w:t>VI</w:t>
      </w:r>
      <w:r>
        <w:rPr>
          <w:bCs/>
          <w:sz w:val="20"/>
          <w:szCs w:val="20"/>
          <w:lang w:val="es-ES"/>
        </w:rPr>
        <w:t xml:space="preserve"> </w:t>
      </w:r>
      <w:r w:rsidRPr="00A61C89">
        <w:rPr>
          <w:bCs/>
          <w:i/>
          <w:iCs/>
          <w:sz w:val="20"/>
          <w:szCs w:val="20"/>
          <w:lang w:val="es-ES"/>
        </w:rPr>
        <w:t>“Estructura de la Emisora, Accionistas o Socios y Partes Relacionadas”</w:t>
      </w:r>
      <w:r>
        <w:rPr>
          <w:bCs/>
          <w:i/>
          <w:iCs/>
          <w:sz w:val="20"/>
          <w:szCs w:val="20"/>
          <w:lang w:val="es-ES"/>
        </w:rPr>
        <w:t xml:space="preserve">, </w:t>
      </w:r>
      <w:r>
        <w:rPr>
          <w:bCs/>
          <w:sz w:val="20"/>
          <w:szCs w:val="20"/>
          <w:lang w:val="es-ES"/>
        </w:rPr>
        <w:t>en el cual se detallan las tenencias accionarias, monto del capital, empresa y país en donde INVAP ha realizado inversiones, siempre en ocasión de penetrar mercados estratégicos o de acompañar la ejecución de los contratos firmados.</w:t>
      </w:r>
    </w:p>
    <w:p w14:paraId="54F94CD0" w14:textId="77777777" w:rsidR="000334EA" w:rsidRPr="007213A1" w:rsidRDefault="000334EA" w:rsidP="000334EA">
      <w:pPr>
        <w:jc w:val="both"/>
        <w:rPr>
          <w:sz w:val="20"/>
          <w:szCs w:val="20"/>
          <w:lang w:val="es-AR"/>
        </w:rPr>
      </w:pPr>
    </w:p>
    <w:p w14:paraId="7B04B09C" w14:textId="77777777" w:rsidR="000334EA" w:rsidRPr="007213A1" w:rsidRDefault="000334EA" w:rsidP="000334EA">
      <w:pPr>
        <w:spacing w:line="240" w:lineRule="atLeast"/>
        <w:jc w:val="both"/>
        <w:rPr>
          <w:b/>
          <w:i/>
          <w:sz w:val="20"/>
          <w:szCs w:val="20"/>
          <w:lang w:val="es-MX"/>
        </w:rPr>
      </w:pPr>
      <w:r w:rsidRPr="007213A1">
        <w:rPr>
          <w:b/>
          <w:i/>
          <w:sz w:val="20"/>
          <w:szCs w:val="20"/>
          <w:lang w:val="es-MX"/>
        </w:rPr>
        <w:t>Nivel de Inversión de Capital</w:t>
      </w:r>
    </w:p>
    <w:p w14:paraId="6249AA21" w14:textId="20BD0193" w:rsidR="00ED1EF1" w:rsidRDefault="00ED1EF1" w:rsidP="00ED1EF1">
      <w:pPr>
        <w:jc w:val="both"/>
        <w:rPr>
          <w:sz w:val="20"/>
          <w:szCs w:val="20"/>
          <w:lang w:val="es-AR"/>
        </w:rPr>
      </w:pPr>
      <w:r>
        <w:rPr>
          <w:sz w:val="20"/>
          <w:szCs w:val="20"/>
          <w:lang w:val="es-AR"/>
        </w:rPr>
        <w:t>Dado el tipo de actividad de la empresa y la importancia que las actividades de investigación, desarrollo e innovación tienen para mantener a INVAP con productos y servicios competitivos a nivel mundial, hay permanentemente grupos de trabajo y proyectos tendientes a generar know how, prototipos o desarrollos que permitan optimizar diferentes sistemas y componentes de los productos que se fabrican, construyen e instalan, así como sus respectivos diseños o tecnologías aplicables. Esto es válido tanto para todas las gerencias de negocio de la empresa.</w:t>
      </w:r>
    </w:p>
    <w:p w14:paraId="0E35DDBC" w14:textId="77777777" w:rsidR="0037280C" w:rsidRDefault="0037280C" w:rsidP="00ED1EF1">
      <w:pPr>
        <w:jc w:val="both"/>
        <w:rPr>
          <w:sz w:val="20"/>
          <w:szCs w:val="20"/>
          <w:lang w:val="es-AR"/>
        </w:rPr>
      </w:pPr>
    </w:p>
    <w:p w14:paraId="3F1090D3" w14:textId="1A3F6C99" w:rsidR="00ED1EF1" w:rsidRDefault="00ED1EF1" w:rsidP="00ED1EF1">
      <w:pPr>
        <w:jc w:val="both"/>
        <w:rPr>
          <w:sz w:val="20"/>
          <w:szCs w:val="20"/>
          <w:lang w:val="es-AR"/>
        </w:rPr>
      </w:pPr>
      <w:r>
        <w:rPr>
          <w:sz w:val="20"/>
          <w:szCs w:val="20"/>
          <w:lang w:val="es-AR"/>
        </w:rPr>
        <w:t xml:space="preserve">Por otro lado, acompañando el desarrollo del Parque Industrial y Tecnológico de Bariloche (PITBA), INVAP tiene proyectado en los próximos ejercicios una importante inversión en terrenos dentro del mismo, así como otras mejoras a implementarse en la actual sede y sucursales de la empresa. </w:t>
      </w:r>
    </w:p>
    <w:p w14:paraId="384F49A0" w14:textId="77777777" w:rsidR="000334EA" w:rsidRPr="001622AF" w:rsidRDefault="000334EA" w:rsidP="000334EA">
      <w:pPr>
        <w:jc w:val="both"/>
        <w:rPr>
          <w:sz w:val="20"/>
          <w:szCs w:val="20"/>
          <w:lang w:val="es-AR"/>
        </w:rPr>
      </w:pPr>
    </w:p>
    <w:p w14:paraId="54C853B8" w14:textId="77777777" w:rsidR="000334EA" w:rsidRPr="007213A1" w:rsidRDefault="000334EA" w:rsidP="000334EA">
      <w:pPr>
        <w:jc w:val="both"/>
        <w:rPr>
          <w:b/>
          <w:i/>
          <w:sz w:val="20"/>
          <w:szCs w:val="20"/>
          <w:lang w:val="es-MX"/>
        </w:rPr>
      </w:pPr>
      <w:r w:rsidRPr="007213A1">
        <w:rPr>
          <w:b/>
          <w:i/>
          <w:sz w:val="20"/>
          <w:szCs w:val="20"/>
          <w:lang w:val="es-MX"/>
        </w:rPr>
        <w:t>Actividades de investigación y desarrollo</w:t>
      </w:r>
    </w:p>
    <w:p w14:paraId="24409675" w14:textId="77777777" w:rsidR="000334EA" w:rsidRPr="007213A1" w:rsidRDefault="000334EA" w:rsidP="000334EA">
      <w:pPr>
        <w:jc w:val="both"/>
        <w:rPr>
          <w:sz w:val="20"/>
          <w:szCs w:val="20"/>
          <w:lang w:val="es-MX"/>
        </w:rPr>
      </w:pPr>
    </w:p>
    <w:p w14:paraId="5CD8CD76" w14:textId="77777777" w:rsidR="000334EA" w:rsidRPr="007213A1" w:rsidRDefault="000334EA" w:rsidP="000334EA">
      <w:pPr>
        <w:jc w:val="both"/>
        <w:rPr>
          <w:color w:val="000000"/>
          <w:sz w:val="20"/>
          <w:szCs w:val="20"/>
          <w:lang w:val="es-AR"/>
        </w:rPr>
      </w:pPr>
      <w:r w:rsidRPr="007213A1">
        <w:rPr>
          <w:color w:val="000000"/>
          <w:sz w:val="20"/>
          <w:szCs w:val="20"/>
          <w:lang w:val="es-AR"/>
        </w:rPr>
        <w:t>Debido a la naturaleza de las actividades económicas de la empresa, continuamente se generan tareas de Investigación y Desarrollo (I+D) aplicadas en ingeniería, necesarias para diseñar productos o crear soluciones innovadoras. Estos aportes dejan precedentes en la ciencia aplicada y en los ámbitos tecnológicos donde se aplican, y sirven de referencia para empresas y profesionales del país y del mundo.</w:t>
      </w:r>
    </w:p>
    <w:p w14:paraId="56C06EAF" w14:textId="77777777" w:rsidR="0037280C" w:rsidRDefault="0037280C" w:rsidP="000334EA">
      <w:pPr>
        <w:jc w:val="both"/>
        <w:rPr>
          <w:color w:val="000000"/>
          <w:sz w:val="20"/>
          <w:szCs w:val="20"/>
          <w:lang w:val="es-AR"/>
        </w:rPr>
      </w:pPr>
    </w:p>
    <w:p w14:paraId="044F023C" w14:textId="014F3567" w:rsidR="000334EA" w:rsidRPr="007213A1" w:rsidRDefault="000334EA" w:rsidP="000334EA">
      <w:pPr>
        <w:jc w:val="both"/>
        <w:rPr>
          <w:color w:val="000000"/>
          <w:sz w:val="20"/>
          <w:szCs w:val="20"/>
          <w:lang w:val="es-AR"/>
        </w:rPr>
      </w:pPr>
      <w:r w:rsidRPr="007213A1">
        <w:rPr>
          <w:color w:val="000000"/>
          <w:sz w:val="20"/>
          <w:szCs w:val="20"/>
          <w:lang w:val="es-AR"/>
        </w:rPr>
        <w:t xml:space="preserve">Es fundamental la estrecha relación de INVAP con el Sistema Nacional de Ciencia y Tecnología, a fin de potenciar las capacidades de sus recursos humanos </w:t>
      </w:r>
    </w:p>
    <w:p w14:paraId="66156D85" w14:textId="77777777" w:rsidR="000334EA" w:rsidRPr="007213A1" w:rsidRDefault="000334EA" w:rsidP="000334EA">
      <w:pPr>
        <w:jc w:val="both"/>
        <w:rPr>
          <w:sz w:val="20"/>
          <w:szCs w:val="20"/>
          <w:lang w:val="es-MX"/>
        </w:rPr>
      </w:pPr>
    </w:p>
    <w:p w14:paraId="4937D955" w14:textId="77777777" w:rsidR="00FF7E2C" w:rsidRPr="00261D02" w:rsidRDefault="00FF7E2C" w:rsidP="00FF7E2C">
      <w:pPr>
        <w:spacing w:line="240" w:lineRule="atLeast"/>
        <w:rPr>
          <w:b/>
          <w:color w:val="000000"/>
          <w:sz w:val="20"/>
          <w:szCs w:val="20"/>
          <w:lang w:val="es-ES"/>
        </w:rPr>
      </w:pPr>
      <w:r w:rsidRPr="00261D02">
        <w:rPr>
          <w:b/>
          <w:color w:val="000000"/>
          <w:sz w:val="20"/>
          <w:szCs w:val="20"/>
          <w:lang w:val="es-ES"/>
        </w:rPr>
        <w:t xml:space="preserve">Política </w:t>
      </w:r>
      <w:r>
        <w:rPr>
          <w:b/>
          <w:color w:val="000000"/>
          <w:sz w:val="20"/>
          <w:szCs w:val="20"/>
          <w:lang w:val="es-ES"/>
        </w:rPr>
        <w:t>ambiental o de Sustentabilidad</w:t>
      </w:r>
    </w:p>
    <w:p w14:paraId="7E99809F" w14:textId="77777777" w:rsidR="00FF7E2C"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p>
    <w:p w14:paraId="61E84AE5" w14:textId="77777777" w:rsidR="00FF7E2C"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r>
        <w:rPr>
          <w:color w:val="000000"/>
          <w:lang w:val="es-AR" w:eastAsia="en-US"/>
        </w:rPr>
        <w:t>INVAP cuenta con una política del sistema de gestión integrado en seguridad, salud, ambiente y calidad que establece el marco para el desarrollo hacia los objetivos de cumplimiento y mejora continua.</w:t>
      </w:r>
    </w:p>
    <w:p w14:paraId="278E2C34" w14:textId="77777777" w:rsidR="00FF7E2C"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p>
    <w:p w14:paraId="144287C8" w14:textId="3036D048" w:rsidR="00FF7E2C"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r>
        <w:rPr>
          <w:color w:val="000000"/>
          <w:lang w:val="es-AR" w:eastAsia="en-US"/>
        </w:rPr>
        <w:t xml:space="preserve">En sus orígenes, que parten junto con el nacimiento de INVAP en 1976, el sistema de gestión comienza a desarrollarse desde la perspectiva de la Calidad. </w:t>
      </w:r>
      <w:r w:rsidRPr="007213A1">
        <w:rPr>
          <w:color w:val="000000"/>
          <w:lang w:val="es-AR" w:eastAsia="en-US"/>
        </w:rPr>
        <w:t>INVAP</w:t>
      </w:r>
      <w:r>
        <w:rPr>
          <w:color w:val="000000"/>
          <w:lang w:val="es-AR" w:eastAsia="en-US"/>
        </w:rPr>
        <w:t xml:space="preserve"> evoluciona sostenidamente en el tema, </w:t>
      </w:r>
      <w:r w:rsidRPr="007213A1">
        <w:rPr>
          <w:color w:val="000000"/>
          <w:lang w:val="es-AR" w:eastAsia="en-US"/>
        </w:rPr>
        <w:t>aplica</w:t>
      </w:r>
      <w:r>
        <w:rPr>
          <w:color w:val="000000"/>
          <w:lang w:val="es-AR" w:eastAsia="en-US"/>
        </w:rPr>
        <w:t>ndo</w:t>
      </w:r>
      <w:r w:rsidRPr="007213A1">
        <w:rPr>
          <w:color w:val="000000"/>
          <w:lang w:val="es-AR" w:eastAsia="en-US"/>
        </w:rPr>
        <w:t xml:space="preserve"> procedimientos de Gestión de Calidad a trabajos de Ingeniería, Construcción, Fabricación, Montaje y Operaciones de Puesta en Marcha. Cada </w:t>
      </w:r>
      <w:r w:rsidR="0037280C">
        <w:rPr>
          <w:color w:val="000000"/>
          <w:lang w:val="es-AR" w:eastAsia="en-US"/>
        </w:rPr>
        <w:t>p</w:t>
      </w:r>
      <w:r w:rsidRPr="007213A1">
        <w:rPr>
          <w:color w:val="000000"/>
          <w:lang w:val="es-AR" w:eastAsia="en-US"/>
        </w:rPr>
        <w:t xml:space="preserve">royecto </w:t>
      </w:r>
      <w:r>
        <w:rPr>
          <w:color w:val="000000"/>
          <w:lang w:val="es-AR" w:eastAsia="en-US"/>
        </w:rPr>
        <w:t xml:space="preserve">genera para sí una adaptación particular del </w:t>
      </w:r>
      <w:r w:rsidRPr="007213A1">
        <w:rPr>
          <w:color w:val="000000"/>
          <w:lang w:val="es-AR" w:eastAsia="en-US"/>
        </w:rPr>
        <w:t>Sistema de Gestión de Calidad, adecuá</w:t>
      </w:r>
      <w:r>
        <w:rPr>
          <w:color w:val="000000"/>
          <w:lang w:val="es-AR" w:eastAsia="en-US"/>
        </w:rPr>
        <w:t>n</w:t>
      </w:r>
      <w:r w:rsidRPr="007213A1">
        <w:rPr>
          <w:color w:val="000000"/>
          <w:lang w:val="es-AR" w:eastAsia="en-US"/>
        </w:rPr>
        <w:t>do</w:t>
      </w:r>
      <w:r>
        <w:rPr>
          <w:color w:val="000000"/>
          <w:lang w:val="es-AR" w:eastAsia="en-US"/>
        </w:rPr>
        <w:t>la</w:t>
      </w:r>
      <w:r w:rsidRPr="007213A1">
        <w:rPr>
          <w:color w:val="000000"/>
          <w:lang w:val="es-AR" w:eastAsia="en-US"/>
        </w:rPr>
        <w:t xml:space="preserve"> a los requerimientos internos, contractuales, del producto</w:t>
      </w:r>
      <w:r>
        <w:rPr>
          <w:color w:val="000000"/>
          <w:lang w:val="es-AR" w:eastAsia="en-US"/>
        </w:rPr>
        <w:t xml:space="preserve"> y aquellos aplicables según el </w:t>
      </w:r>
      <w:r w:rsidRPr="007213A1">
        <w:rPr>
          <w:color w:val="000000"/>
          <w:lang w:val="es-AR" w:eastAsia="en-US"/>
        </w:rPr>
        <w:t>país</w:t>
      </w:r>
      <w:r>
        <w:rPr>
          <w:color w:val="000000"/>
          <w:lang w:val="es-AR" w:eastAsia="en-US"/>
        </w:rPr>
        <w:t xml:space="preserve"> o región</w:t>
      </w:r>
      <w:r w:rsidRPr="007213A1">
        <w:rPr>
          <w:color w:val="000000"/>
          <w:lang w:val="es-AR" w:eastAsia="en-US"/>
        </w:rPr>
        <w:t xml:space="preserve"> en el cual </w:t>
      </w:r>
      <w:r>
        <w:rPr>
          <w:color w:val="000000"/>
          <w:lang w:val="es-AR" w:eastAsia="en-US"/>
        </w:rPr>
        <w:t>se desarrolla</w:t>
      </w:r>
      <w:r w:rsidRPr="007213A1">
        <w:rPr>
          <w:color w:val="000000"/>
          <w:lang w:val="es-AR" w:eastAsia="en-US"/>
        </w:rPr>
        <w:t>.</w:t>
      </w:r>
      <w:r w:rsidRPr="00F94D7C">
        <w:rPr>
          <w:color w:val="000000"/>
          <w:lang w:val="es-AR" w:eastAsia="en-US"/>
        </w:rPr>
        <w:t xml:space="preserve"> </w:t>
      </w:r>
      <w:r w:rsidRPr="007213A1">
        <w:rPr>
          <w:color w:val="000000"/>
          <w:lang w:val="es-AR" w:eastAsia="en-US"/>
        </w:rPr>
        <w:t>En términos generales, el objetivo primordial es alcanzar un sistema confiable, flexible y de costos adecuados</w:t>
      </w:r>
      <w:r>
        <w:rPr>
          <w:color w:val="000000"/>
          <w:lang w:val="es-AR" w:eastAsia="en-US"/>
        </w:rPr>
        <w:t xml:space="preserve">, que asegure la satisfacción del cliente. </w:t>
      </w:r>
    </w:p>
    <w:p w14:paraId="575FC2AB" w14:textId="77777777" w:rsidR="00FF7E2C"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p>
    <w:p w14:paraId="0FBC111C" w14:textId="77777777" w:rsidR="00FF7E2C"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r>
        <w:rPr>
          <w:color w:val="000000"/>
          <w:lang w:val="es-AR" w:eastAsia="en-US"/>
        </w:rPr>
        <w:t xml:space="preserve">En el año 2016 se unifican las áreas de seguridad y salud ocupacional, Ambiente y Calidad al crearse el área de Seguridad y Salud Ocupacional, Ambiente y Calidad, dependiendo directamente de Gerencia General, con la responsabilidad asegurar el cumplimiento de los requisitos y atender según corresponda las expectativas de partes interesadas en relación a estas temáticas, implementando y manteniendo el sistema de gestión integrado en Seguridad y Salud Ocupacional, Ambiente y Calidad de INVAP. </w:t>
      </w:r>
    </w:p>
    <w:p w14:paraId="3CE923BB" w14:textId="77777777" w:rsidR="00FF7E2C"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p>
    <w:p w14:paraId="570C9E7D" w14:textId="77777777" w:rsidR="00FF7E2C"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r>
        <w:rPr>
          <w:color w:val="000000"/>
          <w:lang w:val="es-AR" w:eastAsia="en-US"/>
        </w:rPr>
        <w:t xml:space="preserve">El sistema de Gestión ambiental comienza a desarrollarse en el año 2001, sobre la base del sistema de gestión de calidad, con el objetivo de controlar el impacto ambiental que genera. El sistema de gestión ambiental analiza los procesos, actividades y productos que INVAP desarrolla identificando los aspectos ambientales de los mismos. A partir de este análisis identifica impactos ambientales, los clasifica y ordena a fin de trabajar sistemáticamente para controlarlos y disminuir los impactos ambientales negativos más importantes. </w:t>
      </w:r>
    </w:p>
    <w:p w14:paraId="1A290E49" w14:textId="77777777" w:rsidR="00FF7E2C"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p>
    <w:p w14:paraId="3415B713" w14:textId="77777777" w:rsidR="00FF7E2C"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r>
        <w:rPr>
          <w:color w:val="000000"/>
          <w:lang w:val="es-AR" w:eastAsia="en-US"/>
        </w:rPr>
        <w:t xml:space="preserve">Desde el punto de vista de seguridad y salud ocupacional, INVAP trabaja acorde a la legislación vigente en la prevención de accidentes y enfermedades profesionales. </w:t>
      </w:r>
    </w:p>
    <w:p w14:paraId="401D225A" w14:textId="77777777" w:rsidR="00FF7E2C"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p>
    <w:p w14:paraId="38BBB75B" w14:textId="77777777" w:rsidR="00FF7E2C"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r>
        <w:rPr>
          <w:color w:val="000000"/>
          <w:lang w:val="es-AR" w:eastAsia="en-US"/>
        </w:rPr>
        <w:t xml:space="preserve">El sistema de gestión está certificado bajo normas internacionales en lo que respecta a Calidad (ISO 9001:2015 e ISO 13485:2016) y Ambiente (ISO 14001:2015). </w:t>
      </w:r>
    </w:p>
    <w:p w14:paraId="1475DDAD" w14:textId="77777777" w:rsidR="00FF7E2C"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p>
    <w:p w14:paraId="08C5F17F" w14:textId="77777777" w:rsidR="00FF7E2C" w:rsidRPr="00A61C89" w:rsidRDefault="00FF7E2C" w:rsidP="00FF7E2C">
      <w:pPr>
        <w:pStyle w:val="CPNormalLeft"/>
        <w:widowControl w:val="0"/>
        <w:tabs>
          <w:tab w:val="clear" w:pos="900"/>
          <w:tab w:val="clear" w:pos="1170"/>
        </w:tabs>
        <w:autoSpaceDE w:val="0"/>
        <w:autoSpaceDN w:val="0"/>
        <w:adjustRightInd w:val="0"/>
        <w:spacing w:after="0"/>
        <w:rPr>
          <w:b/>
          <w:color w:val="000000"/>
          <w:lang w:val="es-AR" w:eastAsia="en-US"/>
        </w:rPr>
      </w:pPr>
      <w:r w:rsidRPr="00887B1E">
        <w:rPr>
          <w:b/>
          <w:color w:val="000000"/>
          <w:lang w:val="es-AR" w:eastAsia="en-US"/>
        </w:rPr>
        <w:t>Riesgos e impacto ambiental.</w:t>
      </w:r>
      <w:r w:rsidRPr="00A61C89">
        <w:rPr>
          <w:b/>
          <w:color w:val="000000"/>
          <w:lang w:val="es-AR" w:eastAsia="en-US"/>
        </w:rPr>
        <w:t xml:space="preserve"> Seguro Ambiental Ley 25.675</w:t>
      </w:r>
    </w:p>
    <w:p w14:paraId="2CCE38BB" w14:textId="77777777" w:rsidR="00FF7E2C"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p>
    <w:p w14:paraId="7E631C1F" w14:textId="1B1D9F4F" w:rsidR="00FF7E2C"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r>
        <w:rPr>
          <w:color w:val="000000"/>
          <w:lang w:val="es-AR" w:eastAsia="en-US"/>
        </w:rPr>
        <w:t xml:space="preserve">Derivado de la obligación establecida por el art. 22 de la Ley Nacional 25.675, INVAP ha realizado el proceso indicado para determinar la aplicabilidad de contratar un Seguro Ambiental para cada uno de sus establecimientos. Resultó de este proceso la necesidad de contar con el seguro ambiental únicamente para su Sede Central, </w:t>
      </w:r>
      <w:r w:rsidR="00ED1EF1">
        <w:rPr>
          <w:color w:val="000000"/>
          <w:lang w:val="es-AR" w:eastAsia="en-US"/>
        </w:rPr>
        <w:t>cuya contratación se ha concretado.</w:t>
      </w:r>
    </w:p>
    <w:p w14:paraId="3B3AC853" w14:textId="77777777" w:rsidR="00FF7E2C"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p>
    <w:p w14:paraId="5923E3C1" w14:textId="77777777" w:rsidR="00FF7E2C" w:rsidRPr="00870701" w:rsidRDefault="00FF7E2C" w:rsidP="00FF7E2C">
      <w:pPr>
        <w:spacing w:line="240" w:lineRule="atLeast"/>
        <w:rPr>
          <w:b/>
          <w:color w:val="000000"/>
          <w:sz w:val="20"/>
          <w:szCs w:val="20"/>
          <w:lang w:val="es-ES"/>
        </w:rPr>
      </w:pPr>
      <w:r w:rsidRPr="00870701">
        <w:rPr>
          <w:b/>
          <w:color w:val="000000"/>
          <w:sz w:val="20"/>
          <w:szCs w:val="20"/>
          <w:lang w:val="es-ES"/>
        </w:rPr>
        <w:t>Ambiente y sustentabilidad</w:t>
      </w:r>
    </w:p>
    <w:p w14:paraId="64DCF01D" w14:textId="77777777" w:rsidR="00050A32" w:rsidRDefault="00050A32" w:rsidP="00FF7E2C">
      <w:pPr>
        <w:pStyle w:val="CPNormalLeft"/>
        <w:widowControl w:val="0"/>
        <w:tabs>
          <w:tab w:val="clear" w:pos="900"/>
          <w:tab w:val="clear" w:pos="1170"/>
        </w:tabs>
        <w:autoSpaceDE w:val="0"/>
        <w:autoSpaceDN w:val="0"/>
        <w:adjustRightInd w:val="0"/>
        <w:spacing w:after="0"/>
        <w:rPr>
          <w:color w:val="000000"/>
          <w:lang w:val="es-AR" w:eastAsia="en-US"/>
        </w:rPr>
      </w:pPr>
    </w:p>
    <w:p w14:paraId="6BB8726D" w14:textId="0A6B562C" w:rsidR="00ED1EF1"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r>
        <w:rPr>
          <w:color w:val="000000"/>
          <w:lang w:val="es-AR" w:eastAsia="en-US"/>
        </w:rPr>
        <w:t>INVAP ha adherido en forma voluntaria al Pacto Global de las Naciones Unidas, formalizando su compromiso con los principios del mismo, en relación a</w:t>
      </w:r>
      <w:r w:rsidR="00ED1EF1">
        <w:rPr>
          <w:color w:val="000000"/>
          <w:lang w:val="es-AR" w:eastAsia="en-US"/>
        </w:rPr>
        <w:t>:</w:t>
      </w:r>
      <w:r w:rsidR="0037280C">
        <w:rPr>
          <w:color w:val="000000"/>
          <w:lang w:val="es-AR" w:eastAsia="en-US"/>
        </w:rPr>
        <w:t xml:space="preserve"> </w:t>
      </w:r>
    </w:p>
    <w:p w14:paraId="51A6F268" w14:textId="77777777" w:rsidR="0037280C" w:rsidRDefault="0037280C" w:rsidP="00FF7E2C">
      <w:pPr>
        <w:pStyle w:val="CPNormalLeft"/>
        <w:widowControl w:val="0"/>
        <w:tabs>
          <w:tab w:val="clear" w:pos="900"/>
          <w:tab w:val="clear" w:pos="1170"/>
        </w:tabs>
        <w:autoSpaceDE w:val="0"/>
        <w:autoSpaceDN w:val="0"/>
        <w:adjustRightInd w:val="0"/>
        <w:spacing w:after="0"/>
        <w:rPr>
          <w:color w:val="000000"/>
          <w:lang w:val="es-AR" w:eastAsia="en-US"/>
        </w:rPr>
      </w:pPr>
    </w:p>
    <w:p w14:paraId="1E0AA940" w14:textId="7E7E99B1" w:rsidR="00ED1EF1" w:rsidRDefault="00ED1EF1" w:rsidP="00ED1EF1">
      <w:pPr>
        <w:pStyle w:val="CPNormalLeft"/>
        <w:widowControl w:val="0"/>
        <w:numPr>
          <w:ilvl w:val="0"/>
          <w:numId w:val="55"/>
        </w:numPr>
        <w:tabs>
          <w:tab w:val="clear" w:pos="900"/>
          <w:tab w:val="clear" w:pos="1170"/>
        </w:tabs>
        <w:autoSpaceDE w:val="0"/>
        <w:autoSpaceDN w:val="0"/>
        <w:adjustRightInd w:val="0"/>
        <w:spacing w:after="0"/>
        <w:rPr>
          <w:color w:val="000000"/>
          <w:lang w:val="es-AR" w:eastAsia="en-US"/>
        </w:rPr>
      </w:pPr>
      <w:r>
        <w:rPr>
          <w:color w:val="000000"/>
          <w:lang w:val="es-AR" w:eastAsia="en-US"/>
        </w:rPr>
        <w:t>El respeto a la protección de los de derechos humanos fundamentales reconocidos internacionalmente.</w:t>
      </w:r>
    </w:p>
    <w:p w14:paraId="1A0BB439" w14:textId="77777777" w:rsidR="00ED1EF1" w:rsidRDefault="00ED1EF1" w:rsidP="00ED1EF1">
      <w:pPr>
        <w:pStyle w:val="CPNormalLeft"/>
        <w:widowControl w:val="0"/>
        <w:numPr>
          <w:ilvl w:val="0"/>
          <w:numId w:val="55"/>
        </w:numPr>
        <w:tabs>
          <w:tab w:val="clear" w:pos="900"/>
          <w:tab w:val="clear" w:pos="1170"/>
        </w:tabs>
        <w:autoSpaceDE w:val="0"/>
        <w:autoSpaceDN w:val="0"/>
        <w:adjustRightInd w:val="0"/>
        <w:spacing w:after="0"/>
        <w:rPr>
          <w:color w:val="000000"/>
          <w:lang w:val="es-AR" w:eastAsia="en-US"/>
        </w:rPr>
      </w:pPr>
      <w:r>
        <w:rPr>
          <w:color w:val="000000"/>
          <w:lang w:val="es-AR" w:eastAsia="en-US"/>
        </w:rPr>
        <w:t>El apoyo a los derechos laborales, rechazando el trabajo infantil, el trabajo forzoso o bajo coacción y fomentando políticas tendientes a abolir la discriminación laboral de cualquier tipo.</w:t>
      </w:r>
    </w:p>
    <w:p w14:paraId="4E0DBC7B" w14:textId="77777777" w:rsidR="00ED1EF1" w:rsidRDefault="00ED1EF1" w:rsidP="00ED1EF1">
      <w:pPr>
        <w:pStyle w:val="CPNormalLeft"/>
        <w:widowControl w:val="0"/>
        <w:numPr>
          <w:ilvl w:val="0"/>
          <w:numId w:val="55"/>
        </w:numPr>
        <w:tabs>
          <w:tab w:val="clear" w:pos="900"/>
          <w:tab w:val="clear" w:pos="1170"/>
        </w:tabs>
        <w:autoSpaceDE w:val="0"/>
        <w:autoSpaceDN w:val="0"/>
        <w:adjustRightInd w:val="0"/>
        <w:spacing w:after="0"/>
        <w:rPr>
          <w:color w:val="000000"/>
          <w:lang w:val="es-AR" w:eastAsia="en-US"/>
        </w:rPr>
      </w:pPr>
      <w:r>
        <w:rPr>
          <w:color w:val="000000"/>
          <w:lang w:val="es-AR" w:eastAsia="en-US"/>
        </w:rPr>
        <w:t>El enfoque preventivo y de mayor responsabilidad en la gestión ambiental, favoreciendo el desarrollo de tecnologías respetuosas con el medioambiente, y</w:t>
      </w:r>
    </w:p>
    <w:p w14:paraId="0004A95B" w14:textId="77777777" w:rsidR="00ED1EF1" w:rsidRPr="005A2FD4" w:rsidRDefault="00ED1EF1" w:rsidP="00ED1EF1">
      <w:pPr>
        <w:pStyle w:val="CPNormalLeft"/>
        <w:widowControl w:val="0"/>
        <w:numPr>
          <w:ilvl w:val="0"/>
          <w:numId w:val="55"/>
        </w:numPr>
        <w:tabs>
          <w:tab w:val="clear" w:pos="900"/>
          <w:tab w:val="clear" w:pos="1170"/>
        </w:tabs>
        <w:autoSpaceDE w:val="0"/>
        <w:autoSpaceDN w:val="0"/>
        <w:adjustRightInd w:val="0"/>
        <w:spacing w:after="0"/>
        <w:rPr>
          <w:color w:val="000000"/>
          <w:lang w:val="es-AR" w:eastAsia="en-US"/>
        </w:rPr>
      </w:pPr>
      <w:r>
        <w:rPr>
          <w:color w:val="000000"/>
          <w:lang w:val="es-AR" w:eastAsia="en-US"/>
        </w:rPr>
        <w:t xml:space="preserve">La lucha contra la corrupción en todas sus formas. </w:t>
      </w:r>
    </w:p>
    <w:p w14:paraId="50E54784" w14:textId="0935B048" w:rsidR="00FF7E2C" w:rsidRPr="005A2FD4" w:rsidRDefault="00FF7E2C" w:rsidP="00FF7E2C">
      <w:pPr>
        <w:pStyle w:val="CPNormalLeft"/>
        <w:widowControl w:val="0"/>
        <w:tabs>
          <w:tab w:val="clear" w:pos="900"/>
          <w:tab w:val="clear" w:pos="1170"/>
        </w:tabs>
        <w:autoSpaceDE w:val="0"/>
        <w:autoSpaceDN w:val="0"/>
        <w:adjustRightInd w:val="0"/>
        <w:spacing w:after="0"/>
        <w:rPr>
          <w:color w:val="000000"/>
          <w:lang w:val="es-AR" w:eastAsia="en-US"/>
        </w:rPr>
      </w:pPr>
    </w:p>
    <w:p w14:paraId="3A5EA65D" w14:textId="77777777" w:rsidR="000334EA" w:rsidRPr="007213A1" w:rsidRDefault="000334EA" w:rsidP="000334EA">
      <w:pPr>
        <w:numPr>
          <w:ilvl w:val="0"/>
          <w:numId w:val="38"/>
        </w:numPr>
        <w:ind w:left="0" w:firstLine="0"/>
        <w:contextualSpacing/>
        <w:jc w:val="both"/>
        <w:rPr>
          <w:b/>
          <w:bCs/>
          <w:sz w:val="20"/>
          <w:szCs w:val="20"/>
          <w:lang w:val="es-ES" w:eastAsia="es-ES"/>
        </w:rPr>
      </w:pPr>
      <w:r w:rsidRPr="007213A1">
        <w:rPr>
          <w:b/>
          <w:bCs/>
          <w:sz w:val="20"/>
          <w:szCs w:val="20"/>
          <w:lang w:val="es-ES" w:eastAsia="es-ES"/>
        </w:rPr>
        <w:t>Política de Dividendos y Agentes Pagadores</w:t>
      </w:r>
    </w:p>
    <w:p w14:paraId="5C211D9E" w14:textId="77777777" w:rsidR="000334EA" w:rsidRPr="007213A1" w:rsidRDefault="000334EA" w:rsidP="000334EA">
      <w:pPr>
        <w:contextualSpacing/>
        <w:jc w:val="both"/>
        <w:rPr>
          <w:b/>
          <w:bCs/>
          <w:sz w:val="20"/>
          <w:szCs w:val="20"/>
          <w:lang w:val="es-ES" w:eastAsia="es-ES"/>
        </w:rPr>
      </w:pPr>
    </w:p>
    <w:p w14:paraId="7D7A1C73" w14:textId="76D2719F" w:rsidR="000334EA" w:rsidRPr="00A61C89" w:rsidRDefault="000334EA" w:rsidP="000334EA">
      <w:pPr>
        <w:pStyle w:val="Textodenotaalfinal"/>
        <w:autoSpaceDE/>
        <w:autoSpaceDN/>
        <w:adjustRightInd/>
        <w:jc w:val="both"/>
        <w:rPr>
          <w:rFonts w:ascii="Times New Roman" w:hAnsi="Times New Roman"/>
          <w:color w:val="000000"/>
          <w:lang w:eastAsia="en-US"/>
        </w:rPr>
      </w:pPr>
      <w:r w:rsidRPr="00A61C89">
        <w:rPr>
          <w:rFonts w:ascii="Times New Roman" w:hAnsi="Times New Roman"/>
          <w:color w:val="000000"/>
          <w:lang w:eastAsia="en-US"/>
        </w:rPr>
        <w:t>De acuerdo con el Artículo Vigésimo Tercero del Estatuto Social, las ganancias realizadas y líquidas se destinarán: “</w:t>
      </w:r>
      <w:r w:rsidRPr="00A61C89">
        <w:rPr>
          <w:rFonts w:ascii="Times New Roman" w:hAnsi="Times New Roman"/>
          <w:i/>
          <w:iCs/>
          <w:color w:val="000000"/>
          <w:lang w:eastAsia="en-US"/>
        </w:rPr>
        <w:t>a) Reserva Legal: cinco por ciento (5%) hasta alcanzar el veinte por ciento (20%) del capital suscripto; b) Hogar de Ancianos “El descanso de Jesús” (Personería Jurídica Dto. 612) de San Carlos de Bariloche (Río Negro): dentro de las políticas de Responsabilidad Social Empresaria se dispone asignar a dicha institución, una suma que será determinada por el Directorio y revisada periódicamente por el mismo, para adaptarla a la situación económica imperante en cada momento, a pagar en mensualidades; c) Bonos de participación: una suma destinada a los tenedores de bonos del Art. 10 de este Estatuto; d) Remuneración de los Directores y comisión Fiscalizadora en su caso; e) Fondos de Previsión: destinados a Reserva Facultativa, o a cuenta nueva o al destino que determine la Asamblea, que no contraríe el espíritu de capitalización de utilidades que es prioritario de esta Sociedad</w:t>
      </w:r>
      <w:r w:rsidRPr="00A61C89">
        <w:rPr>
          <w:rFonts w:ascii="Times New Roman" w:hAnsi="Times New Roman"/>
          <w:color w:val="000000"/>
          <w:lang w:eastAsia="en-US"/>
        </w:rPr>
        <w:t>”. No se ha definido en el Estatuto Social fecha límite en la que el derecho a percibir dividendos prescribe.</w:t>
      </w:r>
    </w:p>
    <w:p w14:paraId="50A250C0" w14:textId="77777777" w:rsidR="000334EA" w:rsidRPr="00A61C89" w:rsidRDefault="000334EA" w:rsidP="000334EA">
      <w:pPr>
        <w:pStyle w:val="Textoindependiente"/>
        <w:widowControl w:val="0"/>
        <w:spacing w:before="0"/>
        <w:ind w:right="0"/>
        <w:rPr>
          <w:color w:val="000000"/>
          <w:lang w:val="es-AR"/>
        </w:rPr>
      </w:pPr>
    </w:p>
    <w:p w14:paraId="7E00C205" w14:textId="09A2DC98" w:rsidR="000334EA" w:rsidRPr="007213A1" w:rsidRDefault="000334EA" w:rsidP="000334EA">
      <w:pPr>
        <w:pStyle w:val="Textodenotaalfinal"/>
        <w:autoSpaceDE/>
        <w:autoSpaceDN/>
        <w:adjustRightInd/>
        <w:jc w:val="both"/>
        <w:rPr>
          <w:rFonts w:ascii="Times New Roman" w:hAnsi="Times New Roman"/>
          <w:color w:val="000000"/>
          <w:lang w:eastAsia="en-US"/>
        </w:rPr>
      </w:pPr>
      <w:r w:rsidRPr="00A61C89">
        <w:rPr>
          <w:rFonts w:ascii="Times New Roman" w:hAnsi="Times New Roman"/>
          <w:color w:val="000000"/>
          <w:lang w:eastAsia="en-US"/>
        </w:rPr>
        <w:t>La participación en los resultados de la Emisora es propuesta a la Asamblea de Accionistas por el Directorio de la Sociedad, los cuales se distribuyen de forma equivalente entre todos los empleados que cumplan con la antigüedad requerida. Cabe destacar que a propuesta de la Gerencia General de INVAP, se distribuye la asignación del monto a todos los empleados en virtud del inciso c) del Estatuto Social.</w:t>
      </w:r>
    </w:p>
    <w:p w14:paraId="7E2025B6" w14:textId="77777777" w:rsidR="000334EA" w:rsidRPr="007213A1" w:rsidRDefault="000334EA" w:rsidP="000334EA">
      <w:pPr>
        <w:contextualSpacing/>
        <w:jc w:val="both"/>
        <w:rPr>
          <w:b/>
          <w:bCs/>
          <w:sz w:val="20"/>
          <w:szCs w:val="20"/>
          <w:lang w:val="es-AR" w:eastAsia="es-ES"/>
        </w:rPr>
      </w:pPr>
    </w:p>
    <w:p w14:paraId="4E28B381" w14:textId="77777777" w:rsidR="000334EA" w:rsidRPr="007213A1" w:rsidRDefault="000334EA">
      <w:pPr>
        <w:rPr>
          <w:b/>
          <w:sz w:val="20"/>
          <w:szCs w:val="20"/>
          <w:lang w:val="es-ES" w:eastAsia="es-ES"/>
        </w:rPr>
      </w:pPr>
      <w:r w:rsidRPr="007213A1">
        <w:rPr>
          <w:b/>
          <w:sz w:val="20"/>
          <w:szCs w:val="20"/>
          <w:lang w:val="es-ES" w:eastAsia="es-ES"/>
        </w:rPr>
        <w:br w:type="page"/>
      </w:r>
    </w:p>
    <w:p w14:paraId="0A7B3E9F" w14:textId="5DF9E2BA" w:rsidR="000334EA" w:rsidRPr="007213A1" w:rsidRDefault="000334EA" w:rsidP="000334EA">
      <w:pPr>
        <w:jc w:val="center"/>
        <w:rPr>
          <w:b/>
          <w:bCs/>
          <w:smallCaps/>
          <w:sz w:val="20"/>
          <w:szCs w:val="20"/>
          <w:lang w:val="es-ES"/>
        </w:rPr>
      </w:pPr>
      <w:r w:rsidRPr="007213A1">
        <w:rPr>
          <w:b/>
          <w:bCs/>
          <w:smallCaps/>
          <w:sz w:val="20"/>
          <w:szCs w:val="20"/>
          <w:lang w:val="es-ES"/>
        </w:rPr>
        <w:t>V</w:t>
      </w:r>
      <w:r w:rsidR="00A227AF">
        <w:rPr>
          <w:b/>
          <w:bCs/>
          <w:smallCaps/>
          <w:sz w:val="20"/>
          <w:szCs w:val="20"/>
          <w:lang w:val="es-ES"/>
        </w:rPr>
        <w:t>.</w:t>
      </w:r>
      <w:r w:rsidRPr="007213A1">
        <w:rPr>
          <w:b/>
          <w:bCs/>
          <w:smallCaps/>
          <w:sz w:val="20"/>
          <w:szCs w:val="20"/>
          <w:lang w:val="es-ES"/>
        </w:rPr>
        <w:tab/>
        <w:t>INFORMACIÓN SOBRE LOS DIRECTORES O ADMINISTRADORES, GERENTES, PROMOTORES Y MIEMBROS DEL ÓRGANO DE FISCALIZACIÓN</w:t>
      </w:r>
    </w:p>
    <w:p w14:paraId="351E1CAC" w14:textId="77777777" w:rsidR="000334EA" w:rsidRPr="007213A1" w:rsidRDefault="000334EA" w:rsidP="000334EA">
      <w:pPr>
        <w:widowControl w:val="0"/>
        <w:suppressLineNumbers/>
        <w:suppressAutoHyphens/>
        <w:jc w:val="both"/>
        <w:rPr>
          <w:b/>
          <w:sz w:val="20"/>
          <w:szCs w:val="20"/>
          <w:lang w:val="es-ES" w:eastAsia="es-ES"/>
        </w:rPr>
      </w:pPr>
    </w:p>
    <w:p w14:paraId="5F3ED430" w14:textId="77777777" w:rsidR="001F22C6" w:rsidRPr="007213A1" w:rsidRDefault="001F22C6" w:rsidP="001F22C6">
      <w:pPr>
        <w:jc w:val="both"/>
        <w:rPr>
          <w:b/>
          <w:sz w:val="20"/>
          <w:szCs w:val="20"/>
          <w:lang w:val="es-MX"/>
        </w:rPr>
      </w:pPr>
      <w:bookmarkStart w:id="4" w:name="_Toc254864959"/>
      <w:bookmarkStart w:id="5" w:name="_Toc254865122"/>
      <w:bookmarkStart w:id="6" w:name="_Toc254870515"/>
      <w:bookmarkStart w:id="7" w:name="_Toc254870748"/>
      <w:bookmarkStart w:id="8" w:name="_Toc254871165"/>
      <w:bookmarkStart w:id="9" w:name="_Toc257031271"/>
      <w:bookmarkStart w:id="10" w:name="_Toc258264030"/>
      <w:bookmarkStart w:id="11" w:name="_Toc272256913"/>
      <w:bookmarkStart w:id="12" w:name="_Toc272498741"/>
      <w:bookmarkStart w:id="13" w:name="_Toc272498853"/>
      <w:bookmarkStart w:id="14" w:name="_Toc272499084"/>
      <w:bookmarkStart w:id="15" w:name="_Toc272855994"/>
      <w:bookmarkStart w:id="16" w:name="_Toc272953626"/>
      <w:bookmarkStart w:id="17" w:name="_Toc273706028"/>
      <w:bookmarkStart w:id="18" w:name="_Toc274818740"/>
      <w:bookmarkStart w:id="19" w:name="_Toc280124680"/>
      <w:bookmarkStart w:id="20" w:name="_Toc286320622"/>
      <w:bookmarkStart w:id="21" w:name="_Toc360795963"/>
      <w:bookmarkStart w:id="22" w:name="_Toc363658935"/>
      <w:r w:rsidRPr="007213A1">
        <w:rPr>
          <w:b/>
          <w:bCs/>
          <w:sz w:val="20"/>
          <w:szCs w:val="20"/>
          <w:lang w:val="es-ES"/>
        </w:rPr>
        <w:t xml:space="preserve">a)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7213A1">
        <w:rPr>
          <w:b/>
          <w:sz w:val="20"/>
          <w:szCs w:val="20"/>
          <w:lang w:val="es-MX"/>
        </w:rPr>
        <w:t>Directores Titulares y Suplentes, Gerentes y Comisión Fiscalizadora</w:t>
      </w:r>
    </w:p>
    <w:p w14:paraId="085F3040" w14:textId="77777777" w:rsidR="001F22C6" w:rsidRPr="007213A1" w:rsidRDefault="001F22C6" w:rsidP="001F22C6">
      <w:pPr>
        <w:widowControl w:val="0"/>
        <w:jc w:val="both"/>
        <w:outlineLvl w:val="1"/>
        <w:rPr>
          <w:b/>
          <w:bCs/>
          <w:sz w:val="20"/>
          <w:szCs w:val="20"/>
          <w:lang w:val="es-MX"/>
        </w:rPr>
      </w:pPr>
    </w:p>
    <w:p w14:paraId="46CAAF90" w14:textId="77777777" w:rsidR="001F22C6" w:rsidRPr="007213A1" w:rsidRDefault="001F22C6" w:rsidP="001F22C6">
      <w:pPr>
        <w:widowControl w:val="0"/>
        <w:jc w:val="both"/>
        <w:rPr>
          <w:b/>
          <w:i/>
          <w:iCs/>
          <w:sz w:val="20"/>
          <w:szCs w:val="20"/>
          <w:lang w:val="es-ES"/>
        </w:rPr>
      </w:pPr>
      <w:r w:rsidRPr="007213A1">
        <w:rPr>
          <w:b/>
          <w:i/>
          <w:iCs/>
          <w:sz w:val="20"/>
          <w:szCs w:val="20"/>
          <w:lang w:val="es-ES"/>
        </w:rPr>
        <w:t>Directores</w:t>
      </w:r>
    </w:p>
    <w:p w14:paraId="68BDF682" w14:textId="77777777" w:rsidR="001F22C6" w:rsidRPr="007213A1" w:rsidRDefault="001F22C6" w:rsidP="001F22C6">
      <w:pPr>
        <w:widowControl w:val="0"/>
        <w:jc w:val="both"/>
        <w:rPr>
          <w:bCs/>
          <w:sz w:val="20"/>
          <w:szCs w:val="20"/>
          <w:u w:val="words"/>
          <w:lang w:val="es-ES"/>
        </w:rPr>
      </w:pPr>
    </w:p>
    <w:p w14:paraId="5AA6D934" w14:textId="4809508A" w:rsidR="001F22C6" w:rsidRPr="007213A1" w:rsidRDefault="001F22C6" w:rsidP="001F22C6">
      <w:pPr>
        <w:widowControl w:val="0"/>
        <w:tabs>
          <w:tab w:val="left" w:pos="664"/>
          <w:tab w:val="left" w:pos="993"/>
          <w:tab w:val="left" w:pos="8910"/>
          <w:tab w:val="left" w:pos="9000"/>
        </w:tabs>
        <w:jc w:val="both"/>
        <w:rPr>
          <w:color w:val="000000"/>
          <w:sz w:val="20"/>
          <w:szCs w:val="20"/>
          <w:lang w:val="es-AR"/>
        </w:rPr>
      </w:pPr>
      <w:r w:rsidRPr="007213A1">
        <w:rPr>
          <w:color w:val="000000"/>
          <w:sz w:val="20"/>
          <w:szCs w:val="20"/>
          <w:lang w:val="es-AR"/>
        </w:rPr>
        <w:t>De acuerdo al Estatuto Social, el Directorio está compuesto por el número de miembros que fije la Asamblea, entre un mínimo de cinco (5) y un máximo de siete (7), con mandato por tres (3) ejercicios. La Asamblea puede designar suplentes en igual o menor número de los titulares por el mismo plazo a fin de llenar las vacantes que se produjeren. El Directorio deberá estar integrado por un representante de los tenedores de bonos de participación en los términos regulados por los Arts. 11 y 12 del mismo.</w:t>
      </w:r>
    </w:p>
    <w:p w14:paraId="4DE78305" w14:textId="77777777" w:rsidR="001F22C6" w:rsidRPr="007213A1" w:rsidRDefault="001F22C6" w:rsidP="001F22C6">
      <w:pPr>
        <w:widowControl w:val="0"/>
        <w:jc w:val="both"/>
        <w:rPr>
          <w:bCs/>
          <w:sz w:val="20"/>
          <w:szCs w:val="20"/>
          <w:lang w:val="es-ES"/>
        </w:rPr>
      </w:pPr>
    </w:p>
    <w:p w14:paraId="459A3C92" w14:textId="77777777" w:rsidR="001F22C6" w:rsidRPr="007213A1" w:rsidRDefault="001F22C6" w:rsidP="001F22C6">
      <w:pPr>
        <w:widowControl w:val="0"/>
        <w:jc w:val="both"/>
        <w:rPr>
          <w:bCs/>
          <w:sz w:val="20"/>
          <w:szCs w:val="20"/>
          <w:lang w:val="es-ES"/>
        </w:rPr>
      </w:pPr>
      <w:r w:rsidRPr="007213A1">
        <w:rPr>
          <w:bCs/>
          <w:sz w:val="20"/>
          <w:szCs w:val="20"/>
          <w:lang w:val="es-ES"/>
        </w:rPr>
        <w:t>El siguiente cuadro presenta la composición actual del Directorio de la Sociedad y, con respecto a cada miembro, el cargo que ocupa en el Directorio:</w:t>
      </w:r>
    </w:p>
    <w:p w14:paraId="49127A24" w14:textId="77777777" w:rsidR="001F22C6" w:rsidRPr="007213A1" w:rsidRDefault="001F22C6" w:rsidP="001F22C6">
      <w:pPr>
        <w:widowControl w:val="0"/>
        <w:jc w:val="both"/>
        <w:rPr>
          <w:bCs/>
          <w:sz w:val="20"/>
          <w:szCs w:val="20"/>
          <w:u w:val="words"/>
          <w:lang w:val="es-ES"/>
        </w:rPr>
      </w:pPr>
    </w:p>
    <w:tbl>
      <w:tblPr>
        <w:tblpPr w:leftFromText="141" w:rightFromText="141" w:vertAnchor="text" w:horzAnchor="margin" w:tblpXSpec="center" w:tblpY="69"/>
        <w:tblW w:w="9067" w:type="dxa"/>
        <w:tblLayout w:type="fixed"/>
        <w:tblCellMar>
          <w:left w:w="70" w:type="dxa"/>
          <w:right w:w="70" w:type="dxa"/>
        </w:tblCellMar>
        <w:tblLook w:val="0000" w:firstRow="0" w:lastRow="0" w:firstColumn="0" w:lastColumn="0" w:noHBand="0" w:noVBand="0"/>
      </w:tblPr>
      <w:tblGrid>
        <w:gridCol w:w="1560"/>
        <w:gridCol w:w="1417"/>
        <w:gridCol w:w="1276"/>
        <w:gridCol w:w="1412"/>
        <w:gridCol w:w="1134"/>
        <w:gridCol w:w="993"/>
        <w:gridCol w:w="1275"/>
      </w:tblGrid>
      <w:tr w:rsidR="00D43D95" w:rsidRPr="00D43D95" w14:paraId="303E9D3D" w14:textId="77777777" w:rsidTr="00BA304B">
        <w:trPr>
          <w:cantSplit/>
          <w:trHeight w:val="224"/>
        </w:trPr>
        <w:tc>
          <w:tcPr>
            <w:tcW w:w="1560" w:type="dxa"/>
          </w:tcPr>
          <w:p w14:paraId="32B9932B" w14:textId="77777777" w:rsidR="00D43D95" w:rsidRPr="00A61C89" w:rsidRDefault="00D43D95" w:rsidP="001C7D00">
            <w:pPr>
              <w:widowControl w:val="0"/>
              <w:jc w:val="center"/>
              <w:rPr>
                <w:b/>
                <w:bCs/>
                <w:color w:val="000000"/>
                <w:sz w:val="18"/>
                <w:szCs w:val="18"/>
                <w:lang w:val="es-ES"/>
              </w:rPr>
            </w:pPr>
            <w:r w:rsidRPr="00A61C89">
              <w:rPr>
                <w:b/>
                <w:bCs/>
                <w:color w:val="000000"/>
                <w:sz w:val="18"/>
                <w:szCs w:val="18"/>
                <w:lang w:val="es-ES"/>
              </w:rPr>
              <w:t>Cargo</w:t>
            </w:r>
          </w:p>
        </w:tc>
        <w:tc>
          <w:tcPr>
            <w:tcW w:w="1417" w:type="dxa"/>
          </w:tcPr>
          <w:p w14:paraId="144F970A" w14:textId="77777777" w:rsidR="00D43D95" w:rsidRPr="00A61C89" w:rsidRDefault="00D43D95" w:rsidP="001C7D00">
            <w:pPr>
              <w:widowControl w:val="0"/>
              <w:jc w:val="center"/>
              <w:rPr>
                <w:b/>
                <w:bCs/>
                <w:color w:val="000000"/>
                <w:sz w:val="18"/>
                <w:szCs w:val="18"/>
                <w:lang w:val="es-ES"/>
              </w:rPr>
            </w:pPr>
            <w:r w:rsidRPr="00A61C89">
              <w:rPr>
                <w:b/>
                <w:bCs/>
                <w:color w:val="000000"/>
                <w:sz w:val="18"/>
                <w:szCs w:val="18"/>
                <w:lang w:val="es-ES"/>
              </w:rPr>
              <w:t>Nombre</w:t>
            </w:r>
          </w:p>
        </w:tc>
        <w:tc>
          <w:tcPr>
            <w:tcW w:w="1276" w:type="dxa"/>
          </w:tcPr>
          <w:p w14:paraId="4C6219DF" w14:textId="77777777" w:rsidR="00D43D95" w:rsidRPr="00A61C89" w:rsidRDefault="00D43D95" w:rsidP="001C7D00">
            <w:pPr>
              <w:widowControl w:val="0"/>
              <w:jc w:val="center"/>
              <w:rPr>
                <w:b/>
                <w:bCs/>
                <w:color w:val="000000"/>
                <w:sz w:val="18"/>
                <w:szCs w:val="18"/>
                <w:lang w:val="es-ES"/>
              </w:rPr>
            </w:pPr>
            <w:r w:rsidRPr="00A61C89">
              <w:rPr>
                <w:b/>
                <w:bCs/>
                <w:color w:val="000000"/>
                <w:sz w:val="18"/>
                <w:szCs w:val="18"/>
                <w:lang w:val="es-ES"/>
              </w:rPr>
              <w:t>CUIT/CUIL</w:t>
            </w:r>
          </w:p>
        </w:tc>
        <w:tc>
          <w:tcPr>
            <w:tcW w:w="1412" w:type="dxa"/>
          </w:tcPr>
          <w:p w14:paraId="6A87658A" w14:textId="77777777" w:rsidR="00D43D95" w:rsidRPr="00A61C89" w:rsidRDefault="00D43D95" w:rsidP="001C7D00">
            <w:pPr>
              <w:widowControl w:val="0"/>
              <w:jc w:val="center"/>
              <w:rPr>
                <w:b/>
                <w:bCs/>
                <w:color w:val="000000"/>
                <w:sz w:val="18"/>
                <w:szCs w:val="18"/>
                <w:lang w:val="es-ES"/>
              </w:rPr>
            </w:pPr>
            <w:r w:rsidRPr="00A61C89">
              <w:rPr>
                <w:b/>
                <w:bCs/>
                <w:color w:val="000000"/>
                <w:sz w:val="18"/>
                <w:szCs w:val="18"/>
                <w:lang w:val="es-ES"/>
              </w:rPr>
              <w:t>Domicilio</w:t>
            </w:r>
          </w:p>
        </w:tc>
        <w:tc>
          <w:tcPr>
            <w:tcW w:w="1134" w:type="dxa"/>
          </w:tcPr>
          <w:p w14:paraId="674F3DB1" w14:textId="77777777" w:rsidR="00D43D95" w:rsidRPr="00A61C89" w:rsidRDefault="00D43D95" w:rsidP="001C7D00">
            <w:pPr>
              <w:widowControl w:val="0"/>
              <w:jc w:val="center"/>
              <w:rPr>
                <w:b/>
                <w:bCs/>
                <w:color w:val="000000"/>
                <w:sz w:val="18"/>
                <w:szCs w:val="18"/>
                <w:lang w:val="es-ES"/>
              </w:rPr>
            </w:pPr>
            <w:r w:rsidRPr="00A61C89">
              <w:rPr>
                <w:b/>
                <w:bCs/>
                <w:color w:val="000000"/>
                <w:sz w:val="18"/>
                <w:szCs w:val="18"/>
                <w:lang w:val="es-ES"/>
              </w:rPr>
              <w:t>Fecha de designación</w:t>
            </w:r>
          </w:p>
        </w:tc>
        <w:tc>
          <w:tcPr>
            <w:tcW w:w="993" w:type="dxa"/>
          </w:tcPr>
          <w:p w14:paraId="65FE91FB" w14:textId="77777777" w:rsidR="00D43D95" w:rsidRPr="00A61C89" w:rsidRDefault="00D43D95" w:rsidP="001C7D00">
            <w:pPr>
              <w:widowControl w:val="0"/>
              <w:jc w:val="center"/>
              <w:rPr>
                <w:b/>
                <w:bCs/>
                <w:color w:val="000000"/>
                <w:sz w:val="18"/>
                <w:szCs w:val="18"/>
                <w:lang w:val="es-ES"/>
              </w:rPr>
            </w:pPr>
            <w:r w:rsidRPr="00A61C89">
              <w:rPr>
                <w:b/>
                <w:bCs/>
                <w:color w:val="000000"/>
                <w:sz w:val="18"/>
                <w:szCs w:val="18"/>
                <w:lang w:val="es-ES"/>
              </w:rPr>
              <w:t xml:space="preserve">Duración de mandato </w:t>
            </w:r>
          </w:p>
        </w:tc>
        <w:tc>
          <w:tcPr>
            <w:tcW w:w="1275" w:type="dxa"/>
          </w:tcPr>
          <w:p w14:paraId="72332C7D" w14:textId="77777777" w:rsidR="00D43D95" w:rsidRPr="00A61C89" w:rsidRDefault="00D43D95" w:rsidP="001C7D00">
            <w:pPr>
              <w:widowControl w:val="0"/>
              <w:jc w:val="center"/>
              <w:rPr>
                <w:b/>
                <w:bCs/>
                <w:color w:val="000000"/>
                <w:sz w:val="18"/>
                <w:szCs w:val="18"/>
                <w:lang w:val="es-ES"/>
              </w:rPr>
            </w:pPr>
            <w:r w:rsidRPr="00A61C89">
              <w:rPr>
                <w:b/>
                <w:bCs/>
                <w:color w:val="000000"/>
                <w:sz w:val="18"/>
                <w:szCs w:val="18"/>
                <w:lang w:val="es-ES"/>
              </w:rPr>
              <w:t>Carácter de independencia</w:t>
            </w:r>
          </w:p>
        </w:tc>
      </w:tr>
      <w:tr w:rsidR="00D43D95" w:rsidRPr="00D43D95" w14:paraId="6BBEC76E" w14:textId="77777777" w:rsidTr="00BA304B">
        <w:trPr>
          <w:cantSplit/>
          <w:trHeight w:val="224"/>
        </w:trPr>
        <w:tc>
          <w:tcPr>
            <w:tcW w:w="1560" w:type="dxa"/>
          </w:tcPr>
          <w:p w14:paraId="6D23014D"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Presidente</w:t>
            </w:r>
          </w:p>
        </w:tc>
        <w:tc>
          <w:tcPr>
            <w:tcW w:w="1417" w:type="dxa"/>
          </w:tcPr>
          <w:p w14:paraId="72F5E67F"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Héctor E. Otheguy</w:t>
            </w:r>
          </w:p>
        </w:tc>
        <w:tc>
          <w:tcPr>
            <w:tcW w:w="1276" w:type="dxa"/>
          </w:tcPr>
          <w:p w14:paraId="5E989C55"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20-07601512-1</w:t>
            </w:r>
          </w:p>
        </w:tc>
        <w:tc>
          <w:tcPr>
            <w:tcW w:w="1412" w:type="dxa"/>
          </w:tcPr>
          <w:p w14:paraId="1FB24F02" w14:textId="029691ED" w:rsidR="00D43D95" w:rsidRPr="00A61C89" w:rsidRDefault="00D43D95" w:rsidP="001C7D00">
            <w:pPr>
              <w:widowControl w:val="0"/>
              <w:jc w:val="center"/>
              <w:rPr>
                <w:color w:val="000000"/>
                <w:sz w:val="18"/>
                <w:szCs w:val="18"/>
                <w:lang w:val="es-ES"/>
              </w:rPr>
            </w:pPr>
            <w:r w:rsidRPr="00A61C89">
              <w:rPr>
                <w:color w:val="000000"/>
                <w:sz w:val="18"/>
                <w:szCs w:val="18"/>
                <w:lang w:val="es-ES"/>
              </w:rPr>
              <w:t>Comandante Luis Piedrabuena 4950</w:t>
            </w:r>
            <w:r>
              <w:rPr>
                <w:color w:val="000000"/>
                <w:sz w:val="18"/>
                <w:szCs w:val="18"/>
                <w:lang w:val="es-ES"/>
              </w:rPr>
              <w:t>, Bariloche</w:t>
            </w:r>
          </w:p>
        </w:tc>
        <w:tc>
          <w:tcPr>
            <w:tcW w:w="1134" w:type="dxa"/>
          </w:tcPr>
          <w:p w14:paraId="168DC94F"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26/09/2018</w:t>
            </w:r>
          </w:p>
        </w:tc>
        <w:tc>
          <w:tcPr>
            <w:tcW w:w="993" w:type="dxa"/>
          </w:tcPr>
          <w:p w14:paraId="58709D69" w14:textId="77777777" w:rsidR="00D43D95" w:rsidRPr="00A61C89" w:rsidDel="001366EF" w:rsidRDefault="00D43D95" w:rsidP="001C7D00">
            <w:pPr>
              <w:widowControl w:val="0"/>
              <w:jc w:val="center"/>
              <w:rPr>
                <w:bCs/>
                <w:color w:val="000000"/>
                <w:sz w:val="18"/>
                <w:szCs w:val="18"/>
                <w:lang w:val="es-ES"/>
              </w:rPr>
            </w:pPr>
            <w:r w:rsidRPr="00A61C89">
              <w:rPr>
                <w:bCs/>
                <w:color w:val="000000"/>
                <w:sz w:val="18"/>
                <w:szCs w:val="18"/>
                <w:lang w:val="es-ES"/>
              </w:rPr>
              <w:t>30/06/2021</w:t>
            </w:r>
          </w:p>
        </w:tc>
        <w:tc>
          <w:tcPr>
            <w:tcW w:w="1275" w:type="dxa"/>
          </w:tcPr>
          <w:p w14:paraId="7353AA72" w14:textId="77777777" w:rsidR="00D43D95" w:rsidRPr="00A61C89" w:rsidRDefault="00D43D95" w:rsidP="001C7D00">
            <w:pPr>
              <w:widowControl w:val="0"/>
              <w:jc w:val="center"/>
              <w:rPr>
                <w:bCs/>
                <w:color w:val="000000"/>
                <w:sz w:val="18"/>
                <w:szCs w:val="18"/>
                <w:lang w:val="es-ES"/>
              </w:rPr>
            </w:pPr>
            <w:r w:rsidRPr="00A61C89">
              <w:rPr>
                <w:bCs/>
                <w:color w:val="000000"/>
                <w:sz w:val="18"/>
                <w:szCs w:val="18"/>
                <w:lang w:val="es-ES"/>
              </w:rPr>
              <w:t>No independiente</w:t>
            </w:r>
          </w:p>
        </w:tc>
      </w:tr>
      <w:tr w:rsidR="00D43D95" w:rsidRPr="00D43D95" w14:paraId="06AE378B" w14:textId="77777777" w:rsidTr="00BA304B">
        <w:trPr>
          <w:cantSplit/>
          <w:trHeight w:val="224"/>
        </w:trPr>
        <w:tc>
          <w:tcPr>
            <w:tcW w:w="1560" w:type="dxa"/>
          </w:tcPr>
          <w:p w14:paraId="10F5B615"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Vicepresidente</w:t>
            </w:r>
          </w:p>
        </w:tc>
        <w:tc>
          <w:tcPr>
            <w:tcW w:w="1417" w:type="dxa"/>
          </w:tcPr>
          <w:p w14:paraId="3D57057E"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Hugo Albani</w:t>
            </w:r>
          </w:p>
        </w:tc>
        <w:tc>
          <w:tcPr>
            <w:tcW w:w="1276" w:type="dxa"/>
          </w:tcPr>
          <w:p w14:paraId="4E7A7FA6"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20-07727327-2</w:t>
            </w:r>
          </w:p>
        </w:tc>
        <w:tc>
          <w:tcPr>
            <w:tcW w:w="1412" w:type="dxa"/>
          </w:tcPr>
          <w:p w14:paraId="4C7FEB14" w14:textId="4A919FF4" w:rsidR="00D43D95" w:rsidRPr="00A61C89" w:rsidRDefault="00D43D95" w:rsidP="001C7D00">
            <w:pPr>
              <w:widowControl w:val="0"/>
              <w:jc w:val="center"/>
              <w:rPr>
                <w:color w:val="000000"/>
                <w:sz w:val="18"/>
                <w:szCs w:val="18"/>
                <w:lang w:val="es-ES"/>
              </w:rPr>
            </w:pPr>
            <w:r w:rsidRPr="00C773DE">
              <w:rPr>
                <w:color w:val="000000"/>
                <w:sz w:val="18"/>
                <w:szCs w:val="18"/>
                <w:lang w:val="es-ES"/>
              </w:rPr>
              <w:t>Comandante Luis Piedrabuena 4950</w:t>
            </w:r>
            <w:r>
              <w:rPr>
                <w:color w:val="000000"/>
                <w:sz w:val="18"/>
                <w:szCs w:val="18"/>
                <w:lang w:val="es-ES"/>
              </w:rPr>
              <w:t>, Bariloche</w:t>
            </w:r>
          </w:p>
        </w:tc>
        <w:tc>
          <w:tcPr>
            <w:tcW w:w="1134" w:type="dxa"/>
          </w:tcPr>
          <w:p w14:paraId="626A4E0F"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26/09/2018</w:t>
            </w:r>
          </w:p>
        </w:tc>
        <w:tc>
          <w:tcPr>
            <w:tcW w:w="993" w:type="dxa"/>
          </w:tcPr>
          <w:p w14:paraId="23416F97" w14:textId="77777777" w:rsidR="00D43D95" w:rsidRPr="00A61C89" w:rsidRDefault="00D43D95" w:rsidP="001C7D00">
            <w:pPr>
              <w:widowControl w:val="0"/>
              <w:jc w:val="center"/>
              <w:rPr>
                <w:bCs/>
                <w:color w:val="000000"/>
                <w:sz w:val="18"/>
                <w:szCs w:val="18"/>
                <w:lang w:val="es-ES"/>
              </w:rPr>
            </w:pPr>
            <w:r w:rsidRPr="00A61C89">
              <w:rPr>
                <w:bCs/>
                <w:color w:val="000000"/>
                <w:sz w:val="18"/>
                <w:szCs w:val="18"/>
                <w:lang w:val="es-ES"/>
              </w:rPr>
              <w:t>30/06/2021</w:t>
            </w:r>
          </w:p>
        </w:tc>
        <w:tc>
          <w:tcPr>
            <w:tcW w:w="1275" w:type="dxa"/>
          </w:tcPr>
          <w:p w14:paraId="2062BB0A" w14:textId="77777777" w:rsidR="00D43D95" w:rsidRPr="00A61C89" w:rsidRDefault="00D43D95" w:rsidP="001C7D00">
            <w:pPr>
              <w:widowControl w:val="0"/>
              <w:jc w:val="center"/>
              <w:rPr>
                <w:bCs/>
                <w:color w:val="000000"/>
                <w:sz w:val="18"/>
                <w:szCs w:val="18"/>
                <w:lang w:val="es-ES"/>
              </w:rPr>
            </w:pPr>
            <w:r w:rsidRPr="00A61C89">
              <w:rPr>
                <w:bCs/>
                <w:color w:val="000000"/>
                <w:sz w:val="18"/>
                <w:szCs w:val="18"/>
                <w:lang w:val="es-ES"/>
              </w:rPr>
              <w:t>No independiente</w:t>
            </w:r>
          </w:p>
        </w:tc>
      </w:tr>
      <w:tr w:rsidR="00D43D95" w:rsidRPr="00D43D95" w14:paraId="05DA9237" w14:textId="77777777" w:rsidTr="00BA304B">
        <w:trPr>
          <w:cantSplit/>
          <w:trHeight w:val="224"/>
        </w:trPr>
        <w:tc>
          <w:tcPr>
            <w:tcW w:w="1560" w:type="dxa"/>
          </w:tcPr>
          <w:p w14:paraId="649578DB"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Director Titular</w:t>
            </w:r>
          </w:p>
        </w:tc>
        <w:tc>
          <w:tcPr>
            <w:tcW w:w="1417" w:type="dxa"/>
          </w:tcPr>
          <w:p w14:paraId="554A4D96"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Néstor Pablo Tognetti</w:t>
            </w:r>
          </w:p>
        </w:tc>
        <w:tc>
          <w:tcPr>
            <w:tcW w:w="1276" w:type="dxa"/>
          </w:tcPr>
          <w:p w14:paraId="1E8F6024"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20-05513588-7</w:t>
            </w:r>
          </w:p>
        </w:tc>
        <w:tc>
          <w:tcPr>
            <w:tcW w:w="1412" w:type="dxa"/>
          </w:tcPr>
          <w:p w14:paraId="7D680716" w14:textId="01AFD78D" w:rsidR="00D43D95" w:rsidRPr="00A61C89" w:rsidRDefault="00D43D95" w:rsidP="001C7D00">
            <w:pPr>
              <w:widowControl w:val="0"/>
              <w:jc w:val="center"/>
              <w:rPr>
                <w:color w:val="000000"/>
                <w:sz w:val="18"/>
                <w:szCs w:val="18"/>
                <w:lang w:val="es-ES"/>
              </w:rPr>
            </w:pPr>
            <w:r w:rsidRPr="00C773DE">
              <w:rPr>
                <w:color w:val="000000"/>
                <w:sz w:val="18"/>
                <w:szCs w:val="18"/>
                <w:lang w:val="es-ES"/>
              </w:rPr>
              <w:t>Comandante Luis Piedrabuena 4950</w:t>
            </w:r>
            <w:r>
              <w:rPr>
                <w:color w:val="000000"/>
                <w:sz w:val="18"/>
                <w:szCs w:val="18"/>
                <w:lang w:val="es-ES"/>
              </w:rPr>
              <w:t>, Bariloche</w:t>
            </w:r>
          </w:p>
        </w:tc>
        <w:tc>
          <w:tcPr>
            <w:tcW w:w="1134" w:type="dxa"/>
          </w:tcPr>
          <w:p w14:paraId="1AE4D82C"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26/09/2018</w:t>
            </w:r>
          </w:p>
        </w:tc>
        <w:tc>
          <w:tcPr>
            <w:tcW w:w="993" w:type="dxa"/>
          </w:tcPr>
          <w:p w14:paraId="5845C927" w14:textId="77777777" w:rsidR="00D43D95" w:rsidRPr="00A61C89" w:rsidRDefault="00D43D95" w:rsidP="001C7D00">
            <w:pPr>
              <w:widowControl w:val="0"/>
              <w:jc w:val="center"/>
              <w:rPr>
                <w:bCs/>
                <w:color w:val="000000"/>
                <w:sz w:val="18"/>
                <w:szCs w:val="18"/>
                <w:lang w:val="es-ES"/>
              </w:rPr>
            </w:pPr>
            <w:r w:rsidRPr="00A61C89">
              <w:rPr>
                <w:bCs/>
                <w:color w:val="000000"/>
                <w:sz w:val="18"/>
                <w:szCs w:val="18"/>
                <w:lang w:val="es-ES"/>
              </w:rPr>
              <w:t>30/06/2021</w:t>
            </w:r>
          </w:p>
        </w:tc>
        <w:tc>
          <w:tcPr>
            <w:tcW w:w="1275" w:type="dxa"/>
          </w:tcPr>
          <w:p w14:paraId="0842CDB7" w14:textId="77777777" w:rsidR="00D43D95" w:rsidRPr="00A61C89" w:rsidRDefault="00D43D95" w:rsidP="001C7D00">
            <w:pPr>
              <w:widowControl w:val="0"/>
              <w:jc w:val="center"/>
              <w:rPr>
                <w:bCs/>
                <w:color w:val="000000"/>
                <w:sz w:val="18"/>
                <w:szCs w:val="18"/>
                <w:lang w:val="es-ES"/>
              </w:rPr>
            </w:pPr>
            <w:r w:rsidRPr="00A61C89">
              <w:rPr>
                <w:bCs/>
                <w:color w:val="000000"/>
                <w:sz w:val="18"/>
                <w:szCs w:val="18"/>
                <w:lang w:val="es-ES"/>
              </w:rPr>
              <w:t>No independiente</w:t>
            </w:r>
          </w:p>
        </w:tc>
      </w:tr>
      <w:tr w:rsidR="00D43D95" w:rsidRPr="00D43D95" w14:paraId="62599370" w14:textId="77777777" w:rsidTr="00BA304B">
        <w:trPr>
          <w:cantSplit/>
          <w:trHeight w:val="224"/>
        </w:trPr>
        <w:tc>
          <w:tcPr>
            <w:tcW w:w="1560" w:type="dxa"/>
          </w:tcPr>
          <w:p w14:paraId="2D280C51"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Director Titular</w:t>
            </w:r>
          </w:p>
        </w:tc>
        <w:tc>
          <w:tcPr>
            <w:tcW w:w="1417" w:type="dxa"/>
          </w:tcPr>
          <w:p w14:paraId="746D4C13"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Hugo Brendstrup</w:t>
            </w:r>
          </w:p>
        </w:tc>
        <w:tc>
          <w:tcPr>
            <w:tcW w:w="1276" w:type="dxa"/>
          </w:tcPr>
          <w:p w14:paraId="200C6E23"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20-08216424-4</w:t>
            </w:r>
          </w:p>
        </w:tc>
        <w:tc>
          <w:tcPr>
            <w:tcW w:w="1412" w:type="dxa"/>
          </w:tcPr>
          <w:p w14:paraId="17EA0AA9" w14:textId="06BD99D9" w:rsidR="00D43D95" w:rsidRPr="00A61C89" w:rsidRDefault="00D43D95" w:rsidP="001C7D00">
            <w:pPr>
              <w:widowControl w:val="0"/>
              <w:jc w:val="center"/>
              <w:rPr>
                <w:color w:val="000000"/>
                <w:sz w:val="18"/>
                <w:szCs w:val="18"/>
                <w:highlight w:val="yellow"/>
                <w:lang w:val="es-ES"/>
              </w:rPr>
            </w:pPr>
            <w:r w:rsidRPr="00C773DE">
              <w:rPr>
                <w:color w:val="000000"/>
                <w:sz w:val="18"/>
                <w:szCs w:val="18"/>
                <w:lang w:val="es-ES"/>
              </w:rPr>
              <w:t>Comandante Luis Piedrabuena 4950</w:t>
            </w:r>
            <w:r>
              <w:rPr>
                <w:color w:val="000000"/>
                <w:sz w:val="18"/>
                <w:szCs w:val="18"/>
                <w:lang w:val="es-ES"/>
              </w:rPr>
              <w:t>, Bariloche</w:t>
            </w:r>
          </w:p>
        </w:tc>
        <w:tc>
          <w:tcPr>
            <w:tcW w:w="1134" w:type="dxa"/>
          </w:tcPr>
          <w:p w14:paraId="08A7B5FD" w14:textId="77777777" w:rsidR="00D43D95" w:rsidRPr="00A61C89" w:rsidRDefault="00D43D95" w:rsidP="001C7D00">
            <w:pPr>
              <w:widowControl w:val="0"/>
              <w:jc w:val="center"/>
              <w:rPr>
                <w:color w:val="000000"/>
                <w:sz w:val="18"/>
                <w:szCs w:val="18"/>
                <w:highlight w:val="yellow"/>
                <w:lang w:val="es-ES"/>
              </w:rPr>
            </w:pPr>
            <w:r w:rsidRPr="00A61C89">
              <w:rPr>
                <w:color w:val="000000"/>
                <w:sz w:val="18"/>
                <w:szCs w:val="18"/>
                <w:lang w:val="es-ES"/>
              </w:rPr>
              <w:t>26/09/2018</w:t>
            </w:r>
          </w:p>
        </w:tc>
        <w:tc>
          <w:tcPr>
            <w:tcW w:w="993" w:type="dxa"/>
          </w:tcPr>
          <w:p w14:paraId="24FD4E0E" w14:textId="77777777" w:rsidR="00D43D95" w:rsidRPr="00A61C89" w:rsidRDefault="00D43D95" w:rsidP="001C7D00">
            <w:pPr>
              <w:widowControl w:val="0"/>
              <w:jc w:val="center"/>
              <w:rPr>
                <w:bCs/>
                <w:color w:val="000000"/>
                <w:sz w:val="18"/>
                <w:szCs w:val="18"/>
                <w:lang w:val="es-ES"/>
              </w:rPr>
            </w:pPr>
            <w:r w:rsidRPr="00A61C89">
              <w:rPr>
                <w:bCs/>
                <w:color w:val="000000"/>
                <w:sz w:val="18"/>
                <w:szCs w:val="18"/>
                <w:lang w:val="es-ES"/>
              </w:rPr>
              <w:t>30/06/2021</w:t>
            </w:r>
          </w:p>
        </w:tc>
        <w:tc>
          <w:tcPr>
            <w:tcW w:w="1275" w:type="dxa"/>
          </w:tcPr>
          <w:p w14:paraId="24A829D5" w14:textId="77777777" w:rsidR="00D43D95" w:rsidRPr="00A61C89" w:rsidRDefault="00D43D95" w:rsidP="001C7D00">
            <w:pPr>
              <w:widowControl w:val="0"/>
              <w:jc w:val="center"/>
              <w:rPr>
                <w:bCs/>
                <w:color w:val="000000"/>
                <w:sz w:val="18"/>
                <w:szCs w:val="18"/>
                <w:highlight w:val="yellow"/>
                <w:lang w:val="es-ES"/>
              </w:rPr>
            </w:pPr>
            <w:r w:rsidRPr="00A61C89">
              <w:rPr>
                <w:bCs/>
                <w:color w:val="000000"/>
                <w:sz w:val="18"/>
                <w:szCs w:val="18"/>
                <w:lang w:val="es-ES"/>
              </w:rPr>
              <w:t>No independiente</w:t>
            </w:r>
          </w:p>
        </w:tc>
      </w:tr>
      <w:tr w:rsidR="00D43D95" w:rsidRPr="00D43D95" w14:paraId="77352F1A" w14:textId="77777777" w:rsidTr="00BA304B">
        <w:trPr>
          <w:cantSplit/>
          <w:trHeight w:val="224"/>
        </w:trPr>
        <w:tc>
          <w:tcPr>
            <w:tcW w:w="1560" w:type="dxa"/>
          </w:tcPr>
          <w:p w14:paraId="217A1F55"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Director Titular</w:t>
            </w:r>
          </w:p>
        </w:tc>
        <w:tc>
          <w:tcPr>
            <w:tcW w:w="1417" w:type="dxa"/>
          </w:tcPr>
          <w:p w14:paraId="6510CC14"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Alberto Lamagna</w:t>
            </w:r>
          </w:p>
        </w:tc>
        <w:tc>
          <w:tcPr>
            <w:tcW w:w="1276" w:type="dxa"/>
          </w:tcPr>
          <w:p w14:paraId="5072110D" w14:textId="77777777" w:rsidR="00D43D95" w:rsidRPr="00A61C89" w:rsidRDefault="00D43D95" w:rsidP="001C7D00">
            <w:pPr>
              <w:jc w:val="center"/>
              <w:rPr>
                <w:sz w:val="18"/>
                <w:szCs w:val="18"/>
              </w:rPr>
            </w:pPr>
            <w:r w:rsidRPr="00A61C89">
              <w:rPr>
                <w:color w:val="000000"/>
                <w:sz w:val="18"/>
                <w:szCs w:val="18"/>
                <w:lang w:val="es-ES"/>
              </w:rPr>
              <w:t>20-13430914-9</w:t>
            </w:r>
          </w:p>
        </w:tc>
        <w:tc>
          <w:tcPr>
            <w:tcW w:w="1412" w:type="dxa"/>
          </w:tcPr>
          <w:p w14:paraId="43050E3E" w14:textId="1C5A84DE" w:rsidR="00D43D95" w:rsidRPr="00A61C89" w:rsidRDefault="00D43D95" w:rsidP="001C7D00">
            <w:pPr>
              <w:jc w:val="center"/>
              <w:rPr>
                <w:sz w:val="18"/>
                <w:szCs w:val="18"/>
              </w:rPr>
            </w:pPr>
            <w:r w:rsidRPr="00C773DE">
              <w:rPr>
                <w:color w:val="000000"/>
                <w:sz w:val="18"/>
                <w:szCs w:val="18"/>
                <w:lang w:val="es-ES"/>
              </w:rPr>
              <w:t>Comandante Luis Piedrabuena 4950</w:t>
            </w:r>
            <w:r>
              <w:rPr>
                <w:color w:val="000000"/>
                <w:sz w:val="18"/>
                <w:szCs w:val="18"/>
                <w:lang w:val="es-ES"/>
              </w:rPr>
              <w:t>, Bariloche</w:t>
            </w:r>
          </w:p>
        </w:tc>
        <w:tc>
          <w:tcPr>
            <w:tcW w:w="1134" w:type="dxa"/>
          </w:tcPr>
          <w:p w14:paraId="3400374B" w14:textId="77777777" w:rsidR="00D43D95" w:rsidRPr="00A61C89" w:rsidRDefault="00D43D95" w:rsidP="001C7D00">
            <w:pPr>
              <w:jc w:val="center"/>
              <w:rPr>
                <w:sz w:val="18"/>
                <w:szCs w:val="18"/>
              </w:rPr>
            </w:pPr>
            <w:r w:rsidRPr="00A61C89">
              <w:rPr>
                <w:color w:val="000000"/>
                <w:sz w:val="18"/>
                <w:szCs w:val="18"/>
                <w:lang w:val="es-ES"/>
              </w:rPr>
              <w:t>15/05/2019</w:t>
            </w:r>
          </w:p>
        </w:tc>
        <w:tc>
          <w:tcPr>
            <w:tcW w:w="993" w:type="dxa"/>
          </w:tcPr>
          <w:p w14:paraId="0755F8C3" w14:textId="77777777" w:rsidR="00D43D95" w:rsidRPr="00A61C89" w:rsidRDefault="00D43D95" w:rsidP="001C7D00">
            <w:pPr>
              <w:jc w:val="center"/>
              <w:rPr>
                <w:bCs/>
                <w:color w:val="000000"/>
                <w:sz w:val="18"/>
                <w:szCs w:val="18"/>
                <w:lang w:val="es-ES"/>
              </w:rPr>
            </w:pPr>
            <w:r w:rsidRPr="00A61C89">
              <w:rPr>
                <w:bCs/>
                <w:color w:val="000000"/>
                <w:sz w:val="18"/>
                <w:szCs w:val="18"/>
                <w:lang w:val="es-ES"/>
              </w:rPr>
              <w:t>30/06/2021</w:t>
            </w:r>
          </w:p>
        </w:tc>
        <w:tc>
          <w:tcPr>
            <w:tcW w:w="1275" w:type="dxa"/>
          </w:tcPr>
          <w:p w14:paraId="08351361" w14:textId="77777777" w:rsidR="00D43D95" w:rsidRPr="00A61C89" w:rsidRDefault="00D43D95" w:rsidP="001C7D00">
            <w:pPr>
              <w:jc w:val="center"/>
              <w:rPr>
                <w:sz w:val="18"/>
                <w:szCs w:val="18"/>
              </w:rPr>
            </w:pPr>
            <w:r w:rsidRPr="00A61C89">
              <w:rPr>
                <w:bCs/>
                <w:color w:val="000000"/>
                <w:sz w:val="18"/>
                <w:szCs w:val="18"/>
                <w:lang w:val="es-ES"/>
              </w:rPr>
              <w:t>No independiente</w:t>
            </w:r>
          </w:p>
        </w:tc>
      </w:tr>
      <w:tr w:rsidR="00D43D95" w:rsidRPr="00D43D95" w14:paraId="3D899F98" w14:textId="77777777" w:rsidTr="00BA304B">
        <w:trPr>
          <w:cantSplit/>
          <w:trHeight w:val="224"/>
        </w:trPr>
        <w:tc>
          <w:tcPr>
            <w:tcW w:w="1560" w:type="dxa"/>
          </w:tcPr>
          <w:p w14:paraId="4E5CE17F"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Director Titular</w:t>
            </w:r>
          </w:p>
        </w:tc>
        <w:tc>
          <w:tcPr>
            <w:tcW w:w="1417" w:type="dxa"/>
          </w:tcPr>
          <w:p w14:paraId="5C439216"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Facundo Abel Deluchi</w:t>
            </w:r>
          </w:p>
        </w:tc>
        <w:tc>
          <w:tcPr>
            <w:tcW w:w="1276" w:type="dxa"/>
          </w:tcPr>
          <w:p w14:paraId="274844BD" w14:textId="77777777" w:rsidR="00D43D95" w:rsidRPr="00A61C89" w:rsidRDefault="00D43D95" w:rsidP="001C7D00">
            <w:pPr>
              <w:jc w:val="center"/>
              <w:rPr>
                <w:sz w:val="18"/>
                <w:szCs w:val="18"/>
              </w:rPr>
            </w:pPr>
            <w:r w:rsidRPr="00A61C89">
              <w:rPr>
                <w:color w:val="000000"/>
                <w:sz w:val="18"/>
                <w:szCs w:val="18"/>
                <w:lang w:val="es-ES"/>
              </w:rPr>
              <w:t>20-30289158-4</w:t>
            </w:r>
          </w:p>
        </w:tc>
        <w:tc>
          <w:tcPr>
            <w:tcW w:w="1412" w:type="dxa"/>
          </w:tcPr>
          <w:p w14:paraId="1A81CBF9" w14:textId="5F7680AB" w:rsidR="00D43D95" w:rsidRPr="00A61C89" w:rsidRDefault="00D43D95" w:rsidP="001C7D00">
            <w:pPr>
              <w:jc w:val="center"/>
              <w:rPr>
                <w:sz w:val="18"/>
                <w:szCs w:val="18"/>
              </w:rPr>
            </w:pPr>
            <w:r w:rsidRPr="00C773DE">
              <w:rPr>
                <w:color w:val="000000"/>
                <w:sz w:val="18"/>
                <w:szCs w:val="18"/>
                <w:lang w:val="es-ES"/>
              </w:rPr>
              <w:t>Comandante Luis Piedrabuena 4950</w:t>
            </w:r>
            <w:r>
              <w:rPr>
                <w:color w:val="000000"/>
                <w:sz w:val="18"/>
                <w:szCs w:val="18"/>
                <w:lang w:val="es-ES"/>
              </w:rPr>
              <w:t>, Bariloche</w:t>
            </w:r>
          </w:p>
        </w:tc>
        <w:tc>
          <w:tcPr>
            <w:tcW w:w="1134" w:type="dxa"/>
          </w:tcPr>
          <w:p w14:paraId="007AC39D" w14:textId="77777777" w:rsidR="00D43D95" w:rsidRPr="00A61C89" w:rsidRDefault="00D43D95" w:rsidP="001C7D00">
            <w:pPr>
              <w:jc w:val="center"/>
              <w:rPr>
                <w:sz w:val="18"/>
                <w:szCs w:val="18"/>
              </w:rPr>
            </w:pPr>
            <w:r w:rsidRPr="00A61C89">
              <w:rPr>
                <w:color w:val="000000"/>
                <w:sz w:val="18"/>
                <w:szCs w:val="18"/>
                <w:lang w:val="es-ES"/>
              </w:rPr>
              <w:t>26/09/2018</w:t>
            </w:r>
          </w:p>
        </w:tc>
        <w:tc>
          <w:tcPr>
            <w:tcW w:w="993" w:type="dxa"/>
          </w:tcPr>
          <w:p w14:paraId="00AEFB56" w14:textId="77777777" w:rsidR="00D43D95" w:rsidRPr="00A61C89" w:rsidRDefault="00D43D95" w:rsidP="001C7D00">
            <w:pPr>
              <w:jc w:val="center"/>
              <w:rPr>
                <w:bCs/>
                <w:color w:val="000000"/>
                <w:sz w:val="18"/>
                <w:szCs w:val="18"/>
                <w:lang w:val="es-ES"/>
              </w:rPr>
            </w:pPr>
            <w:r w:rsidRPr="00A61C89">
              <w:rPr>
                <w:bCs/>
                <w:color w:val="000000"/>
                <w:sz w:val="18"/>
                <w:szCs w:val="18"/>
                <w:lang w:val="es-ES"/>
              </w:rPr>
              <w:t>30/06/2021</w:t>
            </w:r>
          </w:p>
        </w:tc>
        <w:tc>
          <w:tcPr>
            <w:tcW w:w="1275" w:type="dxa"/>
          </w:tcPr>
          <w:p w14:paraId="53ECC68B" w14:textId="77777777" w:rsidR="00D43D95" w:rsidRPr="00A61C89" w:rsidRDefault="00D43D95" w:rsidP="001C7D00">
            <w:pPr>
              <w:jc w:val="center"/>
              <w:rPr>
                <w:sz w:val="18"/>
                <w:szCs w:val="18"/>
              </w:rPr>
            </w:pPr>
            <w:r w:rsidRPr="00A61C89">
              <w:rPr>
                <w:bCs/>
                <w:color w:val="000000"/>
                <w:sz w:val="18"/>
                <w:szCs w:val="18"/>
                <w:lang w:val="es-ES"/>
              </w:rPr>
              <w:t>No independiente</w:t>
            </w:r>
          </w:p>
        </w:tc>
      </w:tr>
      <w:tr w:rsidR="00D43D95" w:rsidRPr="00D43D95" w14:paraId="752F93AC" w14:textId="77777777" w:rsidTr="00BA304B">
        <w:trPr>
          <w:cantSplit/>
          <w:trHeight w:val="224"/>
        </w:trPr>
        <w:tc>
          <w:tcPr>
            <w:tcW w:w="1560" w:type="dxa"/>
          </w:tcPr>
          <w:p w14:paraId="63BC5452"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Director Titular</w:t>
            </w:r>
          </w:p>
        </w:tc>
        <w:tc>
          <w:tcPr>
            <w:tcW w:w="1417" w:type="dxa"/>
          </w:tcPr>
          <w:p w14:paraId="4AFBC047" w14:textId="025DD6C7" w:rsidR="00D43D95" w:rsidRPr="00A61C89" w:rsidRDefault="00C1661F" w:rsidP="001C7D00">
            <w:pPr>
              <w:widowControl w:val="0"/>
              <w:jc w:val="center"/>
              <w:rPr>
                <w:color w:val="000000"/>
                <w:sz w:val="18"/>
                <w:szCs w:val="18"/>
                <w:lang w:val="es-ES"/>
              </w:rPr>
            </w:pPr>
            <w:r>
              <w:rPr>
                <w:color w:val="000000"/>
                <w:sz w:val="18"/>
                <w:szCs w:val="18"/>
                <w:lang w:val="es-ES"/>
              </w:rPr>
              <w:t>Luis E. Billinger Mancioli</w:t>
            </w:r>
          </w:p>
        </w:tc>
        <w:tc>
          <w:tcPr>
            <w:tcW w:w="1276" w:type="dxa"/>
          </w:tcPr>
          <w:p w14:paraId="370C529D" w14:textId="65054710" w:rsidR="00D43D95" w:rsidRPr="00A61C89" w:rsidRDefault="008B7CF7" w:rsidP="001C7D00">
            <w:pPr>
              <w:jc w:val="center"/>
              <w:rPr>
                <w:sz w:val="18"/>
                <w:szCs w:val="18"/>
              </w:rPr>
            </w:pPr>
            <w:r>
              <w:rPr>
                <w:color w:val="000000"/>
                <w:sz w:val="18"/>
                <w:szCs w:val="18"/>
                <w:lang w:val="es-ES"/>
              </w:rPr>
              <w:t>20-25786260-8</w:t>
            </w:r>
          </w:p>
        </w:tc>
        <w:tc>
          <w:tcPr>
            <w:tcW w:w="1412" w:type="dxa"/>
          </w:tcPr>
          <w:p w14:paraId="6ECA1D4F" w14:textId="665F7D33" w:rsidR="00D43D95" w:rsidRPr="00A61C89" w:rsidRDefault="00D43D95" w:rsidP="001C7D00">
            <w:pPr>
              <w:jc w:val="center"/>
              <w:rPr>
                <w:sz w:val="18"/>
                <w:szCs w:val="18"/>
              </w:rPr>
            </w:pPr>
            <w:r w:rsidRPr="00C773DE">
              <w:rPr>
                <w:color w:val="000000"/>
                <w:sz w:val="18"/>
                <w:szCs w:val="18"/>
                <w:lang w:val="es-ES"/>
              </w:rPr>
              <w:t>Comandante Luis Piedrabuena 4950</w:t>
            </w:r>
            <w:r>
              <w:rPr>
                <w:color w:val="000000"/>
                <w:sz w:val="18"/>
                <w:szCs w:val="18"/>
                <w:lang w:val="es-ES"/>
              </w:rPr>
              <w:t>, Bariloche</w:t>
            </w:r>
          </w:p>
        </w:tc>
        <w:tc>
          <w:tcPr>
            <w:tcW w:w="1134" w:type="dxa"/>
          </w:tcPr>
          <w:p w14:paraId="5AD35C74" w14:textId="67147DBD" w:rsidR="00D43D95" w:rsidRPr="00A61C89" w:rsidRDefault="008B7CF7" w:rsidP="001C7D00">
            <w:pPr>
              <w:jc w:val="center"/>
              <w:rPr>
                <w:sz w:val="18"/>
                <w:szCs w:val="18"/>
              </w:rPr>
            </w:pPr>
            <w:r>
              <w:rPr>
                <w:color w:val="000000"/>
                <w:sz w:val="18"/>
                <w:szCs w:val="18"/>
                <w:lang w:val="es-ES"/>
              </w:rPr>
              <w:t>29/10/2019</w:t>
            </w:r>
          </w:p>
        </w:tc>
        <w:tc>
          <w:tcPr>
            <w:tcW w:w="993" w:type="dxa"/>
          </w:tcPr>
          <w:p w14:paraId="798EB89C" w14:textId="1828B7AB" w:rsidR="00D43D95" w:rsidRPr="00A61C89" w:rsidRDefault="00D43D95" w:rsidP="001C7D00">
            <w:pPr>
              <w:jc w:val="center"/>
              <w:rPr>
                <w:bCs/>
                <w:color w:val="000000"/>
                <w:sz w:val="18"/>
                <w:szCs w:val="18"/>
                <w:lang w:val="es-ES"/>
              </w:rPr>
            </w:pPr>
            <w:r w:rsidRPr="00A61C89">
              <w:rPr>
                <w:bCs/>
                <w:color w:val="000000"/>
                <w:sz w:val="18"/>
                <w:szCs w:val="18"/>
                <w:lang w:val="es-ES"/>
              </w:rPr>
              <w:t>30/06/</w:t>
            </w:r>
            <w:r w:rsidR="008B7CF7" w:rsidRPr="00A61C89">
              <w:rPr>
                <w:bCs/>
                <w:color w:val="000000"/>
                <w:sz w:val="18"/>
                <w:szCs w:val="18"/>
                <w:lang w:val="es-ES"/>
              </w:rPr>
              <w:t>20</w:t>
            </w:r>
            <w:r w:rsidR="008B7CF7">
              <w:rPr>
                <w:bCs/>
                <w:color w:val="000000"/>
                <w:sz w:val="18"/>
                <w:szCs w:val="18"/>
                <w:lang w:val="es-ES"/>
              </w:rPr>
              <w:t>22</w:t>
            </w:r>
          </w:p>
        </w:tc>
        <w:tc>
          <w:tcPr>
            <w:tcW w:w="1275" w:type="dxa"/>
          </w:tcPr>
          <w:p w14:paraId="734D3D24" w14:textId="77777777" w:rsidR="00D43D95" w:rsidRPr="00A61C89" w:rsidRDefault="00D43D95" w:rsidP="001C7D00">
            <w:pPr>
              <w:jc w:val="center"/>
              <w:rPr>
                <w:sz w:val="18"/>
                <w:szCs w:val="18"/>
              </w:rPr>
            </w:pPr>
            <w:r w:rsidRPr="00A61C89">
              <w:rPr>
                <w:bCs/>
                <w:color w:val="000000"/>
                <w:sz w:val="18"/>
                <w:szCs w:val="18"/>
                <w:lang w:val="es-ES"/>
              </w:rPr>
              <w:t>No independiente</w:t>
            </w:r>
          </w:p>
        </w:tc>
      </w:tr>
      <w:tr w:rsidR="00D43D95" w:rsidRPr="00D43D95" w14:paraId="104D0E61" w14:textId="77777777" w:rsidTr="00BA304B">
        <w:trPr>
          <w:cantSplit/>
          <w:trHeight w:val="224"/>
        </w:trPr>
        <w:tc>
          <w:tcPr>
            <w:tcW w:w="1560" w:type="dxa"/>
          </w:tcPr>
          <w:p w14:paraId="3D412898"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Director Suplente</w:t>
            </w:r>
          </w:p>
        </w:tc>
        <w:tc>
          <w:tcPr>
            <w:tcW w:w="1417" w:type="dxa"/>
          </w:tcPr>
          <w:p w14:paraId="07BF137B" w14:textId="6D1AE632" w:rsidR="00D43D95" w:rsidRPr="00A61C89" w:rsidRDefault="008B7CF7" w:rsidP="001C7D00">
            <w:pPr>
              <w:widowControl w:val="0"/>
              <w:jc w:val="center"/>
              <w:rPr>
                <w:color w:val="000000"/>
                <w:sz w:val="18"/>
                <w:szCs w:val="18"/>
                <w:lang w:val="es-ES"/>
              </w:rPr>
            </w:pPr>
            <w:r>
              <w:rPr>
                <w:color w:val="000000"/>
                <w:sz w:val="18"/>
                <w:szCs w:val="18"/>
                <w:lang w:val="es-ES"/>
              </w:rPr>
              <w:t>Christian Tisot</w:t>
            </w:r>
          </w:p>
        </w:tc>
        <w:tc>
          <w:tcPr>
            <w:tcW w:w="1276" w:type="dxa"/>
          </w:tcPr>
          <w:p w14:paraId="485B1B5E" w14:textId="3BFE0C84" w:rsidR="00D43D95" w:rsidRPr="00A61C89" w:rsidRDefault="008B7CF7" w:rsidP="001C7D00">
            <w:pPr>
              <w:jc w:val="center"/>
              <w:rPr>
                <w:sz w:val="18"/>
                <w:szCs w:val="18"/>
              </w:rPr>
            </w:pPr>
            <w:r>
              <w:rPr>
                <w:color w:val="000000"/>
                <w:sz w:val="18"/>
                <w:szCs w:val="18"/>
                <w:lang w:val="es-ES"/>
              </w:rPr>
              <w:t>20-21125923-0</w:t>
            </w:r>
          </w:p>
        </w:tc>
        <w:tc>
          <w:tcPr>
            <w:tcW w:w="1412" w:type="dxa"/>
          </w:tcPr>
          <w:p w14:paraId="6A35BC23" w14:textId="20D6BB83" w:rsidR="00D43D95" w:rsidRPr="00A61C89" w:rsidRDefault="00D43D95" w:rsidP="001C7D00">
            <w:pPr>
              <w:jc w:val="center"/>
              <w:rPr>
                <w:sz w:val="18"/>
                <w:szCs w:val="18"/>
              </w:rPr>
            </w:pPr>
            <w:r w:rsidRPr="00C773DE">
              <w:rPr>
                <w:color w:val="000000"/>
                <w:sz w:val="18"/>
                <w:szCs w:val="18"/>
                <w:lang w:val="es-ES"/>
              </w:rPr>
              <w:t>Comandante Luis Piedrabuena 4950</w:t>
            </w:r>
            <w:r>
              <w:rPr>
                <w:color w:val="000000"/>
                <w:sz w:val="18"/>
                <w:szCs w:val="18"/>
                <w:lang w:val="es-ES"/>
              </w:rPr>
              <w:t>, Bariloche</w:t>
            </w:r>
          </w:p>
        </w:tc>
        <w:tc>
          <w:tcPr>
            <w:tcW w:w="1134" w:type="dxa"/>
          </w:tcPr>
          <w:p w14:paraId="2A7F867F" w14:textId="6C1F5C54" w:rsidR="00D43D95" w:rsidRPr="00A61C89" w:rsidRDefault="008B7CF7" w:rsidP="001C7D00">
            <w:pPr>
              <w:jc w:val="center"/>
              <w:rPr>
                <w:sz w:val="18"/>
                <w:szCs w:val="18"/>
              </w:rPr>
            </w:pPr>
            <w:r>
              <w:rPr>
                <w:color w:val="000000"/>
                <w:sz w:val="18"/>
                <w:szCs w:val="18"/>
                <w:lang w:val="es-ES"/>
              </w:rPr>
              <w:t>29/10/2019</w:t>
            </w:r>
          </w:p>
        </w:tc>
        <w:tc>
          <w:tcPr>
            <w:tcW w:w="993" w:type="dxa"/>
          </w:tcPr>
          <w:p w14:paraId="795792AC" w14:textId="0A25F3BC" w:rsidR="00D43D95" w:rsidRPr="00A61C89" w:rsidRDefault="00D43D95" w:rsidP="001C7D00">
            <w:pPr>
              <w:jc w:val="center"/>
              <w:rPr>
                <w:bCs/>
                <w:color w:val="000000"/>
                <w:sz w:val="18"/>
                <w:szCs w:val="18"/>
                <w:lang w:val="es-ES"/>
              </w:rPr>
            </w:pPr>
            <w:r w:rsidRPr="00A61C89">
              <w:rPr>
                <w:bCs/>
                <w:color w:val="000000"/>
                <w:sz w:val="18"/>
                <w:szCs w:val="18"/>
                <w:lang w:val="es-ES"/>
              </w:rPr>
              <w:t>30/06/</w:t>
            </w:r>
            <w:r w:rsidR="008B7CF7">
              <w:rPr>
                <w:bCs/>
                <w:color w:val="000000"/>
                <w:sz w:val="18"/>
                <w:szCs w:val="18"/>
                <w:lang w:val="es-ES"/>
              </w:rPr>
              <w:t>2022</w:t>
            </w:r>
          </w:p>
        </w:tc>
        <w:tc>
          <w:tcPr>
            <w:tcW w:w="1275" w:type="dxa"/>
          </w:tcPr>
          <w:p w14:paraId="2FA2B6D6" w14:textId="77777777" w:rsidR="00D43D95" w:rsidRPr="00A61C89" w:rsidRDefault="00D43D95" w:rsidP="001C7D00">
            <w:pPr>
              <w:jc w:val="center"/>
              <w:rPr>
                <w:sz w:val="18"/>
                <w:szCs w:val="18"/>
              </w:rPr>
            </w:pPr>
            <w:r w:rsidRPr="00A61C89">
              <w:rPr>
                <w:bCs/>
                <w:color w:val="000000"/>
                <w:sz w:val="18"/>
                <w:szCs w:val="18"/>
                <w:lang w:val="es-ES"/>
              </w:rPr>
              <w:t>No independiente</w:t>
            </w:r>
          </w:p>
        </w:tc>
      </w:tr>
      <w:tr w:rsidR="00D43D95" w:rsidRPr="00D43D95" w14:paraId="6E003919" w14:textId="77777777" w:rsidTr="00BA304B">
        <w:trPr>
          <w:cantSplit/>
          <w:trHeight w:val="224"/>
        </w:trPr>
        <w:tc>
          <w:tcPr>
            <w:tcW w:w="1560" w:type="dxa"/>
          </w:tcPr>
          <w:p w14:paraId="772D6285"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Director Suplente</w:t>
            </w:r>
          </w:p>
        </w:tc>
        <w:tc>
          <w:tcPr>
            <w:tcW w:w="1417" w:type="dxa"/>
          </w:tcPr>
          <w:p w14:paraId="23298CDE"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Claudio Alejandro Solari</w:t>
            </w:r>
          </w:p>
        </w:tc>
        <w:tc>
          <w:tcPr>
            <w:tcW w:w="1276" w:type="dxa"/>
          </w:tcPr>
          <w:p w14:paraId="0C0DE091" w14:textId="77777777" w:rsidR="00D43D95" w:rsidRPr="00A61C89" w:rsidRDefault="00D43D95" w:rsidP="001C7D00">
            <w:pPr>
              <w:jc w:val="center"/>
              <w:rPr>
                <w:sz w:val="18"/>
                <w:szCs w:val="18"/>
              </w:rPr>
            </w:pPr>
            <w:r w:rsidRPr="00A61C89">
              <w:rPr>
                <w:color w:val="000000"/>
                <w:sz w:val="18"/>
                <w:szCs w:val="18"/>
                <w:lang w:val="es-ES"/>
              </w:rPr>
              <w:t>20-13437846-9</w:t>
            </w:r>
          </w:p>
        </w:tc>
        <w:tc>
          <w:tcPr>
            <w:tcW w:w="1412" w:type="dxa"/>
          </w:tcPr>
          <w:p w14:paraId="0B6CCBD5" w14:textId="3F18D5AA" w:rsidR="00D43D95" w:rsidRPr="00A61C89" w:rsidRDefault="00D43D95" w:rsidP="001C7D00">
            <w:pPr>
              <w:jc w:val="center"/>
              <w:rPr>
                <w:sz w:val="18"/>
                <w:szCs w:val="18"/>
              </w:rPr>
            </w:pPr>
            <w:r w:rsidRPr="00C773DE">
              <w:rPr>
                <w:color w:val="000000"/>
                <w:sz w:val="18"/>
                <w:szCs w:val="18"/>
                <w:lang w:val="es-ES"/>
              </w:rPr>
              <w:t>Comandante Luis Piedrabuena 4950</w:t>
            </w:r>
            <w:r>
              <w:rPr>
                <w:color w:val="000000"/>
                <w:sz w:val="18"/>
                <w:szCs w:val="18"/>
                <w:lang w:val="es-ES"/>
              </w:rPr>
              <w:t>, Bariloche</w:t>
            </w:r>
          </w:p>
        </w:tc>
        <w:tc>
          <w:tcPr>
            <w:tcW w:w="1134" w:type="dxa"/>
          </w:tcPr>
          <w:p w14:paraId="67D463D9" w14:textId="77777777" w:rsidR="00D43D95" w:rsidRPr="00A61C89" w:rsidRDefault="00D43D95" w:rsidP="001C7D00">
            <w:pPr>
              <w:jc w:val="center"/>
              <w:rPr>
                <w:sz w:val="18"/>
                <w:szCs w:val="18"/>
              </w:rPr>
            </w:pPr>
            <w:r w:rsidRPr="00A61C89">
              <w:rPr>
                <w:color w:val="000000"/>
                <w:sz w:val="18"/>
                <w:szCs w:val="18"/>
                <w:lang w:val="es-ES"/>
              </w:rPr>
              <w:t>26/09/2018</w:t>
            </w:r>
          </w:p>
        </w:tc>
        <w:tc>
          <w:tcPr>
            <w:tcW w:w="993" w:type="dxa"/>
          </w:tcPr>
          <w:p w14:paraId="5A0761E2" w14:textId="77777777" w:rsidR="00D43D95" w:rsidRPr="00A61C89" w:rsidRDefault="00D43D95" w:rsidP="001C7D00">
            <w:pPr>
              <w:jc w:val="center"/>
              <w:rPr>
                <w:bCs/>
                <w:color w:val="000000"/>
                <w:sz w:val="18"/>
                <w:szCs w:val="18"/>
                <w:lang w:val="es-ES"/>
              </w:rPr>
            </w:pPr>
            <w:r w:rsidRPr="00A61C89">
              <w:rPr>
                <w:bCs/>
                <w:color w:val="000000"/>
                <w:sz w:val="18"/>
                <w:szCs w:val="18"/>
                <w:lang w:val="es-ES"/>
              </w:rPr>
              <w:t>30/06/2021</w:t>
            </w:r>
          </w:p>
        </w:tc>
        <w:tc>
          <w:tcPr>
            <w:tcW w:w="1275" w:type="dxa"/>
          </w:tcPr>
          <w:p w14:paraId="68430413" w14:textId="77777777" w:rsidR="00D43D95" w:rsidRPr="00A61C89" w:rsidRDefault="00D43D95" w:rsidP="001C7D00">
            <w:pPr>
              <w:jc w:val="center"/>
              <w:rPr>
                <w:sz w:val="18"/>
                <w:szCs w:val="18"/>
              </w:rPr>
            </w:pPr>
            <w:r w:rsidRPr="00A61C89">
              <w:rPr>
                <w:bCs/>
                <w:color w:val="000000"/>
                <w:sz w:val="18"/>
                <w:szCs w:val="18"/>
                <w:lang w:val="es-ES"/>
              </w:rPr>
              <w:t>No independiente</w:t>
            </w:r>
          </w:p>
        </w:tc>
      </w:tr>
      <w:tr w:rsidR="00D43D95" w:rsidRPr="00D43D95" w14:paraId="101FCD48" w14:textId="77777777" w:rsidTr="00BA304B">
        <w:trPr>
          <w:cantSplit/>
          <w:trHeight w:val="224"/>
        </w:trPr>
        <w:tc>
          <w:tcPr>
            <w:tcW w:w="1560" w:type="dxa"/>
          </w:tcPr>
          <w:p w14:paraId="199B5903"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Director Suplente</w:t>
            </w:r>
          </w:p>
        </w:tc>
        <w:tc>
          <w:tcPr>
            <w:tcW w:w="1417" w:type="dxa"/>
          </w:tcPr>
          <w:p w14:paraId="77B29556"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Guillermo Joaquín Padín Zabal</w:t>
            </w:r>
          </w:p>
        </w:tc>
        <w:tc>
          <w:tcPr>
            <w:tcW w:w="1276" w:type="dxa"/>
          </w:tcPr>
          <w:p w14:paraId="19180EDD" w14:textId="77777777" w:rsidR="00D43D95" w:rsidRPr="00A61C89" w:rsidRDefault="00D43D95" w:rsidP="001C7D00">
            <w:pPr>
              <w:jc w:val="center"/>
              <w:rPr>
                <w:sz w:val="18"/>
                <w:szCs w:val="18"/>
              </w:rPr>
            </w:pPr>
            <w:r w:rsidRPr="00A61C89">
              <w:rPr>
                <w:color w:val="000000"/>
                <w:sz w:val="18"/>
                <w:szCs w:val="18"/>
                <w:lang w:val="es-ES"/>
              </w:rPr>
              <w:t>23-8140571-9</w:t>
            </w:r>
          </w:p>
        </w:tc>
        <w:tc>
          <w:tcPr>
            <w:tcW w:w="1412" w:type="dxa"/>
          </w:tcPr>
          <w:p w14:paraId="4AFEE942" w14:textId="729B0954" w:rsidR="00D43D95" w:rsidRPr="00A61C89" w:rsidRDefault="00D43D95" w:rsidP="001C7D00">
            <w:pPr>
              <w:jc w:val="center"/>
              <w:rPr>
                <w:sz w:val="18"/>
                <w:szCs w:val="18"/>
              </w:rPr>
            </w:pPr>
            <w:r w:rsidRPr="00C773DE">
              <w:rPr>
                <w:color w:val="000000"/>
                <w:sz w:val="18"/>
                <w:szCs w:val="18"/>
                <w:lang w:val="es-ES"/>
              </w:rPr>
              <w:t>Comandante Luis Piedrabuena 4950</w:t>
            </w:r>
            <w:r>
              <w:rPr>
                <w:color w:val="000000"/>
                <w:sz w:val="18"/>
                <w:szCs w:val="18"/>
                <w:lang w:val="es-ES"/>
              </w:rPr>
              <w:t>, Bariloche</w:t>
            </w:r>
          </w:p>
        </w:tc>
        <w:tc>
          <w:tcPr>
            <w:tcW w:w="1134" w:type="dxa"/>
          </w:tcPr>
          <w:p w14:paraId="304772ED" w14:textId="77777777" w:rsidR="00D43D95" w:rsidRPr="00A61C89" w:rsidRDefault="00D43D95" w:rsidP="001C7D00">
            <w:pPr>
              <w:jc w:val="center"/>
              <w:rPr>
                <w:sz w:val="18"/>
                <w:szCs w:val="18"/>
              </w:rPr>
            </w:pPr>
            <w:r w:rsidRPr="00A61C89">
              <w:rPr>
                <w:color w:val="000000"/>
                <w:sz w:val="18"/>
                <w:szCs w:val="18"/>
                <w:lang w:val="es-ES"/>
              </w:rPr>
              <w:t>26/09/2018</w:t>
            </w:r>
          </w:p>
        </w:tc>
        <w:tc>
          <w:tcPr>
            <w:tcW w:w="993" w:type="dxa"/>
          </w:tcPr>
          <w:p w14:paraId="4010C1CB" w14:textId="77777777" w:rsidR="00D43D95" w:rsidRPr="00A61C89" w:rsidRDefault="00D43D95" w:rsidP="001C7D00">
            <w:pPr>
              <w:jc w:val="center"/>
              <w:rPr>
                <w:bCs/>
                <w:color w:val="000000"/>
                <w:sz w:val="18"/>
                <w:szCs w:val="18"/>
                <w:lang w:val="es-ES"/>
              </w:rPr>
            </w:pPr>
            <w:r w:rsidRPr="00A61C89">
              <w:rPr>
                <w:bCs/>
                <w:color w:val="000000"/>
                <w:sz w:val="18"/>
                <w:szCs w:val="18"/>
                <w:lang w:val="es-ES"/>
              </w:rPr>
              <w:t>30/06/2021</w:t>
            </w:r>
          </w:p>
        </w:tc>
        <w:tc>
          <w:tcPr>
            <w:tcW w:w="1275" w:type="dxa"/>
          </w:tcPr>
          <w:p w14:paraId="5DE75E76" w14:textId="77777777" w:rsidR="00D43D95" w:rsidRPr="00A61C89" w:rsidRDefault="00D43D95" w:rsidP="001C7D00">
            <w:pPr>
              <w:jc w:val="center"/>
              <w:rPr>
                <w:sz w:val="18"/>
                <w:szCs w:val="18"/>
              </w:rPr>
            </w:pPr>
            <w:r w:rsidRPr="00A61C89">
              <w:rPr>
                <w:bCs/>
                <w:color w:val="000000"/>
                <w:sz w:val="18"/>
                <w:szCs w:val="18"/>
                <w:lang w:val="es-ES"/>
              </w:rPr>
              <w:t>No independiente</w:t>
            </w:r>
          </w:p>
        </w:tc>
      </w:tr>
      <w:tr w:rsidR="00D43D95" w:rsidRPr="00D43D95" w14:paraId="495B99C5" w14:textId="77777777" w:rsidTr="00BA304B">
        <w:trPr>
          <w:cantSplit/>
          <w:trHeight w:val="224"/>
        </w:trPr>
        <w:tc>
          <w:tcPr>
            <w:tcW w:w="1560" w:type="dxa"/>
          </w:tcPr>
          <w:p w14:paraId="2F12F2AA"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Director Suplente</w:t>
            </w:r>
          </w:p>
        </w:tc>
        <w:tc>
          <w:tcPr>
            <w:tcW w:w="1417" w:type="dxa"/>
          </w:tcPr>
          <w:p w14:paraId="04F41D62" w14:textId="77777777" w:rsidR="00D43D95" w:rsidRPr="00A61C89" w:rsidRDefault="00D43D95" w:rsidP="001C7D00">
            <w:pPr>
              <w:widowControl w:val="0"/>
              <w:jc w:val="center"/>
              <w:rPr>
                <w:color w:val="000000"/>
                <w:sz w:val="18"/>
                <w:szCs w:val="18"/>
                <w:lang w:val="es-ES"/>
              </w:rPr>
            </w:pPr>
            <w:r w:rsidRPr="00A61C89">
              <w:rPr>
                <w:color w:val="000000"/>
                <w:sz w:val="18"/>
                <w:szCs w:val="18"/>
                <w:lang w:val="es-ES"/>
              </w:rPr>
              <w:t>Silvia Lucila Molina</w:t>
            </w:r>
          </w:p>
        </w:tc>
        <w:tc>
          <w:tcPr>
            <w:tcW w:w="1276" w:type="dxa"/>
          </w:tcPr>
          <w:p w14:paraId="2417DFDE" w14:textId="77777777" w:rsidR="00D43D95" w:rsidRPr="00A61C89" w:rsidRDefault="00D43D95" w:rsidP="001C7D00">
            <w:pPr>
              <w:jc w:val="center"/>
              <w:rPr>
                <w:sz w:val="18"/>
                <w:szCs w:val="18"/>
              </w:rPr>
            </w:pPr>
            <w:r w:rsidRPr="00A61C89">
              <w:rPr>
                <w:color w:val="000000"/>
                <w:sz w:val="18"/>
                <w:szCs w:val="18"/>
                <w:lang w:val="es-ES"/>
              </w:rPr>
              <w:t>27-26885085-1</w:t>
            </w:r>
          </w:p>
        </w:tc>
        <w:tc>
          <w:tcPr>
            <w:tcW w:w="1412" w:type="dxa"/>
          </w:tcPr>
          <w:p w14:paraId="42F40205" w14:textId="684D9135" w:rsidR="00D43D95" w:rsidRPr="00A61C89" w:rsidRDefault="00D43D95" w:rsidP="001C7D00">
            <w:pPr>
              <w:jc w:val="center"/>
              <w:rPr>
                <w:sz w:val="18"/>
                <w:szCs w:val="18"/>
              </w:rPr>
            </w:pPr>
            <w:r w:rsidRPr="00C773DE">
              <w:rPr>
                <w:color w:val="000000"/>
                <w:sz w:val="18"/>
                <w:szCs w:val="18"/>
                <w:lang w:val="es-ES"/>
              </w:rPr>
              <w:t>Comandante Luis Piedrabuena 4950</w:t>
            </w:r>
            <w:r>
              <w:rPr>
                <w:color w:val="000000"/>
                <w:sz w:val="18"/>
                <w:szCs w:val="18"/>
                <w:lang w:val="es-ES"/>
              </w:rPr>
              <w:t>, Bariloche</w:t>
            </w:r>
          </w:p>
        </w:tc>
        <w:tc>
          <w:tcPr>
            <w:tcW w:w="1134" w:type="dxa"/>
          </w:tcPr>
          <w:p w14:paraId="25FE4067" w14:textId="77777777" w:rsidR="00D43D95" w:rsidRPr="00A61C89" w:rsidRDefault="00D43D95" w:rsidP="001C7D00">
            <w:pPr>
              <w:jc w:val="center"/>
              <w:rPr>
                <w:sz w:val="18"/>
                <w:szCs w:val="18"/>
              </w:rPr>
            </w:pPr>
            <w:r w:rsidRPr="00A61C89">
              <w:rPr>
                <w:color w:val="000000"/>
                <w:sz w:val="18"/>
                <w:szCs w:val="18"/>
                <w:lang w:val="es-ES"/>
              </w:rPr>
              <w:t>15/05/19</w:t>
            </w:r>
          </w:p>
        </w:tc>
        <w:tc>
          <w:tcPr>
            <w:tcW w:w="993" w:type="dxa"/>
          </w:tcPr>
          <w:p w14:paraId="25F966F1" w14:textId="77777777" w:rsidR="00D43D95" w:rsidRPr="00A61C89" w:rsidRDefault="00D43D95" w:rsidP="001C7D00">
            <w:pPr>
              <w:jc w:val="center"/>
              <w:rPr>
                <w:bCs/>
                <w:color w:val="000000"/>
                <w:sz w:val="18"/>
                <w:szCs w:val="18"/>
                <w:lang w:val="es-ES"/>
              </w:rPr>
            </w:pPr>
            <w:r w:rsidRPr="00A61C89">
              <w:rPr>
                <w:bCs/>
                <w:color w:val="000000"/>
                <w:sz w:val="18"/>
                <w:szCs w:val="18"/>
                <w:lang w:val="es-ES"/>
              </w:rPr>
              <w:t>30/06/2021</w:t>
            </w:r>
          </w:p>
        </w:tc>
        <w:tc>
          <w:tcPr>
            <w:tcW w:w="1275" w:type="dxa"/>
          </w:tcPr>
          <w:p w14:paraId="6BEEF5E1" w14:textId="77777777" w:rsidR="00D43D95" w:rsidRPr="00A61C89" w:rsidRDefault="00D43D95" w:rsidP="001C7D00">
            <w:pPr>
              <w:jc w:val="center"/>
              <w:rPr>
                <w:sz w:val="18"/>
                <w:szCs w:val="18"/>
              </w:rPr>
            </w:pPr>
            <w:r w:rsidRPr="00A61C89">
              <w:rPr>
                <w:bCs/>
                <w:color w:val="000000"/>
                <w:sz w:val="18"/>
                <w:szCs w:val="18"/>
                <w:lang w:val="es-ES"/>
              </w:rPr>
              <w:t>No independiente</w:t>
            </w:r>
          </w:p>
        </w:tc>
      </w:tr>
    </w:tbl>
    <w:p w14:paraId="34B5F81D" w14:textId="7F12700E" w:rsidR="00196A35" w:rsidRPr="001622AF" w:rsidRDefault="00196A35" w:rsidP="00196A35">
      <w:pPr>
        <w:widowControl w:val="0"/>
        <w:suppressLineNumbers/>
        <w:suppressAutoHyphens/>
        <w:jc w:val="both"/>
        <w:rPr>
          <w:sz w:val="20"/>
          <w:lang w:val="es-ES"/>
        </w:rPr>
      </w:pPr>
    </w:p>
    <w:p w14:paraId="1A7C83B3" w14:textId="77777777" w:rsidR="001F22C6" w:rsidRPr="007213A1" w:rsidRDefault="001F22C6" w:rsidP="001F22C6">
      <w:pPr>
        <w:widowControl w:val="0"/>
        <w:jc w:val="both"/>
        <w:rPr>
          <w:b/>
          <w:color w:val="000000"/>
          <w:sz w:val="20"/>
          <w:szCs w:val="20"/>
          <w:lang w:val="es-MX"/>
        </w:rPr>
      </w:pPr>
      <w:r w:rsidRPr="007213A1">
        <w:rPr>
          <w:b/>
          <w:color w:val="000000"/>
          <w:sz w:val="20"/>
          <w:szCs w:val="20"/>
          <w:lang w:val="es-MX"/>
        </w:rPr>
        <w:t xml:space="preserve">Información solicitada por el artículo 4 de la Sección IV del Capítulo I del Título XII de las Normas de la CNV </w:t>
      </w:r>
    </w:p>
    <w:p w14:paraId="35D52F0A" w14:textId="77777777" w:rsidR="001F22C6" w:rsidRPr="007213A1" w:rsidRDefault="001F22C6" w:rsidP="001F22C6">
      <w:pPr>
        <w:widowControl w:val="0"/>
        <w:jc w:val="both"/>
        <w:rPr>
          <w:color w:val="000000"/>
          <w:sz w:val="20"/>
          <w:szCs w:val="20"/>
          <w:lang w:val="es-MX"/>
        </w:rPr>
      </w:pPr>
    </w:p>
    <w:p w14:paraId="4E7A5146" w14:textId="5690424A" w:rsidR="001F22C6" w:rsidRPr="007213A1" w:rsidRDefault="001F22C6" w:rsidP="001F22C6">
      <w:pPr>
        <w:widowControl w:val="0"/>
        <w:jc w:val="both"/>
        <w:rPr>
          <w:sz w:val="20"/>
          <w:szCs w:val="20"/>
          <w:lang w:val="es-MX"/>
        </w:rPr>
      </w:pPr>
      <w:r w:rsidRPr="007213A1">
        <w:rPr>
          <w:sz w:val="20"/>
          <w:szCs w:val="20"/>
          <w:lang w:val="es-MX"/>
        </w:rPr>
        <w:t>En cumplimiento de lo dispuesto por el artículo 4, de la Sección IV del Capítulo I del Título XII de las Normas de la CNV, corresponde informar que la totalidad de los Directores están comprendidos dentro de la categoría de directores “no independientes”.</w:t>
      </w:r>
    </w:p>
    <w:p w14:paraId="458CBE93" w14:textId="77777777" w:rsidR="001F22C6" w:rsidRPr="007213A1" w:rsidRDefault="001F22C6" w:rsidP="001F22C6">
      <w:pPr>
        <w:jc w:val="both"/>
        <w:rPr>
          <w:rFonts w:eastAsia="Calibri"/>
          <w:sz w:val="20"/>
          <w:szCs w:val="20"/>
          <w:lang w:val="es-AR"/>
        </w:rPr>
      </w:pPr>
    </w:p>
    <w:p w14:paraId="4377E691" w14:textId="0B389CCF" w:rsidR="001F22C6" w:rsidRPr="007213A1" w:rsidRDefault="001F22C6" w:rsidP="001F22C6">
      <w:pPr>
        <w:jc w:val="both"/>
        <w:rPr>
          <w:rFonts w:eastAsia="Calibri"/>
          <w:sz w:val="20"/>
          <w:szCs w:val="20"/>
          <w:lang w:val="es-ES"/>
        </w:rPr>
      </w:pPr>
      <w:r w:rsidRPr="007213A1">
        <w:rPr>
          <w:rFonts w:eastAsia="Calibri"/>
          <w:sz w:val="20"/>
          <w:szCs w:val="20"/>
          <w:lang w:val="es-ES"/>
        </w:rPr>
        <w:t>A continuación, se transcribe una descripción biográfica sintética de los miembros del Directorio de la Sociedad.</w:t>
      </w:r>
    </w:p>
    <w:p w14:paraId="69D5285B" w14:textId="77777777" w:rsidR="001F22C6" w:rsidRPr="007213A1" w:rsidRDefault="001F22C6" w:rsidP="001F22C6">
      <w:pPr>
        <w:widowControl w:val="0"/>
        <w:suppressLineNumbers/>
        <w:suppressAutoHyphens/>
        <w:jc w:val="both"/>
        <w:rPr>
          <w:b/>
          <w:sz w:val="20"/>
          <w:szCs w:val="20"/>
          <w:lang w:val="es-ES" w:eastAsia="es-ES"/>
        </w:rPr>
      </w:pPr>
    </w:p>
    <w:p w14:paraId="3AB79F34" w14:textId="5882AB4F" w:rsidR="006B513B" w:rsidRPr="00870701" w:rsidRDefault="008B0A2D" w:rsidP="006B513B">
      <w:pPr>
        <w:pStyle w:val="Textoindependiente3"/>
        <w:rPr>
          <w:rFonts w:ascii="Times New Roman" w:hAnsi="Times New Roman" w:cs="Times New Roman"/>
          <w:color w:val="000000"/>
          <w:spacing w:val="0"/>
          <w:sz w:val="20"/>
          <w:szCs w:val="20"/>
          <w:lang w:val="es-AR" w:eastAsia="en-US"/>
        </w:rPr>
      </w:pPr>
      <w:r w:rsidRPr="00A61C89">
        <w:rPr>
          <w:rFonts w:ascii="Times New Roman" w:hAnsi="Times New Roman" w:cs="Times New Roman"/>
          <w:bCs/>
          <w:i/>
          <w:iCs/>
          <w:color w:val="000000"/>
          <w:sz w:val="20"/>
          <w:szCs w:val="20"/>
        </w:rPr>
        <w:t>Héctor</w:t>
      </w:r>
      <w:r w:rsidR="005A6319" w:rsidRPr="00A61C89">
        <w:rPr>
          <w:rFonts w:ascii="Times New Roman" w:hAnsi="Times New Roman" w:cs="Times New Roman"/>
          <w:bCs/>
          <w:i/>
          <w:iCs/>
          <w:color w:val="000000"/>
          <w:sz w:val="20"/>
          <w:szCs w:val="20"/>
        </w:rPr>
        <w:t xml:space="preserve"> E. Otheguy:</w:t>
      </w:r>
      <w:r w:rsidR="005A6319" w:rsidRPr="00A34445">
        <w:rPr>
          <w:bCs/>
          <w:i/>
          <w:iCs/>
          <w:color w:val="000000"/>
          <w:sz w:val="20"/>
          <w:szCs w:val="20"/>
        </w:rPr>
        <w:t xml:space="preserve"> </w:t>
      </w:r>
      <w:r w:rsidR="006B513B" w:rsidRPr="00870701">
        <w:rPr>
          <w:rFonts w:ascii="Times New Roman" w:hAnsi="Times New Roman" w:cs="Times New Roman"/>
          <w:color w:val="000000"/>
          <w:spacing w:val="0"/>
          <w:sz w:val="20"/>
          <w:szCs w:val="20"/>
          <w:lang w:val="es-AR" w:eastAsia="en-US"/>
        </w:rPr>
        <w:t>El Sr. Otheguy nació el 20 de abril de 1947. Su DNI es 7601512, su CUIT 20-07601512-1 y su domicilio especial Av. Comandante Luis Piedrabuena 4950, Bariloche. Obtuvo en el año 1970 el título de Licenciado en Física en el Instituto Balseiro y en el año 1985 obtuvo un Master of Science in Management otorgado por Stanford University, California, Estados Unidos. El Sr. Otheguy desde el año 1973 a 1978 fue investigador para el Centro Atómico Bariloche y desde 1978 a 1980 fue Sub Gerente Técnico de INVAP, empleado por la CNEA y de 1980 a 1986 fue Gerente Técnico de INVAP. Como empleado de INVAP, ocupó desde el año 1986 a 1991 la Gerencia Técnica y desde el año 1991 al año 2017 ocupó el cargo de Gerente General. Lideró los esfuerzos de diversificar las líneas de productos y servicios, abriendo nuevos mercados y desarrollando los recursos humanos necesarios; iniciando el Área Espacial, el Área de Radares, al tiempo que INVAP alcanzaba el liderazgo del grupo de empresas proveedoras de Centros de Investigación Nuclear. Desde el año 2017 a la actualidad es el Presidente de INVAP S.E. A su vez es Presidente de la Fundación INVAP desde su creación en 2014.</w:t>
      </w:r>
    </w:p>
    <w:p w14:paraId="5DD3944E" w14:textId="774C046B" w:rsidR="001F22C6" w:rsidRDefault="001F22C6" w:rsidP="001F22C6">
      <w:pPr>
        <w:widowControl w:val="0"/>
        <w:suppressLineNumbers/>
        <w:suppressAutoHyphens/>
        <w:jc w:val="both"/>
        <w:rPr>
          <w:bCs/>
          <w:iCs/>
          <w:color w:val="000000"/>
          <w:sz w:val="20"/>
          <w:szCs w:val="20"/>
          <w:lang w:val="es-ES" w:eastAsia="es-ES"/>
        </w:rPr>
      </w:pPr>
    </w:p>
    <w:p w14:paraId="4786B666" w14:textId="5B2DC188" w:rsidR="006B513B" w:rsidRPr="00870701" w:rsidRDefault="005A6319" w:rsidP="006B513B">
      <w:pPr>
        <w:jc w:val="both"/>
        <w:rPr>
          <w:color w:val="000000"/>
          <w:sz w:val="20"/>
          <w:szCs w:val="20"/>
          <w:lang w:val="es-AR"/>
        </w:rPr>
      </w:pPr>
      <w:r>
        <w:rPr>
          <w:i/>
          <w:iCs/>
          <w:color w:val="000000"/>
          <w:sz w:val="20"/>
          <w:szCs w:val="20"/>
          <w:lang w:val="es-AR"/>
        </w:rPr>
        <w:t xml:space="preserve">Hugo Albani: </w:t>
      </w:r>
      <w:r w:rsidR="006B513B" w:rsidRPr="00870701">
        <w:rPr>
          <w:color w:val="000000"/>
          <w:sz w:val="20"/>
          <w:szCs w:val="20"/>
          <w:lang w:val="es-AR"/>
        </w:rPr>
        <w:t>El Sr. Albani nació el 29 de mayo de 1942. Su DNI es 7727327, su CUIT 20-07727327-2 y su domicilio especial Av. Comandante Luis Piedrabuena 4950, Bariloche. Se recibió en 1970 de Licenciado en Ciencias Químicas. Se desempeñó en la Gerencia de Investigaciones de la CNEA desde 1971 a 1978. En 1978 ingresó a INVAP, desempeñándose como Jefe de Planta de Circonio, Sub-Gerente de Operaciones del Proyecto de Enriquecimiento de Uranio, Gerente Técnico, Director Ejecutivo de AILINCO S.A. (Sociedad formada por INVAP (51%) con IFU y Kommunekemi de Dinamarca, destinada al Tratamiento de Desechos Industriales Peligrosos. Desde 2000 hasta mayo del 2014 fue Sub-Gerente General de INVAP, con particular dedicación a los proyectos vinculados con el Ministerio de Planificación Federal (TV Digital Abierta) y con las Fuerzas Armadas y Ministerio de Defensa. Desde el 04 de abril de 2014 a la fecha, es Vice</w:t>
      </w:r>
      <w:r w:rsidR="006E5CD4">
        <w:rPr>
          <w:color w:val="000000"/>
          <w:sz w:val="20"/>
          <w:szCs w:val="20"/>
          <w:lang w:val="es-AR"/>
        </w:rPr>
        <w:t>p</w:t>
      </w:r>
      <w:r w:rsidR="006B513B" w:rsidRPr="00870701">
        <w:rPr>
          <w:color w:val="000000"/>
          <w:sz w:val="20"/>
          <w:szCs w:val="20"/>
          <w:lang w:val="es-AR"/>
        </w:rPr>
        <w:t>residente de INVAP S.E.</w:t>
      </w:r>
    </w:p>
    <w:p w14:paraId="624D2C7C" w14:textId="16121364" w:rsidR="005A6319" w:rsidRDefault="005A6319" w:rsidP="005A6319">
      <w:pPr>
        <w:jc w:val="both"/>
        <w:rPr>
          <w:color w:val="000000"/>
          <w:sz w:val="20"/>
          <w:szCs w:val="20"/>
          <w:lang w:val="es-AR"/>
        </w:rPr>
      </w:pPr>
    </w:p>
    <w:p w14:paraId="1E124058" w14:textId="55F6AD14" w:rsidR="005A6319" w:rsidRDefault="005A6319" w:rsidP="005A6319">
      <w:pPr>
        <w:jc w:val="both"/>
        <w:rPr>
          <w:color w:val="000000"/>
          <w:sz w:val="20"/>
          <w:szCs w:val="20"/>
          <w:lang w:val="es-AR"/>
        </w:rPr>
      </w:pPr>
      <w:r>
        <w:rPr>
          <w:i/>
          <w:iCs/>
          <w:color w:val="000000"/>
          <w:sz w:val="20"/>
          <w:szCs w:val="20"/>
          <w:lang w:val="es-AR"/>
        </w:rPr>
        <w:t>Néstor Pablo Tognetti</w:t>
      </w:r>
      <w:r>
        <w:rPr>
          <w:color w:val="000000"/>
          <w:sz w:val="20"/>
          <w:szCs w:val="20"/>
          <w:lang w:val="es-AR"/>
        </w:rPr>
        <w:t>: El Sr. Tognetti nació el 31 de enero de 1947. Su DNI es 5513588, su CUIT 20-05513588-7 y su domicilio especial Av. Comandante Luis Piedrabuena 4950, Bariloche. En 1969 obtuvo el título de Licenciado en Física de la Universidad de Cuyo, y en 1982 el de Doctor en Física. Entre 1970 y 1976 se desempeñó como Jefe de la División Dispositivos Especiales de la CNEA. En 1976, formó parte del grupo creador de INVAP. Coordinó el armado de la Gerencia de Proyectos Espaciales de INVAP, de la cual estuvo a cargo, habiendo dirigido todos los proyectos espaciales como los satélites SAC-A, SAC-B, SAC-C, y comienzos del SAC-D y del SAOCOM, así como de todos sus instrumentos ópticos. Tuvo a cargo el arranque del desarrollo de radares monopulso. Fue miembro del Directorio de INVAP Ingeniería S.A. Entre 1979 y 1981 realizó en la Universidad de Salford, UK, trabajos de investigación aplicada en interacción de iones con sólidos, bajo la posición de investigador visitante, becado por INVAP. En el año 2006 fue convocado para integrar el primer Directorio de ARSAT, donde comenzó como Vicepresidente y Gerente Técnico. En el rol técnico, condujo las actividades de ARSAT como operador satelital; mediante el arrendamiento de satélites y de capacidad satelital de terceros se logró por un lado la preservación de los derechos Argentinos sobre las dos posiciones orbitales geoestacionarias asignadas al país por la Unión Internacional de Telecomunicaciones, y por otro que ARSAT tenga una actividad rentable y creciente como proveedor de facilidades satelitales, consiguiéndose mantener la base de clientes que tuvo el satélite Nahuel 1 hasta el fin de su vida útil en el 2007. En el marco del objeto social establecido en la Ley de creación de ARSAT, por el cual la empresa debe diseñar y construir satélites, condujo el diseño e iniciación del proyecto Sistema Satelital Geoestacionario de Telecomunicaciones, incluyendo la modernización de la estación terrestre en la que INVAP diseña y construye los satélites. Desde enero de 2008 hasta el 2013 fue Presidente Ejecutivo de ARSAT. Condujo en forma directa la implementación de los programas estratégicos de Gobierno en materia de inclusión en las tecnologías de telecomunicaciones, radiodifusión e Internet, tales como la TV Digital, la Fibra Óptica, el Centro Nacional de Datos, el programa de Satélites Geoestacionarios de Telecomunicaciones, y la creación del centro de ensayos CEATSA. Desde abril 2013 a la fecha, se desempeña en INVAP como Responsable de negocios internacionales en el área espacial. Desde el 4 de abril de 2014, ocupa el cargo de Director Titular.</w:t>
      </w:r>
    </w:p>
    <w:p w14:paraId="3D3B2BFD" w14:textId="77777777" w:rsidR="005A6319" w:rsidRDefault="005A6319" w:rsidP="005A6319">
      <w:pPr>
        <w:rPr>
          <w:sz w:val="22"/>
          <w:szCs w:val="22"/>
          <w:lang w:val="es-AR"/>
        </w:rPr>
      </w:pPr>
    </w:p>
    <w:p w14:paraId="25B2C544" w14:textId="56D4A0E5" w:rsidR="006B513B" w:rsidRPr="00870701" w:rsidRDefault="005A6319" w:rsidP="006B513B">
      <w:pPr>
        <w:suppressAutoHyphens/>
        <w:jc w:val="both"/>
        <w:rPr>
          <w:color w:val="000000"/>
          <w:sz w:val="20"/>
          <w:szCs w:val="20"/>
          <w:lang w:val="es-AR"/>
        </w:rPr>
      </w:pPr>
      <w:r w:rsidRPr="00A34445">
        <w:rPr>
          <w:i/>
          <w:sz w:val="20"/>
          <w:szCs w:val="20"/>
          <w:lang w:val="es-AR"/>
        </w:rPr>
        <w:t xml:space="preserve">Hugo Brendstrup: </w:t>
      </w:r>
      <w:r w:rsidR="006B513B" w:rsidRPr="00870701">
        <w:rPr>
          <w:color w:val="000000"/>
          <w:sz w:val="20"/>
          <w:szCs w:val="20"/>
          <w:lang w:val="es-AR"/>
        </w:rPr>
        <w:t>El Sr. Brendstrup nació el 30 de marzo de 1949. Su DNI es 8216424, su CUIT 20-08216424-4 y su domicilio especial Av. Comandante Luis Piedrabuena 4950, Bariloche. En 1975 egresó como Ingeniero Industrial Orientación Mecánica de la Universidad Nacional del Sur. Ingresó en INVAP a principios de 1977. Ha actuado de manera directa en diversos proyectos tecnológicos de interés nuclear, como la Planta de Producción de Esponja de Circonio y la Planta de Enriquecimiento de Uranio por Difusión Gaseosa, entre otros. Ha dirigido proyectos tales como el desarrollo de Equipamiento y Prótesis de Uso Médico, Aerogeneradores de baja potencia, Sistemas de Inyección de vapor Convencional y Mixto para extracción de petróleo viscoso, y numerosos desarrollos mecánicos, de procesos, de materiales especiales, análisis de fallas, y estudios de aptitud para el servicio de componentes estructurales críticos.</w:t>
      </w:r>
      <w:r w:rsidR="006B513B">
        <w:rPr>
          <w:color w:val="000000"/>
          <w:sz w:val="20"/>
          <w:szCs w:val="20"/>
          <w:lang w:val="es-AR"/>
        </w:rPr>
        <w:t xml:space="preserve"> </w:t>
      </w:r>
      <w:r w:rsidR="006B513B" w:rsidRPr="00870701">
        <w:rPr>
          <w:color w:val="000000"/>
          <w:sz w:val="20"/>
          <w:szCs w:val="20"/>
          <w:lang w:val="es-AR"/>
        </w:rPr>
        <w:t xml:space="preserve">Fue Gerente de Tecnología Industrial y Energías Alternativas de INVAP S.E., actualmente es Presidente de la empresa controlada “Eólica Rionegrina SA” (60% INVAP SE </w:t>
      </w:r>
      <w:r w:rsidR="006E5CD4" w:rsidRPr="00870701">
        <w:rPr>
          <w:color w:val="000000"/>
          <w:sz w:val="20"/>
          <w:szCs w:val="20"/>
          <w:lang w:val="es-AR"/>
        </w:rPr>
        <w:t>– 40</w:t>
      </w:r>
      <w:r w:rsidR="006B513B" w:rsidRPr="00870701">
        <w:rPr>
          <w:color w:val="000000"/>
          <w:sz w:val="20"/>
          <w:szCs w:val="20"/>
          <w:lang w:val="es-AR"/>
        </w:rPr>
        <w:t>% Transcomahue SA), Director de INVAP Ingeniería S.A. y desde septiembre de 2018 Director titular de INVAP S.E.</w:t>
      </w:r>
    </w:p>
    <w:p w14:paraId="59D7B2EA" w14:textId="77777777" w:rsidR="005A6319" w:rsidRPr="004C2CEC" w:rsidRDefault="005A6319" w:rsidP="005A6319">
      <w:pPr>
        <w:rPr>
          <w:i/>
          <w:sz w:val="20"/>
          <w:lang w:val="es-AR"/>
        </w:rPr>
      </w:pPr>
    </w:p>
    <w:p w14:paraId="26D8EFA1" w14:textId="30680D67" w:rsidR="006B513B" w:rsidRPr="00870701" w:rsidRDefault="006B513B" w:rsidP="006B513B">
      <w:pPr>
        <w:jc w:val="both"/>
        <w:rPr>
          <w:color w:val="000000"/>
          <w:sz w:val="20"/>
          <w:szCs w:val="20"/>
          <w:lang w:val="es-AR"/>
        </w:rPr>
      </w:pPr>
      <w:r w:rsidRPr="004C2CEC">
        <w:rPr>
          <w:i/>
          <w:color w:val="000000"/>
          <w:sz w:val="20"/>
          <w:lang w:val="es-AR"/>
        </w:rPr>
        <w:t>Alberto Lamagna:</w:t>
      </w:r>
      <w:r w:rsidRPr="00870701">
        <w:rPr>
          <w:color w:val="000000"/>
          <w:sz w:val="20"/>
          <w:szCs w:val="20"/>
          <w:lang w:val="es-AR"/>
        </w:rPr>
        <w:t xml:space="preserve"> El Sr. Lamagna nació el 20 de octubre de 1957. Su DNI es 13430914, su CUIT 20-13430914-9 y su domicilio especial Av. Comandante Luis Piedrabuena 4950, Bariloche. Egresado de Técnico en Electrónica. ENET N 28 (Buenos Aires); Luego se recibió de Licenciado en Ciencias Físicas de la Facultad de Ciencias Exactas y Naturales de la Universidad de Buenos Aires (1984) </w:t>
      </w:r>
      <w:r w:rsidR="006E5CD4" w:rsidRPr="00870701">
        <w:rPr>
          <w:color w:val="000000"/>
          <w:sz w:val="20"/>
          <w:szCs w:val="20"/>
          <w:lang w:val="es-AR"/>
        </w:rPr>
        <w:t>y obtuvo</w:t>
      </w:r>
      <w:r w:rsidRPr="00870701">
        <w:rPr>
          <w:color w:val="000000"/>
          <w:sz w:val="20"/>
          <w:szCs w:val="20"/>
          <w:lang w:val="es-AR"/>
        </w:rPr>
        <w:t xml:space="preserve"> un Doctorado en Física de la Universidad de Bologna (Italia 1991). El Sr. Lamagna ingresó a la Comisión Nacional de Energía Atómica (CNEA) como becario en 1985. Trabajó en las siguientes áreas científico-tecnológicas: materiales fotovoltaicos, celdas solares para satélites, superconductividad, en procesos de fabricación de micro y nanodispositivos (MEMS), sensores, actuadores y narices electrónicas, y actualmente, en enriquecimiento de uranio por láser. Autor de más de 100 publicaciones científicas en revistas, en conferencias nacionales e internacionales. Desde 2011 es responsable del Proyecto de Enriquecimiento de Uranio por técnicas avanzadas asistidas por Láser (proyecto LASIE). Director de empresa FAE S.A. (PECOM-CNEA) desde </w:t>
      </w:r>
      <w:r w:rsidR="006E5CD4" w:rsidRPr="00870701">
        <w:rPr>
          <w:color w:val="000000"/>
          <w:sz w:val="20"/>
          <w:szCs w:val="20"/>
          <w:lang w:val="es-AR"/>
        </w:rPr>
        <w:t>agosto</w:t>
      </w:r>
      <w:r w:rsidRPr="00870701">
        <w:rPr>
          <w:color w:val="000000"/>
          <w:sz w:val="20"/>
          <w:szCs w:val="20"/>
          <w:lang w:val="es-AR"/>
        </w:rPr>
        <w:t xml:space="preserve"> 2015 hasta Mazo 2019. Director de empresa NA-SA (Nucleoeléctrica Argentina S.A.) Desde Mar.2017 hasta Mar.2019, Fue Gerente de Área Investigación y Aplicaciones No Nucleares de la CNEA (2006-2016) y actualmente es Vicepresidente de la CNEA. Desde el 15/05/2019 es Director Titular de INVAP S.E.</w:t>
      </w:r>
    </w:p>
    <w:p w14:paraId="33BF04D6" w14:textId="77777777" w:rsidR="005A6319" w:rsidRPr="00A34445" w:rsidRDefault="005A6319" w:rsidP="005A6319">
      <w:pPr>
        <w:rPr>
          <w:i/>
          <w:sz w:val="20"/>
          <w:szCs w:val="20"/>
          <w:lang w:val="es-AR"/>
        </w:rPr>
      </w:pPr>
    </w:p>
    <w:p w14:paraId="0145BFA8" w14:textId="1EECE7F3" w:rsidR="008B7CF7" w:rsidRDefault="005A6319" w:rsidP="006B513B">
      <w:pPr>
        <w:jc w:val="both"/>
        <w:rPr>
          <w:color w:val="000000"/>
          <w:sz w:val="20"/>
          <w:szCs w:val="20"/>
          <w:lang w:val="es-AR"/>
        </w:rPr>
      </w:pPr>
      <w:r w:rsidRPr="00A34445">
        <w:rPr>
          <w:i/>
          <w:sz w:val="20"/>
          <w:szCs w:val="20"/>
          <w:lang w:val="es-AR"/>
        </w:rPr>
        <w:t>Facundo Abel Deluchi</w:t>
      </w:r>
      <w:r w:rsidR="006B513B">
        <w:rPr>
          <w:i/>
          <w:sz w:val="20"/>
          <w:szCs w:val="20"/>
          <w:lang w:val="es-AR"/>
        </w:rPr>
        <w:t>:</w:t>
      </w:r>
      <w:r w:rsidRPr="00A34445">
        <w:rPr>
          <w:i/>
          <w:sz w:val="20"/>
          <w:szCs w:val="20"/>
          <w:lang w:val="es-AR"/>
        </w:rPr>
        <w:t xml:space="preserve"> </w:t>
      </w:r>
      <w:r w:rsidR="006B513B" w:rsidRPr="00870701">
        <w:rPr>
          <w:color w:val="000000"/>
          <w:sz w:val="20"/>
          <w:szCs w:val="20"/>
          <w:lang w:val="es-AR"/>
        </w:rPr>
        <w:t>El Sr. Deluchi nació el 23 de mayo de 1983. Su DNI es 30289158, su CUIT 20-30289158-4 y su domicilio especial Av. Comandante Luis Piedrabuena 4950, Bariloche. Obtuvo el título de Licenciado en Relaciones Internacionales en la Universidad del Salvador (2007). En la actualidad se encuentra finalizando una Maestría en Ciencia y Tecnología (Universidad Nacional de Quilmes) y una Diplomatura Superior en Gestión y Control de Políticas Públicas (Facultad Latinoamericana de Ciencias Sociales).</w:t>
      </w:r>
      <w:r w:rsidR="009D369D">
        <w:rPr>
          <w:color w:val="000000"/>
          <w:sz w:val="20"/>
          <w:szCs w:val="20"/>
          <w:lang w:val="es-AR"/>
        </w:rPr>
        <w:t xml:space="preserve"> </w:t>
      </w:r>
      <w:r w:rsidR="006B513B" w:rsidRPr="00870701">
        <w:rPr>
          <w:color w:val="000000"/>
          <w:sz w:val="20"/>
          <w:szCs w:val="20"/>
          <w:lang w:val="es-AR"/>
        </w:rPr>
        <w:t xml:space="preserve">Ocupó el rol de Secretario en la Comisión Directiva de la Amnistía Internacional Argentina (2006-2008). Dentro de la Comisión Nacional de Energía Atómica, formo parte del Departamento de Relaciones Internacionales desde el año 2005, siendo Jefe de dicho Departamento durante el periodo 2009-2012; y se desempeñó como Gerente de Relaciones Institucionales (2012-2015). Es Coordinador del Área Tecnología Nuclear en el Centro Latinoamericano de Investigaciones Científicas y Tecnológicas desde el año 2007. Desde el año 2016 y a la fecha es Director Nacional de Políticas Nucleares dentro del Ministerio de Energía y Minería. </w:t>
      </w:r>
      <w:r w:rsidR="00AA3F9A" w:rsidRPr="00870701">
        <w:rPr>
          <w:color w:val="000000"/>
          <w:sz w:val="20"/>
          <w:szCs w:val="20"/>
          <w:lang w:val="es-AR"/>
        </w:rPr>
        <w:t xml:space="preserve">Desde </w:t>
      </w:r>
      <w:r w:rsidR="00AA3F9A">
        <w:rPr>
          <w:color w:val="000000"/>
          <w:sz w:val="20"/>
          <w:szCs w:val="20"/>
          <w:lang w:val="es-AR"/>
        </w:rPr>
        <w:t xml:space="preserve">2017 </w:t>
      </w:r>
      <w:r w:rsidR="00AA3F9A" w:rsidRPr="00870701">
        <w:rPr>
          <w:color w:val="000000"/>
          <w:sz w:val="20"/>
          <w:szCs w:val="20"/>
          <w:lang w:val="es-AR"/>
        </w:rPr>
        <w:t>es Director Titular de INVAP S.E.</w:t>
      </w:r>
    </w:p>
    <w:p w14:paraId="17CE6E0C" w14:textId="65607B14" w:rsidR="008B7CF7" w:rsidRPr="004C2CEC" w:rsidRDefault="008B7CF7" w:rsidP="004C2CEC">
      <w:pPr>
        <w:jc w:val="both"/>
        <w:rPr>
          <w:color w:val="000000"/>
          <w:sz w:val="20"/>
          <w:lang w:val="es-AR"/>
        </w:rPr>
      </w:pPr>
    </w:p>
    <w:p w14:paraId="422948E1" w14:textId="266394D9" w:rsidR="005A6319" w:rsidRPr="00776A7F" w:rsidRDefault="008B7CF7" w:rsidP="00776A7F">
      <w:pPr>
        <w:jc w:val="both"/>
        <w:rPr>
          <w:rFonts w:ascii="Helvetica" w:hAnsi="Helvetica" w:cs="Helvetica"/>
          <w:sz w:val="20"/>
          <w:szCs w:val="20"/>
          <w:lang w:val="es-AR"/>
        </w:rPr>
      </w:pPr>
      <w:r w:rsidRPr="003F2DB8">
        <w:rPr>
          <w:i/>
          <w:iCs/>
          <w:color w:val="000000"/>
          <w:sz w:val="20"/>
          <w:szCs w:val="20"/>
          <w:lang w:val="es-AR"/>
        </w:rPr>
        <w:t>Luis E. Billinger Mancioli</w:t>
      </w:r>
      <w:r w:rsidR="00B55910">
        <w:rPr>
          <w:i/>
          <w:iCs/>
          <w:color w:val="000000"/>
          <w:sz w:val="20"/>
          <w:szCs w:val="20"/>
          <w:lang w:val="es-AR"/>
        </w:rPr>
        <w:t xml:space="preserve">: </w:t>
      </w:r>
      <w:r w:rsidR="00860806" w:rsidRPr="00776A7F">
        <w:rPr>
          <w:color w:val="000000"/>
          <w:sz w:val="20"/>
          <w:szCs w:val="20"/>
          <w:lang w:val="es-AR"/>
        </w:rPr>
        <w:t xml:space="preserve">El Sr. Billinger nació el 6 de abril de 1977. Su DNI es 25786260, su CUIT </w:t>
      </w:r>
      <w:r w:rsidR="00D00E91" w:rsidRPr="00776A7F">
        <w:rPr>
          <w:color w:val="000000"/>
          <w:sz w:val="20"/>
          <w:szCs w:val="20"/>
          <w:lang w:val="es-AR"/>
        </w:rPr>
        <w:t>20-25786260-8</w:t>
      </w:r>
      <w:r w:rsidR="00D00E91">
        <w:rPr>
          <w:i/>
          <w:iCs/>
          <w:color w:val="000000"/>
          <w:sz w:val="20"/>
          <w:szCs w:val="20"/>
          <w:lang w:val="es-AR"/>
        </w:rPr>
        <w:t xml:space="preserve"> </w:t>
      </w:r>
      <w:r w:rsidR="00D00E91" w:rsidRPr="00870701">
        <w:rPr>
          <w:color w:val="000000"/>
          <w:sz w:val="20"/>
          <w:szCs w:val="20"/>
          <w:lang w:val="es-AR"/>
        </w:rPr>
        <w:t>y su domicilio especial Av. Comandante Luis Piedrabuena 4950, Bariloche.</w:t>
      </w:r>
      <w:r w:rsidR="00B55910">
        <w:rPr>
          <w:color w:val="000000"/>
          <w:sz w:val="20"/>
          <w:szCs w:val="20"/>
          <w:lang w:val="es-AR"/>
        </w:rPr>
        <w:t xml:space="preserve"> Se encuentra finalizando la carrera de Ingeniería Informática en la Universidad FASTA.</w:t>
      </w:r>
      <w:r>
        <w:rPr>
          <w:color w:val="000000"/>
          <w:sz w:val="20"/>
          <w:szCs w:val="20"/>
          <w:lang w:val="es-AR"/>
        </w:rPr>
        <w:t xml:space="preserve"> </w:t>
      </w:r>
      <w:r w:rsidR="00D00E91" w:rsidRPr="00870701">
        <w:rPr>
          <w:color w:val="000000"/>
          <w:sz w:val="20"/>
          <w:szCs w:val="20"/>
          <w:lang w:val="es-AR"/>
        </w:rPr>
        <w:t xml:space="preserve">Se desempeña </w:t>
      </w:r>
      <w:r w:rsidR="003824A6">
        <w:rPr>
          <w:color w:val="000000"/>
          <w:sz w:val="20"/>
          <w:szCs w:val="20"/>
          <w:lang w:val="es-AR"/>
        </w:rPr>
        <w:t>como empleado de</w:t>
      </w:r>
      <w:r w:rsidR="00D00E91" w:rsidRPr="00870701">
        <w:rPr>
          <w:color w:val="000000"/>
          <w:sz w:val="20"/>
          <w:szCs w:val="20"/>
          <w:lang w:val="es-AR"/>
        </w:rPr>
        <w:t xml:space="preserve"> INVAP desde el año </w:t>
      </w:r>
      <w:r w:rsidR="00D00E91">
        <w:rPr>
          <w:color w:val="000000"/>
          <w:sz w:val="20"/>
          <w:szCs w:val="20"/>
          <w:lang w:val="es-AR"/>
        </w:rPr>
        <w:t>2005</w:t>
      </w:r>
      <w:r w:rsidR="009A0613">
        <w:rPr>
          <w:color w:val="000000"/>
          <w:sz w:val="20"/>
          <w:szCs w:val="20"/>
          <w:lang w:val="es-AR"/>
        </w:rPr>
        <w:t xml:space="preserve">, </w:t>
      </w:r>
      <w:r w:rsidR="009A0613" w:rsidRPr="00870701">
        <w:rPr>
          <w:color w:val="000000"/>
          <w:sz w:val="20"/>
          <w:szCs w:val="20"/>
          <w:lang w:val="es-AR"/>
        </w:rPr>
        <w:t>dond</w:t>
      </w:r>
      <w:r w:rsidR="009A0613">
        <w:rPr>
          <w:color w:val="000000"/>
          <w:sz w:val="20"/>
          <w:szCs w:val="20"/>
          <w:lang w:val="es-AR"/>
        </w:rPr>
        <w:t xml:space="preserve">e ha realizado diferentes tareas </w:t>
      </w:r>
      <w:r w:rsidR="003824A6">
        <w:rPr>
          <w:color w:val="000000"/>
          <w:sz w:val="20"/>
          <w:szCs w:val="20"/>
          <w:lang w:val="es-AR"/>
        </w:rPr>
        <w:t>relacionadas al</w:t>
      </w:r>
      <w:r w:rsidR="009A0613" w:rsidRPr="00804E1F">
        <w:rPr>
          <w:color w:val="000000"/>
          <w:sz w:val="20"/>
          <w:szCs w:val="20"/>
          <w:lang w:val="es-AR"/>
        </w:rPr>
        <w:t xml:space="preserve"> Reactor Opal (2005-2006), </w:t>
      </w:r>
      <w:r w:rsidR="003824A6">
        <w:rPr>
          <w:color w:val="000000"/>
          <w:sz w:val="20"/>
          <w:szCs w:val="20"/>
          <w:lang w:val="es-AR"/>
        </w:rPr>
        <w:t xml:space="preserve">como </w:t>
      </w:r>
      <w:r w:rsidR="009A0613" w:rsidRPr="00804E1F">
        <w:rPr>
          <w:color w:val="000000"/>
          <w:sz w:val="20"/>
          <w:szCs w:val="20"/>
          <w:lang w:val="es-AR"/>
        </w:rPr>
        <w:t xml:space="preserve">administrador y soporte </w:t>
      </w:r>
      <w:r w:rsidR="003824A6">
        <w:rPr>
          <w:color w:val="000000"/>
          <w:sz w:val="20"/>
          <w:szCs w:val="20"/>
          <w:lang w:val="es-AR"/>
        </w:rPr>
        <w:t xml:space="preserve">de </w:t>
      </w:r>
      <w:r w:rsidR="009A0613" w:rsidRPr="00804E1F">
        <w:rPr>
          <w:color w:val="000000"/>
          <w:sz w:val="20"/>
          <w:szCs w:val="20"/>
          <w:lang w:val="es-AR"/>
        </w:rPr>
        <w:t xml:space="preserve">Software de materiales </w:t>
      </w:r>
      <w:r w:rsidR="00F4354A">
        <w:rPr>
          <w:color w:val="000000"/>
          <w:sz w:val="20"/>
          <w:szCs w:val="20"/>
          <w:lang w:val="es-AR"/>
        </w:rPr>
        <w:t>para el área de Electrónica e Instrumentación</w:t>
      </w:r>
      <w:r w:rsidR="009A0613" w:rsidRPr="00804E1F">
        <w:rPr>
          <w:color w:val="000000"/>
          <w:sz w:val="20"/>
          <w:szCs w:val="20"/>
          <w:lang w:val="es-AR"/>
        </w:rPr>
        <w:t xml:space="preserve"> (2006-2010), </w:t>
      </w:r>
      <w:r w:rsidR="00F4354A">
        <w:rPr>
          <w:color w:val="000000"/>
          <w:sz w:val="20"/>
          <w:szCs w:val="20"/>
          <w:lang w:val="es-AR"/>
        </w:rPr>
        <w:t xml:space="preserve">como </w:t>
      </w:r>
      <w:r w:rsidR="009A0613" w:rsidRPr="00804E1F">
        <w:rPr>
          <w:color w:val="000000"/>
          <w:sz w:val="20"/>
          <w:szCs w:val="20"/>
          <w:lang w:val="es-AR"/>
        </w:rPr>
        <w:t xml:space="preserve">coordinador de producción e integración en el </w:t>
      </w:r>
      <w:r w:rsidR="00F4354A">
        <w:rPr>
          <w:color w:val="000000"/>
          <w:sz w:val="20"/>
          <w:szCs w:val="20"/>
          <w:lang w:val="es-AR"/>
        </w:rPr>
        <w:t>g</w:t>
      </w:r>
      <w:r w:rsidR="009A0613" w:rsidRPr="00804E1F">
        <w:rPr>
          <w:color w:val="000000"/>
          <w:sz w:val="20"/>
          <w:szCs w:val="20"/>
          <w:lang w:val="es-AR"/>
        </w:rPr>
        <w:t xml:space="preserve">rupo </w:t>
      </w:r>
      <w:r w:rsidR="00F4354A">
        <w:rPr>
          <w:color w:val="000000"/>
          <w:sz w:val="20"/>
          <w:szCs w:val="20"/>
          <w:lang w:val="es-AR"/>
        </w:rPr>
        <w:t>de h</w:t>
      </w:r>
      <w:r w:rsidR="009A0613" w:rsidRPr="00804E1F">
        <w:rPr>
          <w:color w:val="000000"/>
          <w:sz w:val="20"/>
          <w:szCs w:val="20"/>
          <w:lang w:val="es-AR"/>
        </w:rPr>
        <w:t xml:space="preserve">arness en proyectos </w:t>
      </w:r>
      <w:r w:rsidR="00F4354A">
        <w:rPr>
          <w:color w:val="000000"/>
          <w:sz w:val="20"/>
          <w:szCs w:val="20"/>
          <w:lang w:val="es-AR"/>
        </w:rPr>
        <w:t xml:space="preserve">satelitales </w:t>
      </w:r>
      <w:r w:rsidR="009A0613" w:rsidRPr="00804E1F">
        <w:rPr>
          <w:color w:val="000000"/>
          <w:sz w:val="20"/>
          <w:szCs w:val="20"/>
          <w:lang w:val="es-AR"/>
        </w:rPr>
        <w:t>ARSAT1, ARSAT2</w:t>
      </w:r>
      <w:r w:rsidR="00F4354A">
        <w:rPr>
          <w:color w:val="000000"/>
          <w:sz w:val="20"/>
          <w:szCs w:val="20"/>
          <w:lang w:val="es-AR"/>
        </w:rPr>
        <w:t xml:space="preserve"> y</w:t>
      </w:r>
      <w:r w:rsidR="009A0613" w:rsidRPr="00804E1F">
        <w:rPr>
          <w:color w:val="000000"/>
          <w:sz w:val="20"/>
          <w:szCs w:val="20"/>
          <w:lang w:val="es-AR"/>
        </w:rPr>
        <w:t xml:space="preserve"> SAOCOM 1A (2010-2016)</w:t>
      </w:r>
      <w:r w:rsidR="00B55910" w:rsidRPr="00804E1F">
        <w:rPr>
          <w:color w:val="000000"/>
          <w:sz w:val="20"/>
          <w:szCs w:val="20"/>
          <w:lang w:val="es-AR"/>
        </w:rPr>
        <w:t xml:space="preserve">, </w:t>
      </w:r>
      <w:r w:rsidR="00F4354A">
        <w:rPr>
          <w:color w:val="000000"/>
          <w:sz w:val="20"/>
          <w:szCs w:val="20"/>
          <w:lang w:val="es-AR"/>
        </w:rPr>
        <w:t xml:space="preserve">y actualmente en funciones de calidad para el </w:t>
      </w:r>
      <w:r w:rsidR="00B55910" w:rsidRPr="00804E1F">
        <w:rPr>
          <w:color w:val="000000"/>
          <w:sz w:val="20"/>
          <w:szCs w:val="20"/>
          <w:lang w:val="es-AR"/>
        </w:rPr>
        <w:t xml:space="preserve">Proyecto </w:t>
      </w:r>
      <w:r w:rsidR="00F4354A">
        <w:rPr>
          <w:color w:val="000000"/>
          <w:sz w:val="20"/>
          <w:szCs w:val="20"/>
          <w:lang w:val="es-AR"/>
        </w:rPr>
        <w:t xml:space="preserve">de Argelia. </w:t>
      </w:r>
      <w:r w:rsidR="00F4354A" w:rsidRPr="00870701">
        <w:rPr>
          <w:color w:val="000000"/>
          <w:sz w:val="20"/>
          <w:szCs w:val="20"/>
          <w:lang w:val="es-AR"/>
        </w:rPr>
        <w:t xml:space="preserve">También </w:t>
      </w:r>
      <w:r w:rsidR="00F4354A">
        <w:rPr>
          <w:color w:val="000000"/>
          <w:sz w:val="20"/>
          <w:szCs w:val="20"/>
          <w:lang w:val="es-AR"/>
        </w:rPr>
        <w:t>fue designado en la Asamblea General Ordinaria del 29 de octubre de 2019,</w:t>
      </w:r>
      <w:r w:rsidR="00F4354A" w:rsidRPr="00870701">
        <w:rPr>
          <w:color w:val="000000"/>
          <w:sz w:val="20"/>
          <w:szCs w:val="20"/>
          <w:lang w:val="es-AR"/>
        </w:rPr>
        <w:t xml:space="preserve"> Director Titular de INVAP S.E. en representación de los empleados.</w:t>
      </w:r>
    </w:p>
    <w:p w14:paraId="44DDAFFD" w14:textId="77777777" w:rsidR="005A6319" w:rsidRPr="00A34445" w:rsidRDefault="005A6319" w:rsidP="005A6319">
      <w:pPr>
        <w:rPr>
          <w:i/>
          <w:sz w:val="20"/>
          <w:szCs w:val="20"/>
          <w:lang w:val="es-AR"/>
        </w:rPr>
      </w:pPr>
    </w:p>
    <w:p w14:paraId="60C90D13" w14:textId="5551FD5B" w:rsidR="006B513B" w:rsidRPr="00870701" w:rsidRDefault="005A6319" w:rsidP="006B513B">
      <w:pPr>
        <w:jc w:val="both"/>
        <w:rPr>
          <w:color w:val="000000"/>
          <w:sz w:val="20"/>
          <w:szCs w:val="20"/>
          <w:lang w:val="es-AR"/>
        </w:rPr>
      </w:pPr>
      <w:r w:rsidRPr="00A34445">
        <w:rPr>
          <w:i/>
          <w:sz w:val="20"/>
          <w:szCs w:val="20"/>
          <w:lang w:val="es-AR"/>
        </w:rPr>
        <w:t>Christian Tisot:</w:t>
      </w:r>
      <w:r w:rsidR="006B513B">
        <w:rPr>
          <w:color w:val="000000"/>
          <w:sz w:val="20"/>
          <w:szCs w:val="20"/>
          <w:lang w:val="es-AR"/>
        </w:rPr>
        <w:t xml:space="preserve"> </w:t>
      </w:r>
      <w:r w:rsidR="006B513B" w:rsidRPr="00870701">
        <w:rPr>
          <w:color w:val="000000"/>
          <w:sz w:val="20"/>
          <w:szCs w:val="20"/>
          <w:lang w:val="es-AR"/>
        </w:rPr>
        <w:t>El Sr. Tisot nació el 14 de diciembre de 1969. Su DNI es 21125923, su CUIT 20-21125923-</w:t>
      </w:r>
      <w:r w:rsidR="006E5CD4" w:rsidRPr="00870701">
        <w:rPr>
          <w:color w:val="000000"/>
          <w:sz w:val="20"/>
          <w:szCs w:val="20"/>
          <w:lang w:val="es-AR"/>
        </w:rPr>
        <w:t>0 y</w:t>
      </w:r>
      <w:r w:rsidR="006B513B" w:rsidRPr="00870701">
        <w:rPr>
          <w:color w:val="000000"/>
          <w:sz w:val="20"/>
          <w:szCs w:val="20"/>
          <w:lang w:val="es-AR"/>
        </w:rPr>
        <w:t xml:space="preserve"> su domicilio especial Av. Comandante Luis Piedrabuena 4950, Bariloche.</w:t>
      </w:r>
      <w:r w:rsidR="00D43D95">
        <w:rPr>
          <w:color w:val="000000"/>
          <w:sz w:val="20"/>
          <w:szCs w:val="20"/>
          <w:lang w:val="es-AR"/>
        </w:rPr>
        <w:t xml:space="preserve"> </w:t>
      </w:r>
      <w:r w:rsidR="006B513B" w:rsidRPr="00870701">
        <w:rPr>
          <w:color w:val="000000"/>
          <w:sz w:val="20"/>
          <w:szCs w:val="20"/>
          <w:lang w:val="es-AR"/>
        </w:rPr>
        <w:t xml:space="preserve">Egresado de la carrera en Ingeniería Electrónica en la Universidad Nacional del Sur (1994). Obtuvo una Diplomatura en Gestión de Negocios Tecnológicos en la Universidad de San Andrés (2015-2016). Se desempeña en INVAP desde el año 1994, donde ha realizado diferentes tareas, como diseñador electrónico (1994-1996), responsable del Subsistema Potencia de los satélites SAC-A, SAC-C, SAC-D y SAOCOM (1996-2006), Ingeniero de Aviónica del Satélite SAOCOM (2006-2008), Jefe de Ingeniería de Sistema del Satélite ARSAT-1 (2008-2014), Jefe de Proyecto de Soporte en Órbita de los Satélites ARSAT-1 y ARSAT-2 (2014-2018), desde 2018 a la fecha, realiza tareas varias dentro de la Gerencia de Negocios Nucleares (negociación de contratos, supervisión de proyectos, definición estratégica). También </w:t>
      </w:r>
      <w:r w:rsidR="00F4354A">
        <w:rPr>
          <w:color w:val="000000"/>
          <w:sz w:val="20"/>
          <w:szCs w:val="20"/>
          <w:lang w:val="es-AR"/>
        </w:rPr>
        <w:t xml:space="preserve">ha </w:t>
      </w:r>
      <w:r w:rsidR="006B513B" w:rsidRPr="00870701">
        <w:rPr>
          <w:color w:val="000000"/>
          <w:sz w:val="20"/>
          <w:szCs w:val="20"/>
          <w:lang w:val="es-AR"/>
        </w:rPr>
        <w:t>ocupa</w:t>
      </w:r>
      <w:r w:rsidR="00F4354A">
        <w:rPr>
          <w:color w:val="000000"/>
          <w:sz w:val="20"/>
          <w:szCs w:val="20"/>
          <w:lang w:val="es-AR"/>
        </w:rPr>
        <w:t>do</w:t>
      </w:r>
      <w:r w:rsidR="00776A7F">
        <w:rPr>
          <w:color w:val="000000"/>
          <w:sz w:val="20"/>
          <w:szCs w:val="20"/>
          <w:lang w:val="es-AR"/>
        </w:rPr>
        <w:t>,</w:t>
      </w:r>
      <w:r w:rsidR="006B513B" w:rsidRPr="00870701">
        <w:rPr>
          <w:color w:val="000000"/>
          <w:sz w:val="20"/>
          <w:szCs w:val="20"/>
          <w:lang w:val="es-AR"/>
        </w:rPr>
        <w:t xml:space="preserve"> desde el año 2016 a</w:t>
      </w:r>
      <w:r w:rsidR="00F4354A">
        <w:rPr>
          <w:color w:val="000000"/>
          <w:sz w:val="20"/>
          <w:szCs w:val="20"/>
          <w:lang w:val="es-AR"/>
        </w:rPr>
        <w:t xml:space="preserve"> 2019</w:t>
      </w:r>
      <w:r w:rsidR="00776A7F">
        <w:rPr>
          <w:color w:val="000000"/>
          <w:sz w:val="20"/>
          <w:szCs w:val="20"/>
          <w:lang w:val="es-AR"/>
        </w:rPr>
        <w:t>,</w:t>
      </w:r>
      <w:r w:rsidR="006B513B" w:rsidRPr="00870701">
        <w:rPr>
          <w:color w:val="000000"/>
          <w:sz w:val="20"/>
          <w:szCs w:val="20"/>
          <w:lang w:val="es-AR"/>
        </w:rPr>
        <w:t xml:space="preserve"> </w:t>
      </w:r>
      <w:r w:rsidR="00F4354A">
        <w:rPr>
          <w:color w:val="000000"/>
          <w:sz w:val="20"/>
          <w:szCs w:val="20"/>
          <w:lang w:val="es-AR"/>
        </w:rPr>
        <w:t>el cargo de</w:t>
      </w:r>
      <w:r w:rsidR="006B513B" w:rsidRPr="00870701">
        <w:rPr>
          <w:color w:val="000000"/>
          <w:sz w:val="20"/>
          <w:szCs w:val="20"/>
          <w:lang w:val="es-AR"/>
        </w:rPr>
        <w:t xml:space="preserve"> Director Titular de INVAP S.E. en representación de los empleados</w:t>
      </w:r>
      <w:r w:rsidR="00F4354A">
        <w:rPr>
          <w:color w:val="000000"/>
          <w:sz w:val="20"/>
          <w:szCs w:val="20"/>
          <w:lang w:val="es-AR"/>
        </w:rPr>
        <w:t>, y fue designado en la Asamblea General Ordinaria del 29 de octubre de 2019,</w:t>
      </w:r>
      <w:r w:rsidR="00F4354A" w:rsidRPr="00870701">
        <w:rPr>
          <w:color w:val="000000"/>
          <w:sz w:val="20"/>
          <w:szCs w:val="20"/>
          <w:lang w:val="es-AR"/>
        </w:rPr>
        <w:t xml:space="preserve"> Director </w:t>
      </w:r>
      <w:r w:rsidR="00F4354A">
        <w:rPr>
          <w:color w:val="000000"/>
          <w:sz w:val="20"/>
          <w:szCs w:val="20"/>
          <w:lang w:val="es-AR"/>
        </w:rPr>
        <w:t>Suplente</w:t>
      </w:r>
      <w:r w:rsidR="00F4354A" w:rsidRPr="00870701">
        <w:rPr>
          <w:color w:val="000000"/>
          <w:sz w:val="20"/>
          <w:szCs w:val="20"/>
          <w:lang w:val="es-AR"/>
        </w:rPr>
        <w:t xml:space="preserve"> de INVAP S.E. en representación de los empleados</w:t>
      </w:r>
      <w:r w:rsidR="006B513B" w:rsidRPr="00870701">
        <w:rPr>
          <w:color w:val="000000"/>
          <w:sz w:val="20"/>
          <w:szCs w:val="20"/>
          <w:lang w:val="es-AR"/>
        </w:rPr>
        <w:t xml:space="preserve">. </w:t>
      </w:r>
    </w:p>
    <w:p w14:paraId="07B544FF" w14:textId="62C3E826" w:rsidR="005A6319" w:rsidRPr="00A34445" w:rsidRDefault="005A6319" w:rsidP="005A6319">
      <w:pPr>
        <w:rPr>
          <w:i/>
          <w:sz w:val="20"/>
          <w:szCs w:val="20"/>
          <w:lang w:val="es-AR"/>
        </w:rPr>
      </w:pPr>
    </w:p>
    <w:p w14:paraId="765FFEFE" w14:textId="74C739BF" w:rsidR="005A6319" w:rsidRDefault="005A6319" w:rsidP="005A6319">
      <w:pPr>
        <w:pStyle w:val="Text"/>
        <w:spacing w:after="0"/>
        <w:ind w:firstLine="0"/>
        <w:jc w:val="both"/>
        <w:rPr>
          <w:color w:val="000000"/>
          <w:sz w:val="20"/>
          <w:szCs w:val="20"/>
          <w:lang w:val="es-AR"/>
        </w:rPr>
      </w:pPr>
      <w:r>
        <w:rPr>
          <w:i/>
          <w:iCs/>
          <w:color w:val="000000"/>
          <w:sz w:val="20"/>
          <w:szCs w:val="20"/>
          <w:lang w:val="es-AR"/>
        </w:rPr>
        <w:t>Claudio Alejandro Solari</w:t>
      </w:r>
      <w:r>
        <w:rPr>
          <w:color w:val="000000"/>
          <w:sz w:val="20"/>
          <w:szCs w:val="20"/>
          <w:lang w:val="es-AR"/>
        </w:rPr>
        <w:t xml:space="preserve">: El Sr. Solari nació el 4 de abril de 1959. Su DNI es 13437846, su CUIT 20-13437846-9 y su domicilio especial Av. Libertador 1429, C.A.B.A. Obtuvo en el año 1986 el título de Abogado en la Universidad de Buenos Aires. Desde 1978 hasta la actualidad es miembro de la CNEA. De 1978 a 1980 realizó trabajos para la Gerencia de Protección Radiológica y Seguridad, de 1980 a 1986 estuvo en el Consejo Asesor para el Licenciamiento de instalaciones nucleares, de 1986 a 1990 en la Gerencia de área Asuntos Regulatorios de Seguridad Radiológica y Nuclear, de 1998 a 2003 fue Presidente de la Junta de Disciplina, de 2003 a 2006 fue Presidente de la Comisión Mixta Laboral Permanente del Organismo, desde 1990 hasta febrero de 2009 Jefe de Departamento y desde febrero de 2009 a la actualidad Gerente de Asuntos Jurídicos. Ha sido director titular de la Compañía desde 19 de </w:t>
      </w:r>
      <w:r w:rsidR="006E5CD4">
        <w:rPr>
          <w:color w:val="000000"/>
          <w:sz w:val="20"/>
          <w:szCs w:val="20"/>
          <w:lang w:val="es-AR"/>
        </w:rPr>
        <w:t>d</w:t>
      </w:r>
      <w:r>
        <w:rPr>
          <w:color w:val="000000"/>
          <w:sz w:val="20"/>
          <w:szCs w:val="20"/>
          <w:lang w:val="es-AR"/>
        </w:rPr>
        <w:t xml:space="preserve">iciembre de 2007 hasta el 19 de </w:t>
      </w:r>
      <w:r w:rsidR="006E5CD4">
        <w:rPr>
          <w:color w:val="000000"/>
          <w:sz w:val="20"/>
          <w:szCs w:val="20"/>
          <w:lang w:val="es-AR"/>
        </w:rPr>
        <w:t>a</w:t>
      </w:r>
      <w:r>
        <w:rPr>
          <w:color w:val="000000"/>
          <w:sz w:val="20"/>
          <w:szCs w:val="20"/>
          <w:lang w:val="es-AR"/>
        </w:rPr>
        <w:t xml:space="preserve">gosto de 2009, fecha en la cual fue designado director suplente. </w:t>
      </w:r>
    </w:p>
    <w:p w14:paraId="748EF5D7" w14:textId="77777777" w:rsidR="006E5CD4" w:rsidRDefault="006E5CD4" w:rsidP="005A6319">
      <w:pPr>
        <w:pStyle w:val="Text"/>
        <w:spacing w:after="0"/>
        <w:ind w:firstLine="0"/>
        <w:jc w:val="both"/>
        <w:rPr>
          <w:color w:val="000000"/>
          <w:sz w:val="20"/>
          <w:szCs w:val="20"/>
          <w:lang w:val="es-AR"/>
        </w:rPr>
      </w:pPr>
    </w:p>
    <w:p w14:paraId="5BC653ED" w14:textId="77777777" w:rsidR="005A6319" w:rsidRDefault="005A6319" w:rsidP="005A6319">
      <w:pPr>
        <w:pStyle w:val="Text"/>
        <w:spacing w:after="0"/>
        <w:ind w:firstLine="0"/>
        <w:jc w:val="both"/>
        <w:rPr>
          <w:color w:val="000000"/>
          <w:sz w:val="20"/>
          <w:szCs w:val="20"/>
          <w:lang w:val="es-AR"/>
        </w:rPr>
      </w:pPr>
      <w:r>
        <w:rPr>
          <w:i/>
          <w:iCs/>
          <w:color w:val="000000"/>
          <w:sz w:val="20"/>
          <w:szCs w:val="20"/>
          <w:lang w:val="es-AR"/>
        </w:rPr>
        <w:t>Guillermo Joaquín Padín Zabal</w:t>
      </w:r>
      <w:r>
        <w:rPr>
          <w:color w:val="000000"/>
          <w:sz w:val="20"/>
          <w:szCs w:val="20"/>
          <w:lang w:val="es-AR"/>
        </w:rPr>
        <w:t xml:space="preserve">: El Sr. Padín Zabal nació el 23 de agosto de 1944. Su DNI es 8140571, su CUIT 23-08140571-9 y su domicilio especial Av. Comandante Luis Piedrabuena 4950, Bariloche. Obtuvo en el año 1968, el título de Ingeniero en Electrónica y Electricidad en la Universidad de Mendoza. En 1988, obtuvo el título de Ingeniero Industrial con la especialidad de Electrónica, en el Ministerio de Educación y Ciencias de España. En el año 1967 recibió una Beca de trabajo en el Instituto de Investigaciones Aeronáuticas y Espaciales, en el Departamento de Electrónica, en el año 1984 fue invitado por la Universidad de Palma de Mallorca para la implementación de un Calorímetro de bajo costo, así como también para el desarrollo de un Analizador Multicanal de alta velocidad. Desde el año 1968 a 1970 realizó trabajos para la CNEA en el Centro Atómico Bariloche, como investigador en el Acelerador Lineal de Electrones, se desempeñó en los años 1971 a 1987 como investigador del Centro Atómico Bariloche, y desde 1976 a 1987 como jefe de la Sección Eléctrica, desde el año 1994 a 1995 fue interventor de la CNEA, y desde 1995 a 2000 fue Director de la CNEA. En INVAP de 1989 a 1993 fue director de proyectos, desde 1993 a 2000 fue Presidente del Directorio, desde el 2000 al 2002 actuó como Gerente de Relaciones Institucionales y desde el año 2002 a 2004 fue Presidente del Directorio. Es miembro del directorio de la Compañía desde diciembre de 1992. </w:t>
      </w:r>
    </w:p>
    <w:p w14:paraId="628E9C76" w14:textId="77777777" w:rsidR="005A6319" w:rsidRDefault="005A6319" w:rsidP="005A6319">
      <w:pPr>
        <w:rPr>
          <w:sz w:val="22"/>
          <w:szCs w:val="22"/>
          <w:lang w:val="es-AR"/>
        </w:rPr>
      </w:pPr>
    </w:p>
    <w:p w14:paraId="69DD0851" w14:textId="6EBD9388" w:rsidR="006E5CD4" w:rsidRDefault="006E5CD4" w:rsidP="00A61C89">
      <w:pPr>
        <w:autoSpaceDE w:val="0"/>
        <w:autoSpaceDN w:val="0"/>
        <w:adjustRightInd w:val="0"/>
        <w:jc w:val="both"/>
        <w:rPr>
          <w:color w:val="000000"/>
          <w:sz w:val="20"/>
          <w:szCs w:val="20"/>
          <w:lang w:val="es-AR"/>
        </w:rPr>
      </w:pPr>
      <w:r w:rsidRPr="00A61C89">
        <w:rPr>
          <w:i/>
          <w:iCs/>
          <w:color w:val="000000"/>
          <w:sz w:val="20"/>
          <w:szCs w:val="20"/>
          <w:lang w:val="es-AR"/>
        </w:rPr>
        <w:t>Silvia Lucila Molina</w:t>
      </w:r>
      <w:r w:rsidRPr="00870701">
        <w:rPr>
          <w:color w:val="000000"/>
          <w:sz w:val="20"/>
          <w:szCs w:val="20"/>
          <w:lang w:val="es-AR"/>
        </w:rPr>
        <w:t>: La Sra. Molina nació el 16 de septiembre de 1978. Su DNI es 26885085, su CUIT 27-26885085-1 y su domicilio especial Av. Comandante Luis Piedrabuena 4950, Bariloche. Obtuvo en el año 2003, el título de Abogada en la Universidad de Buenos Aires (UBA) Matrícula CPACF T° 115 F°587. En el año 2013 realizó una Especialización en Derecho de Alta Tecnología. Pontificia Universidad Católica Argentina (pendiente tesis).</w:t>
      </w:r>
      <w:r w:rsidR="009D369D">
        <w:rPr>
          <w:color w:val="000000"/>
          <w:sz w:val="20"/>
          <w:szCs w:val="20"/>
          <w:lang w:val="es-AR"/>
        </w:rPr>
        <w:t xml:space="preserve"> </w:t>
      </w:r>
      <w:r w:rsidRPr="00870701">
        <w:rPr>
          <w:color w:val="000000"/>
          <w:sz w:val="20"/>
          <w:szCs w:val="20"/>
          <w:lang w:val="es-AR"/>
        </w:rPr>
        <w:t>Entre 2003 y 2004 trabajó para el Ministerio de Desarrollo Social de la Nación como Asistente en la Secretaría Privada del Secretario de Políticas Sociales. Desde el año 2005 hasta el 2006 realizó el Ejercicio liberal de la profesión en los fueros civil, comercial y laboral, en la Ciudad de San Carlos de Bariloche. A partir del 2007 y hasta la fecha trabaja para la Comisión Nacional de Energía Atómica. Asesora técnico-legal de la Gerencia del Proyecto CAREM (2007-2011). Jefa de División Recursos Administrativos dentro de la Gerencia Asuntos Jurídicos desde el 2011 a la fecha.</w:t>
      </w:r>
      <w:r w:rsidR="009D369D">
        <w:rPr>
          <w:color w:val="000000"/>
          <w:sz w:val="20"/>
          <w:szCs w:val="20"/>
          <w:lang w:val="es-AR"/>
        </w:rPr>
        <w:t xml:space="preserve"> </w:t>
      </w:r>
      <w:r w:rsidRPr="00870701">
        <w:rPr>
          <w:color w:val="000000"/>
          <w:sz w:val="20"/>
          <w:szCs w:val="20"/>
          <w:lang w:val="es-AR"/>
        </w:rPr>
        <w:t>El 15/05/2019 fue designada como Director</w:t>
      </w:r>
      <w:r w:rsidR="0062035D">
        <w:rPr>
          <w:color w:val="000000"/>
          <w:sz w:val="20"/>
          <w:szCs w:val="20"/>
          <w:lang w:val="es-AR"/>
        </w:rPr>
        <w:t>a</w:t>
      </w:r>
      <w:r w:rsidRPr="00870701">
        <w:rPr>
          <w:color w:val="000000"/>
          <w:sz w:val="20"/>
          <w:szCs w:val="20"/>
          <w:lang w:val="es-AR"/>
        </w:rPr>
        <w:t xml:space="preserve"> suplente de INVAP S.E.</w:t>
      </w:r>
    </w:p>
    <w:p w14:paraId="481F9EA4" w14:textId="2C44C45F" w:rsidR="009D369D" w:rsidRDefault="009D369D" w:rsidP="00A61C89">
      <w:pPr>
        <w:autoSpaceDE w:val="0"/>
        <w:autoSpaceDN w:val="0"/>
        <w:adjustRightInd w:val="0"/>
        <w:jc w:val="both"/>
        <w:rPr>
          <w:color w:val="000000"/>
          <w:sz w:val="20"/>
          <w:szCs w:val="20"/>
          <w:lang w:val="es-AR"/>
        </w:rPr>
      </w:pPr>
    </w:p>
    <w:p w14:paraId="0E5A77FF" w14:textId="1A00E6A1" w:rsidR="001F22C6" w:rsidRPr="007213A1" w:rsidRDefault="006E5CD4" w:rsidP="001F22C6">
      <w:pPr>
        <w:widowControl w:val="0"/>
        <w:suppressLineNumbers/>
        <w:suppressAutoHyphens/>
        <w:jc w:val="both"/>
        <w:rPr>
          <w:sz w:val="20"/>
          <w:szCs w:val="20"/>
          <w:lang w:val="es-MX"/>
        </w:rPr>
      </w:pPr>
      <w:r w:rsidDel="006E5CD4">
        <w:rPr>
          <w:i/>
          <w:iCs/>
          <w:color w:val="000000"/>
          <w:sz w:val="20"/>
          <w:szCs w:val="20"/>
          <w:lang w:val="es-AR"/>
        </w:rPr>
        <w:t xml:space="preserve"> </w:t>
      </w:r>
      <w:r w:rsidR="001F22C6" w:rsidRPr="00A61C89">
        <w:rPr>
          <w:sz w:val="20"/>
          <w:szCs w:val="20"/>
          <w:lang w:val="es-MX"/>
        </w:rPr>
        <w:t>No existe acuerdo ni entendimiento alguno con accionistas, clientes, proveedores u otros por los cuales los Directores o Gerentes hayan sido designados en sus cargos. Ni los directores ni los gerentes han suscripto con la Emisora y sus subsidiarias contrato de locación de servicios alguno que diera lugar a beneficios luego de finalizados sus mandatos</w:t>
      </w:r>
      <w:r w:rsidR="00ED1EF1">
        <w:rPr>
          <w:sz w:val="20"/>
          <w:szCs w:val="20"/>
          <w:lang w:val="es-MX"/>
        </w:rPr>
        <w:t>.</w:t>
      </w:r>
    </w:p>
    <w:p w14:paraId="3FBA373F" w14:textId="77777777" w:rsidR="001F22C6" w:rsidRPr="007213A1" w:rsidRDefault="001F22C6" w:rsidP="001F22C6">
      <w:pPr>
        <w:widowControl w:val="0"/>
        <w:suppressLineNumbers/>
        <w:suppressAutoHyphens/>
        <w:jc w:val="both"/>
        <w:rPr>
          <w:sz w:val="20"/>
          <w:szCs w:val="20"/>
          <w:lang w:val="es-MX"/>
        </w:rPr>
      </w:pPr>
    </w:p>
    <w:p w14:paraId="65E63BE8" w14:textId="51D08760" w:rsidR="001F22C6" w:rsidRDefault="001F22C6" w:rsidP="001F22C6">
      <w:pPr>
        <w:widowControl w:val="0"/>
        <w:jc w:val="both"/>
        <w:outlineLvl w:val="1"/>
        <w:rPr>
          <w:b/>
          <w:i/>
          <w:iCs/>
          <w:sz w:val="20"/>
          <w:szCs w:val="20"/>
          <w:lang w:val="es-ES"/>
        </w:rPr>
      </w:pPr>
      <w:r w:rsidRPr="007213A1">
        <w:rPr>
          <w:b/>
          <w:i/>
          <w:iCs/>
          <w:sz w:val="20"/>
          <w:szCs w:val="20"/>
          <w:lang w:val="es-ES"/>
        </w:rPr>
        <w:t>Gerentes</w:t>
      </w:r>
    </w:p>
    <w:p w14:paraId="47E643F8" w14:textId="77777777" w:rsidR="009D369D" w:rsidRPr="007213A1" w:rsidRDefault="009D369D" w:rsidP="001F22C6">
      <w:pPr>
        <w:widowControl w:val="0"/>
        <w:jc w:val="both"/>
        <w:outlineLvl w:val="1"/>
        <w:rPr>
          <w:b/>
          <w:i/>
          <w:iCs/>
          <w:sz w:val="20"/>
          <w:szCs w:val="20"/>
          <w:lang w:val="es-ES"/>
        </w:rPr>
      </w:pPr>
    </w:p>
    <w:p w14:paraId="2874082E" w14:textId="73AF8CC5" w:rsidR="00112B9F" w:rsidRPr="009D0D02" w:rsidRDefault="00112B9F" w:rsidP="00112B9F">
      <w:pPr>
        <w:pStyle w:val="Textoindependiente3"/>
        <w:tabs>
          <w:tab w:val="clear" w:pos="-720"/>
        </w:tabs>
        <w:suppressAutoHyphens w:val="0"/>
        <w:rPr>
          <w:rFonts w:ascii="Times New Roman" w:hAnsi="Times New Roman" w:cs="Times New Roman"/>
          <w:color w:val="000000"/>
          <w:spacing w:val="0"/>
          <w:sz w:val="20"/>
          <w:szCs w:val="20"/>
          <w:lang w:val="es-AR" w:eastAsia="en-US"/>
        </w:rPr>
      </w:pPr>
      <w:r w:rsidRPr="009D0D02">
        <w:rPr>
          <w:rFonts w:ascii="Times New Roman" w:hAnsi="Times New Roman" w:cs="Times New Roman"/>
          <w:color w:val="000000"/>
          <w:spacing w:val="0"/>
          <w:sz w:val="20"/>
          <w:szCs w:val="20"/>
          <w:lang w:val="es-AR" w:eastAsia="en-US"/>
        </w:rPr>
        <w:t xml:space="preserve">La estructura organizacional de INVAP está dividida en diferentes áreas, las cuales se encuentran a cargo de un gerente. Todas las áreas se encuentran controladas por una gerencia general, la cual reporta y depende directamente del directorio de la Sociedad. </w:t>
      </w:r>
    </w:p>
    <w:p w14:paraId="066A85AA" w14:textId="77777777" w:rsidR="00112B9F" w:rsidRPr="009D0D02" w:rsidRDefault="00112B9F" w:rsidP="00112B9F">
      <w:pPr>
        <w:pStyle w:val="Textoindependiente3"/>
        <w:tabs>
          <w:tab w:val="clear" w:pos="-720"/>
        </w:tabs>
        <w:suppressAutoHyphens w:val="0"/>
        <w:rPr>
          <w:rFonts w:ascii="Times New Roman" w:hAnsi="Times New Roman" w:cs="Times New Roman"/>
          <w:color w:val="000000"/>
          <w:spacing w:val="0"/>
          <w:sz w:val="20"/>
          <w:szCs w:val="20"/>
          <w:lang w:val="es-AR" w:eastAsia="en-US"/>
        </w:rPr>
      </w:pPr>
    </w:p>
    <w:p w14:paraId="3F9670AC" w14:textId="77777777" w:rsidR="00112B9F" w:rsidRPr="009D0D02" w:rsidRDefault="00112B9F" w:rsidP="00112B9F">
      <w:pPr>
        <w:pStyle w:val="Textoindependiente3"/>
        <w:tabs>
          <w:tab w:val="clear" w:pos="-720"/>
        </w:tabs>
        <w:rPr>
          <w:rFonts w:ascii="Times New Roman" w:hAnsi="Times New Roman" w:cs="Times New Roman"/>
          <w:color w:val="000000"/>
          <w:spacing w:val="0"/>
          <w:sz w:val="20"/>
          <w:szCs w:val="20"/>
          <w:lang w:val="es-AR" w:eastAsia="en-US"/>
        </w:rPr>
      </w:pPr>
      <w:r w:rsidRPr="009D0D02">
        <w:rPr>
          <w:rFonts w:ascii="Times New Roman" w:hAnsi="Times New Roman" w:cs="Times New Roman"/>
          <w:color w:val="000000"/>
          <w:spacing w:val="0"/>
          <w:sz w:val="20"/>
          <w:szCs w:val="20"/>
          <w:lang w:val="es-AR" w:eastAsia="en-US"/>
        </w:rPr>
        <w:t>Las diferentes Gerencias son:</w:t>
      </w:r>
    </w:p>
    <w:p w14:paraId="096D4CE1" w14:textId="77777777" w:rsidR="00112B9F" w:rsidRPr="009D0D02" w:rsidRDefault="00112B9F" w:rsidP="00112B9F">
      <w:pPr>
        <w:pStyle w:val="Textoindependiente3"/>
        <w:tabs>
          <w:tab w:val="clear" w:pos="-720"/>
        </w:tabs>
        <w:rPr>
          <w:rFonts w:ascii="Times New Roman" w:hAnsi="Times New Roman" w:cs="Times New Roman"/>
          <w:color w:val="000000"/>
          <w:spacing w:val="0"/>
          <w:sz w:val="20"/>
          <w:szCs w:val="20"/>
          <w:lang w:val="es-AR" w:eastAsia="en-US"/>
        </w:rPr>
      </w:pPr>
    </w:p>
    <w:tbl>
      <w:tblPr>
        <w:tblW w:w="4334" w:type="pct"/>
        <w:jc w:val="center"/>
        <w:tblBorders>
          <w:top w:val="single" w:sz="4" w:space="0" w:color="auto"/>
        </w:tblBorders>
        <w:tblCellMar>
          <w:left w:w="70" w:type="dxa"/>
          <w:right w:w="70" w:type="dxa"/>
        </w:tblCellMar>
        <w:tblLook w:val="04A0" w:firstRow="1" w:lastRow="0" w:firstColumn="1" w:lastColumn="0" w:noHBand="0" w:noVBand="1"/>
      </w:tblPr>
      <w:tblGrid>
        <w:gridCol w:w="2290"/>
        <w:gridCol w:w="3751"/>
        <w:gridCol w:w="1331"/>
      </w:tblGrid>
      <w:tr w:rsidR="004534F4" w:rsidRPr="00512442" w14:paraId="18DD947D" w14:textId="77777777" w:rsidTr="00112B9F">
        <w:trPr>
          <w:trHeight w:val="23"/>
          <w:tblHeader/>
          <w:jc w:val="center"/>
        </w:trPr>
        <w:tc>
          <w:tcPr>
            <w:tcW w:w="1553" w:type="pct"/>
            <w:tcBorders>
              <w:top w:val="single" w:sz="4" w:space="0" w:color="auto"/>
              <w:bottom w:val="single" w:sz="4" w:space="0" w:color="auto"/>
            </w:tcBorders>
            <w:shd w:val="clear" w:color="auto" w:fill="FFFFFF"/>
          </w:tcPr>
          <w:p w14:paraId="412B17C6" w14:textId="77777777" w:rsidR="00112B9F" w:rsidRPr="009D0D02" w:rsidRDefault="00112B9F" w:rsidP="00112B9F">
            <w:pPr>
              <w:jc w:val="center"/>
              <w:rPr>
                <w:b/>
                <w:sz w:val="20"/>
                <w:szCs w:val="20"/>
                <w:lang w:val="es-ES"/>
              </w:rPr>
            </w:pPr>
            <w:r w:rsidRPr="009D0D02">
              <w:rPr>
                <w:b/>
                <w:sz w:val="20"/>
                <w:szCs w:val="20"/>
                <w:lang w:val="es-ES"/>
              </w:rPr>
              <w:t>Nombre</w:t>
            </w:r>
          </w:p>
        </w:tc>
        <w:tc>
          <w:tcPr>
            <w:tcW w:w="2544" w:type="pct"/>
            <w:tcBorders>
              <w:top w:val="single" w:sz="4" w:space="0" w:color="auto"/>
              <w:bottom w:val="single" w:sz="4" w:space="0" w:color="auto"/>
            </w:tcBorders>
            <w:shd w:val="clear" w:color="auto" w:fill="FFFFFF"/>
          </w:tcPr>
          <w:p w14:paraId="2D3BDE13" w14:textId="77777777" w:rsidR="00112B9F" w:rsidRPr="009D0D02" w:rsidRDefault="00112B9F" w:rsidP="00112B9F">
            <w:pPr>
              <w:jc w:val="center"/>
              <w:rPr>
                <w:b/>
                <w:sz w:val="20"/>
                <w:szCs w:val="20"/>
                <w:lang w:val="es-ES"/>
              </w:rPr>
            </w:pPr>
            <w:r w:rsidRPr="009D0D02">
              <w:rPr>
                <w:b/>
                <w:sz w:val="20"/>
                <w:szCs w:val="20"/>
                <w:lang w:val="es-ES"/>
              </w:rPr>
              <w:t>Cargo</w:t>
            </w:r>
          </w:p>
        </w:tc>
        <w:tc>
          <w:tcPr>
            <w:tcW w:w="903" w:type="pct"/>
            <w:tcBorders>
              <w:top w:val="single" w:sz="4" w:space="0" w:color="auto"/>
              <w:bottom w:val="single" w:sz="4" w:space="0" w:color="auto"/>
            </w:tcBorders>
            <w:shd w:val="clear" w:color="auto" w:fill="FFFFFF"/>
          </w:tcPr>
          <w:p w14:paraId="6CC33BE4" w14:textId="77777777" w:rsidR="00112B9F" w:rsidRPr="009D0D02" w:rsidRDefault="00112B9F" w:rsidP="00112B9F">
            <w:pPr>
              <w:jc w:val="center"/>
              <w:rPr>
                <w:b/>
                <w:sz w:val="20"/>
                <w:szCs w:val="20"/>
                <w:lang w:val="es-ES"/>
              </w:rPr>
            </w:pPr>
            <w:r w:rsidRPr="009D0D02">
              <w:rPr>
                <w:b/>
                <w:sz w:val="20"/>
                <w:szCs w:val="20"/>
                <w:lang w:val="es-ES"/>
              </w:rPr>
              <w:t>Fecha desde que se desempeña</w:t>
            </w:r>
          </w:p>
        </w:tc>
      </w:tr>
      <w:tr w:rsidR="00112B9F" w:rsidRPr="009D0D02" w14:paraId="34065621" w14:textId="77777777" w:rsidTr="00F0775A">
        <w:trPr>
          <w:trHeight w:val="23"/>
          <w:jc w:val="center"/>
        </w:trPr>
        <w:tc>
          <w:tcPr>
            <w:tcW w:w="1553" w:type="pct"/>
            <w:tcBorders>
              <w:top w:val="single" w:sz="4" w:space="0" w:color="auto"/>
            </w:tcBorders>
            <w:vAlign w:val="center"/>
          </w:tcPr>
          <w:p w14:paraId="551615D8" w14:textId="77777777" w:rsidR="00554317" w:rsidRDefault="00D43D95" w:rsidP="00112B9F">
            <w:pPr>
              <w:rPr>
                <w:sz w:val="20"/>
                <w:szCs w:val="20"/>
                <w:lang w:val="es-ES"/>
              </w:rPr>
            </w:pPr>
            <w:r>
              <w:rPr>
                <w:sz w:val="20"/>
                <w:szCs w:val="20"/>
                <w:lang w:val="es-ES"/>
              </w:rPr>
              <w:t xml:space="preserve">Vicente </w:t>
            </w:r>
            <w:r w:rsidR="006E5CD4">
              <w:rPr>
                <w:sz w:val="20"/>
                <w:szCs w:val="20"/>
                <w:lang w:val="es-ES"/>
              </w:rPr>
              <w:t xml:space="preserve">Campenni </w:t>
            </w:r>
          </w:p>
          <w:p w14:paraId="0796403A" w14:textId="4B50DD6E" w:rsidR="00112B9F" w:rsidRPr="009D0D02" w:rsidRDefault="00D43D95" w:rsidP="00112B9F">
            <w:pPr>
              <w:rPr>
                <w:sz w:val="20"/>
                <w:szCs w:val="20"/>
                <w:lang w:val="es-ES"/>
              </w:rPr>
            </w:pPr>
            <w:r>
              <w:rPr>
                <w:sz w:val="20"/>
                <w:szCs w:val="20"/>
                <w:lang w:val="es-ES"/>
              </w:rPr>
              <w:t>Marcelo Roberto</w:t>
            </w:r>
          </w:p>
        </w:tc>
        <w:tc>
          <w:tcPr>
            <w:tcW w:w="2544" w:type="pct"/>
            <w:tcBorders>
              <w:top w:val="single" w:sz="4" w:space="0" w:color="auto"/>
            </w:tcBorders>
            <w:vAlign w:val="center"/>
          </w:tcPr>
          <w:p w14:paraId="2A2AA91E" w14:textId="25F85BB1" w:rsidR="00112B9F" w:rsidRPr="009D0D02" w:rsidRDefault="006E5CD4" w:rsidP="00112B9F">
            <w:pPr>
              <w:rPr>
                <w:sz w:val="20"/>
                <w:szCs w:val="20"/>
                <w:lang w:val="es-ES"/>
              </w:rPr>
            </w:pPr>
            <w:r>
              <w:rPr>
                <w:sz w:val="20"/>
                <w:szCs w:val="20"/>
                <w:lang w:val="es-ES"/>
              </w:rPr>
              <w:t>Gerente General</w:t>
            </w:r>
          </w:p>
        </w:tc>
        <w:tc>
          <w:tcPr>
            <w:tcW w:w="903" w:type="pct"/>
            <w:tcBorders>
              <w:top w:val="single" w:sz="4" w:space="0" w:color="auto"/>
            </w:tcBorders>
            <w:vAlign w:val="center"/>
          </w:tcPr>
          <w:p w14:paraId="41A6B8A4" w14:textId="63D4BD25" w:rsidR="00112B9F" w:rsidRPr="009D0D02" w:rsidRDefault="006E5CD4" w:rsidP="00112B9F">
            <w:pPr>
              <w:jc w:val="center"/>
              <w:rPr>
                <w:sz w:val="20"/>
                <w:szCs w:val="20"/>
                <w:lang w:val="es-ES"/>
              </w:rPr>
            </w:pPr>
            <w:r>
              <w:rPr>
                <w:sz w:val="20"/>
                <w:szCs w:val="20"/>
                <w:lang w:val="es-ES"/>
              </w:rPr>
              <w:t>22/09/2017</w:t>
            </w:r>
          </w:p>
        </w:tc>
      </w:tr>
      <w:tr w:rsidR="00112B9F" w:rsidRPr="009D0D02" w14:paraId="505CA357" w14:textId="77777777" w:rsidTr="00F0775A">
        <w:trPr>
          <w:trHeight w:val="23"/>
          <w:jc w:val="center"/>
        </w:trPr>
        <w:tc>
          <w:tcPr>
            <w:tcW w:w="1553" w:type="pct"/>
            <w:vAlign w:val="center"/>
          </w:tcPr>
          <w:p w14:paraId="7222EEB3" w14:textId="30A4735D" w:rsidR="00112B9F" w:rsidRPr="009D0D02" w:rsidRDefault="006E5CD4" w:rsidP="00112B9F">
            <w:pPr>
              <w:rPr>
                <w:sz w:val="20"/>
                <w:szCs w:val="20"/>
                <w:lang w:val="es-ES"/>
              </w:rPr>
            </w:pPr>
            <w:r>
              <w:rPr>
                <w:sz w:val="20"/>
                <w:szCs w:val="20"/>
                <w:lang w:val="es-ES"/>
              </w:rPr>
              <w:t xml:space="preserve">Basigalup </w:t>
            </w:r>
          </w:p>
        </w:tc>
        <w:tc>
          <w:tcPr>
            <w:tcW w:w="2544" w:type="pct"/>
            <w:vAlign w:val="center"/>
          </w:tcPr>
          <w:p w14:paraId="412C4A81" w14:textId="70F6A7C6" w:rsidR="00112B9F" w:rsidRPr="009D0D02" w:rsidRDefault="006E5CD4" w:rsidP="00112B9F">
            <w:pPr>
              <w:rPr>
                <w:sz w:val="20"/>
                <w:szCs w:val="20"/>
                <w:lang w:val="es-ES"/>
              </w:rPr>
            </w:pPr>
            <w:r>
              <w:rPr>
                <w:sz w:val="20"/>
                <w:szCs w:val="20"/>
                <w:lang w:val="es-ES"/>
              </w:rPr>
              <w:t>Sub Gerente General</w:t>
            </w:r>
          </w:p>
        </w:tc>
        <w:tc>
          <w:tcPr>
            <w:tcW w:w="903" w:type="pct"/>
            <w:vAlign w:val="center"/>
          </w:tcPr>
          <w:p w14:paraId="5B330BE8" w14:textId="59D794B1" w:rsidR="00112B9F" w:rsidRPr="009D0D02" w:rsidRDefault="006E5CD4" w:rsidP="00112B9F">
            <w:pPr>
              <w:jc w:val="center"/>
              <w:rPr>
                <w:sz w:val="20"/>
                <w:szCs w:val="20"/>
                <w:lang w:val="es-ES"/>
              </w:rPr>
            </w:pPr>
            <w:r>
              <w:rPr>
                <w:sz w:val="20"/>
                <w:szCs w:val="20"/>
                <w:lang w:val="es-ES"/>
              </w:rPr>
              <w:t>19/10/2017</w:t>
            </w:r>
          </w:p>
        </w:tc>
      </w:tr>
      <w:tr w:rsidR="00112B9F" w:rsidRPr="009D0D02" w14:paraId="40ADE1A2" w14:textId="77777777" w:rsidTr="00F0775A">
        <w:trPr>
          <w:trHeight w:val="23"/>
          <w:jc w:val="center"/>
        </w:trPr>
        <w:tc>
          <w:tcPr>
            <w:tcW w:w="1553" w:type="pct"/>
            <w:vAlign w:val="center"/>
          </w:tcPr>
          <w:p w14:paraId="0CF31534" w14:textId="50378FC9" w:rsidR="00112B9F" w:rsidRPr="009D0D02" w:rsidRDefault="00D43D95" w:rsidP="00112B9F">
            <w:pPr>
              <w:rPr>
                <w:sz w:val="20"/>
                <w:szCs w:val="20"/>
                <w:lang w:val="es-ES"/>
              </w:rPr>
            </w:pPr>
            <w:r>
              <w:rPr>
                <w:sz w:val="20"/>
                <w:szCs w:val="20"/>
                <w:lang w:val="es-ES"/>
              </w:rPr>
              <w:t xml:space="preserve">Carlos Enrique </w:t>
            </w:r>
            <w:r w:rsidR="006E5CD4">
              <w:rPr>
                <w:sz w:val="20"/>
                <w:szCs w:val="20"/>
                <w:lang w:val="es-ES"/>
              </w:rPr>
              <w:t xml:space="preserve">Montenegro </w:t>
            </w:r>
          </w:p>
        </w:tc>
        <w:tc>
          <w:tcPr>
            <w:tcW w:w="2544" w:type="pct"/>
            <w:vAlign w:val="center"/>
          </w:tcPr>
          <w:p w14:paraId="64812223" w14:textId="3DE1B36C" w:rsidR="00112B9F" w:rsidRPr="009D0D02" w:rsidRDefault="006E5CD4" w:rsidP="00112B9F">
            <w:pPr>
              <w:rPr>
                <w:sz w:val="20"/>
                <w:szCs w:val="20"/>
                <w:lang w:val="es-ES"/>
              </w:rPr>
            </w:pPr>
            <w:r>
              <w:rPr>
                <w:sz w:val="20"/>
                <w:szCs w:val="20"/>
                <w:lang w:val="es-ES"/>
              </w:rPr>
              <w:t>Sub Gerente General</w:t>
            </w:r>
          </w:p>
        </w:tc>
        <w:tc>
          <w:tcPr>
            <w:tcW w:w="903" w:type="pct"/>
            <w:vAlign w:val="center"/>
          </w:tcPr>
          <w:p w14:paraId="49078609" w14:textId="026313A7" w:rsidR="00112B9F" w:rsidRPr="009D0D02" w:rsidRDefault="006E5CD4" w:rsidP="00112B9F">
            <w:pPr>
              <w:jc w:val="center"/>
              <w:rPr>
                <w:sz w:val="20"/>
                <w:szCs w:val="20"/>
                <w:lang w:val="es-ES"/>
              </w:rPr>
            </w:pPr>
            <w:r>
              <w:rPr>
                <w:sz w:val="20"/>
                <w:szCs w:val="20"/>
                <w:lang w:val="es-ES"/>
              </w:rPr>
              <w:t>15/08/2018</w:t>
            </w:r>
          </w:p>
        </w:tc>
      </w:tr>
      <w:tr w:rsidR="00112B9F" w:rsidRPr="006E5CD4" w14:paraId="63C13E24" w14:textId="77777777" w:rsidTr="00F0775A">
        <w:trPr>
          <w:trHeight w:val="23"/>
          <w:jc w:val="center"/>
        </w:trPr>
        <w:tc>
          <w:tcPr>
            <w:tcW w:w="1553" w:type="pct"/>
            <w:vAlign w:val="center"/>
          </w:tcPr>
          <w:p w14:paraId="69B5DFF0" w14:textId="7E93F273" w:rsidR="00112B9F" w:rsidRPr="009D0D02" w:rsidRDefault="00D43D95" w:rsidP="00112B9F">
            <w:pPr>
              <w:rPr>
                <w:sz w:val="20"/>
                <w:szCs w:val="20"/>
                <w:lang w:val="es-ES"/>
              </w:rPr>
            </w:pPr>
            <w:r>
              <w:rPr>
                <w:sz w:val="20"/>
                <w:szCs w:val="20"/>
                <w:lang w:val="es-ES"/>
              </w:rPr>
              <w:t xml:space="preserve">Jorge </w:t>
            </w:r>
            <w:r w:rsidR="006E5CD4">
              <w:rPr>
                <w:sz w:val="20"/>
                <w:szCs w:val="20"/>
                <w:lang w:val="es-ES"/>
              </w:rPr>
              <w:t>Rivero</w:t>
            </w:r>
          </w:p>
        </w:tc>
        <w:tc>
          <w:tcPr>
            <w:tcW w:w="2544" w:type="pct"/>
            <w:vAlign w:val="center"/>
          </w:tcPr>
          <w:p w14:paraId="015CDD19" w14:textId="772F4F43" w:rsidR="00112B9F" w:rsidRPr="009D0D02" w:rsidRDefault="006E5CD4" w:rsidP="00112B9F">
            <w:pPr>
              <w:rPr>
                <w:sz w:val="20"/>
                <w:szCs w:val="20"/>
                <w:lang w:val="es-ES"/>
              </w:rPr>
            </w:pPr>
            <w:r>
              <w:rPr>
                <w:sz w:val="20"/>
                <w:szCs w:val="20"/>
                <w:lang w:val="es-ES"/>
              </w:rPr>
              <w:t>Gerencia de Personas y Organización</w:t>
            </w:r>
          </w:p>
        </w:tc>
        <w:tc>
          <w:tcPr>
            <w:tcW w:w="903" w:type="pct"/>
            <w:vAlign w:val="center"/>
          </w:tcPr>
          <w:p w14:paraId="629AB291" w14:textId="7F4DB9E6" w:rsidR="00112B9F" w:rsidRPr="009D0D02" w:rsidRDefault="006E5CD4" w:rsidP="00112B9F">
            <w:pPr>
              <w:jc w:val="center"/>
              <w:rPr>
                <w:sz w:val="20"/>
                <w:szCs w:val="20"/>
                <w:lang w:val="es-ES"/>
              </w:rPr>
            </w:pPr>
            <w:r>
              <w:rPr>
                <w:sz w:val="20"/>
                <w:szCs w:val="20"/>
                <w:lang w:val="es-ES"/>
              </w:rPr>
              <w:t>19/10/2017</w:t>
            </w:r>
          </w:p>
        </w:tc>
      </w:tr>
      <w:tr w:rsidR="00112B9F" w:rsidRPr="006E5CD4" w14:paraId="1B372EA5" w14:textId="77777777" w:rsidTr="00F0775A">
        <w:trPr>
          <w:trHeight w:val="23"/>
          <w:jc w:val="center"/>
        </w:trPr>
        <w:tc>
          <w:tcPr>
            <w:tcW w:w="1553" w:type="pct"/>
            <w:vAlign w:val="center"/>
          </w:tcPr>
          <w:p w14:paraId="0779CBBD" w14:textId="0CC91D37" w:rsidR="00112B9F" w:rsidRPr="009D0D02" w:rsidRDefault="006E5CD4" w:rsidP="00112B9F">
            <w:pPr>
              <w:rPr>
                <w:sz w:val="20"/>
                <w:szCs w:val="20"/>
                <w:lang w:val="es-ES"/>
              </w:rPr>
            </w:pPr>
            <w:r>
              <w:rPr>
                <w:sz w:val="20"/>
                <w:szCs w:val="20"/>
                <w:lang w:val="es-ES"/>
              </w:rPr>
              <w:t>Carlos Enrique</w:t>
            </w:r>
            <w:r w:rsidR="00D43D95">
              <w:rPr>
                <w:sz w:val="20"/>
                <w:szCs w:val="20"/>
                <w:lang w:val="es-ES"/>
              </w:rPr>
              <w:t xml:space="preserve"> Montenegro</w:t>
            </w:r>
          </w:p>
        </w:tc>
        <w:tc>
          <w:tcPr>
            <w:tcW w:w="2544" w:type="pct"/>
            <w:vAlign w:val="center"/>
          </w:tcPr>
          <w:p w14:paraId="6689D146" w14:textId="60DDA973" w:rsidR="00112B9F" w:rsidRPr="009D0D02" w:rsidRDefault="006E5CD4" w:rsidP="00112B9F">
            <w:pPr>
              <w:rPr>
                <w:sz w:val="20"/>
                <w:szCs w:val="20"/>
                <w:lang w:val="es-ES"/>
              </w:rPr>
            </w:pPr>
            <w:r>
              <w:rPr>
                <w:sz w:val="20"/>
                <w:szCs w:val="20"/>
                <w:lang w:val="es-ES"/>
              </w:rPr>
              <w:t>Gerente de Administración y Finanzas</w:t>
            </w:r>
          </w:p>
        </w:tc>
        <w:tc>
          <w:tcPr>
            <w:tcW w:w="903" w:type="pct"/>
            <w:vAlign w:val="center"/>
          </w:tcPr>
          <w:p w14:paraId="502E4C6F" w14:textId="121D0FD6" w:rsidR="00112B9F" w:rsidRPr="009D0D02" w:rsidRDefault="003A2BB9" w:rsidP="00112B9F">
            <w:pPr>
              <w:jc w:val="center"/>
              <w:rPr>
                <w:sz w:val="20"/>
                <w:szCs w:val="20"/>
                <w:lang w:val="es-ES"/>
              </w:rPr>
            </w:pPr>
            <w:r>
              <w:rPr>
                <w:sz w:val="20"/>
                <w:szCs w:val="20"/>
                <w:lang w:val="es-ES"/>
              </w:rPr>
              <w:t>10/11/1993</w:t>
            </w:r>
          </w:p>
        </w:tc>
      </w:tr>
      <w:tr w:rsidR="00112B9F" w:rsidRPr="006E5CD4" w14:paraId="51C451AF" w14:textId="77777777" w:rsidTr="00F0775A">
        <w:trPr>
          <w:trHeight w:val="23"/>
          <w:jc w:val="center"/>
        </w:trPr>
        <w:tc>
          <w:tcPr>
            <w:tcW w:w="1553" w:type="pct"/>
            <w:vAlign w:val="center"/>
          </w:tcPr>
          <w:p w14:paraId="2F052E22" w14:textId="37EA087C" w:rsidR="00112B9F" w:rsidRPr="009D0D02" w:rsidRDefault="003A2BB9" w:rsidP="00112B9F">
            <w:pPr>
              <w:rPr>
                <w:sz w:val="20"/>
                <w:szCs w:val="20"/>
                <w:lang w:val="es-ES"/>
              </w:rPr>
            </w:pPr>
            <w:r>
              <w:rPr>
                <w:sz w:val="20"/>
                <w:szCs w:val="20"/>
                <w:lang w:val="es-ES"/>
              </w:rPr>
              <w:t>Ignacio</w:t>
            </w:r>
            <w:r w:rsidR="00D43D95">
              <w:rPr>
                <w:sz w:val="20"/>
                <w:szCs w:val="20"/>
                <w:lang w:val="es-ES"/>
              </w:rPr>
              <w:t xml:space="preserve"> Grossi</w:t>
            </w:r>
          </w:p>
        </w:tc>
        <w:tc>
          <w:tcPr>
            <w:tcW w:w="2544" w:type="pct"/>
            <w:vAlign w:val="center"/>
          </w:tcPr>
          <w:p w14:paraId="74C79F0C" w14:textId="7900CE31" w:rsidR="00112B9F" w:rsidRPr="009D0D02" w:rsidRDefault="003A2BB9" w:rsidP="00112B9F">
            <w:pPr>
              <w:rPr>
                <w:sz w:val="20"/>
                <w:szCs w:val="20"/>
                <w:lang w:val="es-ES"/>
              </w:rPr>
            </w:pPr>
            <w:r>
              <w:rPr>
                <w:sz w:val="20"/>
                <w:szCs w:val="20"/>
                <w:lang w:val="es-ES"/>
              </w:rPr>
              <w:t>Gerencia de Abastecimiento y Comercio Internacional</w:t>
            </w:r>
          </w:p>
        </w:tc>
        <w:tc>
          <w:tcPr>
            <w:tcW w:w="903" w:type="pct"/>
            <w:vAlign w:val="center"/>
          </w:tcPr>
          <w:p w14:paraId="292D8141" w14:textId="63552A92" w:rsidR="00112B9F" w:rsidRPr="009D0D02" w:rsidRDefault="003A2BB9" w:rsidP="00112B9F">
            <w:pPr>
              <w:jc w:val="center"/>
              <w:rPr>
                <w:sz w:val="20"/>
                <w:szCs w:val="20"/>
                <w:lang w:val="es-ES"/>
              </w:rPr>
            </w:pPr>
            <w:r>
              <w:rPr>
                <w:sz w:val="20"/>
                <w:szCs w:val="20"/>
                <w:lang w:val="es-ES"/>
              </w:rPr>
              <w:t>15/12/2016</w:t>
            </w:r>
          </w:p>
        </w:tc>
      </w:tr>
      <w:tr w:rsidR="00112B9F" w:rsidRPr="006E5CD4" w14:paraId="118E9210" w14:textId="77777777" w:rsidTr="00F0775A">
        <w:trPr>
          <w:trHeight w:val="23"/>
          <w:jc w:val="center"/>
        </w:trPr>
        <w:tc>
          <w:tcPr>
            <w:tcW w:w="1553" w:type="pct"/>
            <w:vAlign w:val="center"/>
          </w:tcPr>
          <w:p w14:paraId="737E93D1" w14:textId="28543D90" w:rsidR="00112B9F" w:rsidRPr="009D0D02" w:rsidRDefault="00D43D95" w:rsidP="00112B9F">
            <w:pPr>
              <w:rPr>
                <w:sz w:val="20"/>
                <w:szCs w:val="20"/>
                <w:lang w:val="es-ES"/>
              </w:rPr>
            </w:pPr>
            <w:r>
              <w:rPr>
                <w:sz w:val="20"/>
                <w:szCs w:val="20"/>
                <w:lang w:val="es-ES"/>
              </w:rPr>
              <w:t xml:space="preserve">Santiago </w:t>
            </w:r>
            <w:r w:rsidR="003A2BB9">
              <w:rPr>
                <w:sz w:val="20"/>
                <w:szCs w:val="20"/>
                <w:lang w:val="es-ES"/>
              </w:rPr>
              <w:t xml:space="preserve">Perez Ghiglia </w:t>
            </w:r>
          </w:p>
        </w:tc>
        <w:tc>
          <w:tcPr>
            <w:tcW w:w="2544" w:type="pct"/>
            <w:vAlign w:val="center"/>
          </w:tcPr>
          <w:p w14:paraId="59F9B2AF" w14:textId="7E7A68F7" w:rsidR="00112B9F" w:rsidRPr="009D0D02" w:rsidRDefault="003A2BB9" w:rsidP="00112B9F">
            <w:pPr>
              <w:rPr>
                <w:sz w:val="20"/>
                <w:szCs w:val="20"/>
                <w:lang w:val="es-ES"/>
              </w:rPr>
            </w:pPr>
            <w:r>
              <w:rPr>
                <w:sz w:val="20"/>
                <w:szCs w:val="20"/>
                <w:lang w:val="es-ES"/>
              </w:rPr>
              <w:t>Gerencia de Sistemas</w:t>
            </w:r>
          </w:p>
        </w:tc>
        <w:tc>
          <w:tcPr>
            <w:tcW w:w="903" w:type="pct"/>
            <w:vAlign w:val="center"/>
          </w:tcPr>
          <w:p w14:paraId="5B48C3DB" w14:textId="235C4E50" w:rsidR="00112B9F" w:rsidRPr="009D0D02" w:rsidRDefault="003A2BB9" w:rsidP="00112B9F">
            <w:pPr>
              <w:jc w:val="center"/>
              <w:rPr>
                <w:sz w:val="20"/>
                <w:szCs w:val="20"/>
                <w:lang w:val="es-ES"/>
              </w:rPr>
            </w:pPr>
            <w:r>
              <w:rPr>
                <w:sz w:val="20"/>
                <w:szCs w:val="20"/>
                <w:lang w:val="es-ES"/>
              </w:rPr>
              <w:t>15/08/2018</w:t>
            </w:r>
          </w:p>
        </w:tc>
      </w:tr>
      <w:tr w:rsidR="00112B9F" w:rsidRPr="006E5CD4" w14:paraId="4533A217" w14:textId="77777777" w:rsidTr="00F0775A">
        <w:trPr>
          <w:trHeight w:val="23"/>
          <w:jc w:val="center"/>
        </w:trPr>
        <w:tc>
          <w:tcPr>
            <w:tcW w:w="1553" w:type="pct"/>
            <w:vAlign w:val="center"/>
          </w:tcPr>
          <w:p w14:paraId="258619B3" w14:textId="42CA7FD9" w:rsidR="00112B9F" w:rsidRPr="009D0D02" w:rsidRDefault="003A2BB9" w:rsidP="00112B9F">
            <w:pPr>
              <w:rPr>
                <w:sz w:val="20"/>
                <w:szCs w:val="20"/>
                <w:lang w:val="es-ES"/>
              </w:rPr>
            </w:pPr>
            <w:r>
              <w:rPr>
                <w:sz w:val="20"/>
                <w:szCs w:val="20"/>
                <w:lang w:val="es-ES"/>
              </w:rPr>
              <w:t>Tulio Enrique</w:t>
            </w:r>
            <w:r w:rsidR="00D43D95">
              <w:rPr>
                <w:sz w:val="20"/>
                <w:szCs w:val="20"/>
                <w:lang w:val="es-ES"/>
              </w:rPr>
              <w:t xml:space="preserve"> Calderón</w:t>
            </w:r>
          </w:p>
        </w:tc>
        <w:tc>
          <w:tcPr>
            <w:tcW w:w="2544" w:type="pct"/>
            <w:vAlign w:val="center"/>
          </w:tcPr>
          <w:p w14:paraId="2494B01C" w14:textId="0E51BE16" w:rsidR="00112B9F" w:rsidRPr="009D0D02" w:rsidRDefault="003A2BB9" w:rsidP="00112B9F">
            <w:pPr>
              <w:rPr>
                <w:sz w:val="20"/>
                <w:szCs w:val="20"/>
                <w:lang w:val="es-ES"/>
              </w:rPr>
            </w:pPr>
            <w:r>
              <w:rPr>
                <w:sz w:val="20"/>
                <w:szCs w:val="20"/>
                <w:lang w:val="es-ES"/>
              </w:rPr>
              <w:t>Gerencia de Negocios Nucleares</w:t>
            </w:r>
          </w:p>
        </w:tc>
        <w:tc>
          <w:tcPr>
            <w:tcW w:w="903" w:type="pct"/>
            <w:vAlign w:val="center"/>
          </w:tcPr>
          <w:p w14:paraId="7734F1F8" w14:textId="2D52D219" w:rsidR="00112B9F" w:rsidRPr="009D0D02" w:rsidRDefault="003A2BB9" w:rsidP="00112B9F">
            <w:pPr>
              <w:jc w:val="center"/>
              <w:rPr>
                <w:sz w:val="20"/>
                <w:szCs w:val="20"/>
                <w:lang w:val="es-ES"/>
              </w:rPr>
            </w:pPr>
            <w:r>
              <w:rPr>
                <w:sz w:val="20"/>
                <w:szCs w:val="20"/>
                <w:lang w:val="es-ES"/>
              </w:rPr>
              <w:t>06/12/2017</w:t>
            </w:r>
          </w:p>
        </w:tc>
      </w:tr>
      <w:tr w:rsidR="00112B9F" w:rsidRPr="006E5CD4" w14:paraId="49FE7252" w14:textId="77777777" w:rsidTr="00F0775A">
        <w:trPr>
          <w:trHeight w:val="23"/>
          <w:jc w:val="center"/>
        </w:trPr>
        <w:tc>
          <w:tcPr>
            <w:tcW w:w="1553" w:type="pct"/>
            <w:vAlign w:val="center"/>
          </w:tcPr>
          <w:p w14:paraId="68DE34E1" w14:textId="6D978D0F" w:rsidR="00112B9F" w:rsidRPr="009D0D02" w:rsidRDefault="00D43D95" w:rsidP="00112B9F">
            <w:pPr>
              <w:rPr>
                <w:sz w:val="20"/>
                <w:szCs w:val="20"/>
                <w:lang w:val="es-ES"/>
              </w:rPr>
            </w:pPr>
            <w:r>
              <w:rPr>
                <w:sz w:val="20"/>
                <w:szCs w:val="20"/>
                <w:lang w:val="es-ES"/>
              </w:rPr>
              <w:t xml:space="preserve">Darío Sergio </w:t>
            </w:r>
            <w:r w:rsidR="003A2BB9">
              <w:rPr>
                <w:sz w:val="20"/>
                <w:szCs w:val="20"/>
                <w:lang w:val="es-ES"/>
              </w:rPr>
              <w:t xml:space="preserve">Giussi </w:t>
            </w:r>
          </w:p>
        </w:tc>
        <w:tc>
          <w:tcPr>
            <w:tcW w:w="2544" w:type="pct"/>
            <w:vAlign w:val="center"/>
          </w:tcPr>
          <w:p w14:paraId="2F9F847D" w14:textId="6F306B54" w:rsidR="00112B9F" w:rsidRPr="009D0D02" w:rsidRDefault="003A2BB9" w:rsidP="00112B9F">
            <w:pPr>
              <w:rPr>
                <w:sz w:val="20"/>
                <w:szCs w:val="20"/>
                <w:lang w:val="es-ES"/>
              </w:rPr>
            </w:pPr>
            <w:r>
              <w:rPr>
                <w:sz w:val="20"/>
                <w:szCs w:val="20"/>
                <w:lang w:val="es-ES"/>
              </w:rPr>
              <w:t>Gerencia de Negocios de Gobierno</w:t>
            </w:r>
          </w:p>
        </w:tc>
        <w:tc>
          <w:tcPr>
            <w:tcW w:w="903" w:type="pct"/>
            <w:vAlign w:val="center"/>
          </w:tcPr>
          <w:p w14:paraId="15AA86B4" w14:textId="1DC8F2B9" w:rsidR="00112B9F" w:rsidRPr="009D0D02" w:rsidRDefault="003A2BB9" w:rsidP="00112B9F">
            <w:pPr>
              <w:jc w:val="center"/>
              <w:rPr>
                <w:sz w:val="20"/>
                <w:szCs w:val="20"/>
                <w:lang w:val="es-ES"/>
              </w:rPr>
            </w:pPr>
            <w:r>
              <w:rPr>
                <w:sz w:val="20"/>
                <w:szCs w:val="20"/>
                <w:lang w:val="es-ES"/>
              </w:rPr>
              <w:t>19/10/2017</w:t>
            </w:r>
          </w:p>
        </w:tc>
      </w:tr>
      <w:tr w:rsidR="00112B9F" w:rsidRPr="006E5CD4" w14:paraId="14F32270" w14:textId="77777777" w:rsidTr="00F0775A">
        <w:trPr>
          <w:trHeight w:val="23"/>
          <w:jc w:val="center"/>
        </w:trPr>
        <w:tc>
          <w:tcPr>
            <w:tcW w:w="1553" w:type="pct"/>
            <w:vAlign w:val="center"/>
          </w:tcPr>
          <w:p w14:paraId="41747FD7" w14:textId="51A83873" w:rsidR="00112B9F" w:rsidRPr="009D0D02" w:rsidRDefault="00D43D95" w:rsidP="00112B9F">
            <w:pPr>
              <w:rPr>
                <w:sz w:val="20"/>
                <w:szCs w:val="20"/>
                <w:lang w:val="es-ES"/>
              </w:rPr>
            </w:pPr>
            <w:r>
              <w:rPr>
                <w:sz w:val="20"/>
                <w:szCs w:val="20"/>
                <w:lang w:val="es-ES"/>
              </w:rPr>
              <w:t xml:space="preserve">Gabriel Cristian </w:t>
            </w:r>
            <w:r w:rsidR="003A2BB9">
              <w:rPr>
                <w:sz w:val="20"/>
                <w:szCs w:val="20"/>
                <w:lang w:val="es-ES"/>
              </w:rPr>
              <w:t xml:space="preserve">Absi </w:t>
            </w:r>
          </w:p>
        </w:tc>
        <w:tc>
          <w:tcPr>
            <w:tcW w:w="2544" w:type="pct"/>
            <w:vAlign w:val="center"/>
          </w:tcPr>
          <w:p w14:paraId="2D5942F5" w14:textId="59DB10C9" w:rsidR="00112B9F" w:rsidRPr="009D0D02" w:rsidRDefault="003A2BB9" w:rsidP="00554317">
            <w:pPr>
              <w:rPr>
                <w:sz w:val="20"/>
                <w:szCs w:val="20"/>
                <w:lang w:val="es-ES"/>
              </w:rPr>
            </w:pPr>
            <w:r>
              <w:rPr>
                <w:sz w:val="20"/>
                <w:szCs w:val="20"/>
                <w:lang w:val="es-ES"/>
              </w:rPr>
              <w:t>Gerencia de Negocios Esp</w:t>
            </w:r>
            <w:r w:rsidR="00554317">
              <w:rPr>
                <w:sz w:val="20"/>
                <w:szCs w:val="20"/>
                <w:lang w:val="es-ES"/>
              </w:rPr>
              <w:t>a</w:t>
            </w:r>
            <w:r>
              <w:rPr>
                <w:sz w:val="20"/>
                <w:szCs w:val="20"/>
                <w:lang w:val="es-ES"/>
              </w:rPr>
              <w:t>ciales</w:t>
            </w:r>
          </w:p>
        </w:tc>
        <w:tc>
          <w:tcPr>
            <w:tcW w:w="903" w:type="pct"/>
            <w:vAlign w:val="center"/>
          </w:tcPr>
          <w:p w14:paraId="546A8167" w14:textId="16650581" w:rsidR="00112B9F" w:rsidRPr="009D0D02" w:rsidRDefault="003A2BB9" w:rsidP="00112B9F">
            <w:pPr>
              <w:jc w:val="center"/>
              <w:rPr>
                <w:sz w:val="20"/>
                <w:szCs w:val="20"/>
                <w:lang w:val="es-ES"/>
              </w:rPr>
            </w:pPr>
            <w:r>
              <w:rPr>
                <w:sz w:val="20"/>
                <w:szCs w:val="20"/>
                <w:lang w:val="es-ES"/>
              </w:rPr>
              <w:t>05/04/2017</w:t>
            </w:r>
          </w:p>
        </w:tc>
      </w:tr>
      <w:tr w:rsidR="00112B9F" w:rsidRPr="006E5CD4" w14:paraId="567030C3" w14:textId="77777777" w:rsidTr="00F0775A">
        <w:trPr>
          <w:trHeight w:val="23"/>
          <w:jc w:val="center"/>
        </w:trPr>
        <w:tc>
          <w:tcPr>
            <w:tcW w:w="1553" w:type="pct"/>
            <w:vAlign w:val="center"/>
          </w:tcPr>
          <w:p w14:paraId="4E7CEA3E" w14:textId="05BE13FE" w:rsidR="00112B9F" w:rsidRPr="009D0D02" w:rsidRDefault="00D43D95" w:rsidP="00112B9F">
            <w:pPr>
              <w:rPr>
                <w:sz w:val="20"/>
                <w:szCs w:val="20"/>
                <w:lang w:val="es-ES"/>
              </w:rPr>
            </w:pPr>
            <w:r>
              <w:rPr>
                <w:sz w:val="20"/>
                <w:szCs w:val="20"/>
                <w:lang w:val="es-ES"/>
              </w:rPr>
              <w:t xml:space="preserve">Juan Carlos Horacio </w:t>
            </w:r>
            <w:r w:rsidR="003A2BB9">
              <w:rPr>
                <w:sz w:val="20"/>
                <w:szCs w:val="20"/>
                <w:lang w:val="es-ES"/>
              </w:rPr>
              <w:t xml:space="preserve">Rodriguez </w:t>
            </w:r>
          </w:p>
        </w:tc>
        <w:tc>
          <w:tcPr>
            <w:tcW w:w="2544" w:type="pct"/>
            <w:vAlign w:val="center"/>
          </w:tcPr>
          <w:p w14:paraId="29333846" w14:textId="51D50B63" w:rsidR="00112B9F" w:rsidRPr="009D0D02" w:rsidRDefault="003A2BB9" w:rsidP="00112B9F">
            <w:pPr>
              <w:rPr>
                <w:sz w:val="20"/>
                <w:szCs w:val="20"/>
                <w:lang w:val="es-ES"/>
              </w:rPr>
            </w:pPr>
            <w:r>
              <w:rPr>
                <w:sz w:val="20"/>
                <w:szCs w:val="20"/>
                <w:lang w:val="es-ES"/>
              </w:rPr>
              <w:t>Gerencia de Negocios S.I.T. (Servicios de Integración Tecnológica)</w:t>
            </w:r>
          </w:p>
        </w:tc>
        <w:tc>
          <w:tcPr>
            <w:tcW w:w="903" w:type="pct"/>
            <w:vAlign w:val="center"/>
          </w:tcPr>
          <w:p w14:paraId="2D02908D" w14:textId="13D5DE26" w:rsidR="00112B9F" w:rsidRPr="009D0D02" w:rsidRDefault="003A2BB9" w:rsidP="00112B9F">
            <w:pPr>
              <w:jc w:val="center"/>
              <w:rPr>
                <w:sz w:val="20"/>
                <w:szCs w:val="20"/>
                <w:lang w:val="es-ES"/>
              </w:rPr>
            </w:pPr>
            <w:r>
              <w:rPr>
                <w:sz w:val="20"/>
                <w:szCs w:val="20"/>
                <w:lang w:val="es-ES"/>
              </w:rPr>
              <w:t>09/05/2014</w:t>
            </w:r>
          </w:p>
        </w:tc>
      </w:tr>
      <w:tr w:rsidR="00112B9F" w:rsidRPr="006E5CD4" w14:paraId="33ADBC3E" w14:textId="77777777" w:rsidTr="00F0775A">
        <w:trPr>
          <w:trHeight w:val="23"/>
          <w:jc w:val="center"/>
        </w:trPr>
        <w:tc>
          <w:tcPr>
            <w:tcW w:w="1553" w:type="pct"/>
            <w:vAlign w:val="center"/>
          </w:tcPr>
          <w:p w14:paraId="290B83E1" w14:textId="6811AB6C" w:rsidR="00112B9F" w:rsidRPr="009D0D02" w:rsidRDefault="00D43D95" w:rsidP="00112B9F">
            <w:pPr>
              <w:rPr>
                <w:sz w:val="20"/>
                <w:szCs w:val="20"/>
                <w:lang w:val="es-ES"/>
              </w:rPr>
            </w:pPr>
            <w:r>
              <w:rPr>
                <w:sz w:val="20"/>
                <w:szCs w:val="20"/>
                <w:lang w:val="es-ES"/>
              </w:rPr>
              <w:t xml:space="preserve">Guillermo </w:t>
            </w:r>
            <w:r w:rsidR="003A2BB9">
              <w:rPr>
                <w:sz w:val="20"/>
                <w:szCs w:val="20"/>
                <w:lang w:val="es-ES"/>
              </w:rPr>
              <w:t xml:space="preserve">Benito </w:t>
            </w:r>
          </w:p>
        </w:tc>
        <w:tc>
          <w:tcPr>
            <w:tcW w:w="2544" w:type="pct"/>
            <w:vAlign w:val="center"/>
          </w:tcPr>
          <w:p w14:paraId="39CF1CD0" w14:textId="6AD66C0C" w:rsidR="00112B9F" w:rsidRPr="009D0D02" w:rsidRDefault="003A2BB9" w:rsidP="00112B9F">
            <w:pPr>
              <w:rPr>
                <w:sz w:val="20"/>
                <w:szCs w:val="20"/>
                <w:lang w:val="es-ES"/>
              </w:rPr>
            </w:pPr>
            <w:r>
              <w:rPr>
                <w:sz w:val="20"/>
                <w:szCs w:val="20"/>
                <w:lang w:val="es-ES"/>
              </w:rPr>
              <w:t>Gerencia de Integración de Gestión</w:t>
            </w:r>
          </w:p>
        </w:tc>
        <w:tc>
          <w:tcPr>
            <w:tcW w:w="903" w:type="pct"/>
            <w:vAlign w:val="center"/>
          </w:tcPr>
          <w:p w14:paraId="59913BBE" w14:textId="4143C289" w:rsidR="00112B9F" w:rsidRPr="009D0D02" w:rsidRDefault="003A2BB9" w:rsidP="00112B9F">
            <w:pPr>
              <w:jc w:val="center"/>
              <w:rPr>
                <w:sz w:val="20"/>
                <w:szCs w:val="20"/>
                <w:lang w:val="es-ES"/>
              </w:rPr>
            </w:pPr>
            <w:r>
              <w:rPr>
                <w:sz w:val="20"/>
                <w:szCs w:val="20"/>
                <w:lang w:val="es-ES"/>
              </w:rPr>
              <w:t>05/04/2017</w:t>
            </w:r>
          </w:p>
        </w:tc>
      </w:tr>
      <w:tr w:rsidR="00112B9F" w:rsidRPr="006E5CD4" w14:paraId="2B306673" w14:textId="77777777" w:rsidTr="00F0775A">
        <w:trPr>
          <w:trHeight w:val="23"/>
          <w:jc w:val="center"/>
        </w:trPr>
        <w:tc>
          <w:tcPr>
            <w:tcW w:w="1553" w:type="pct"/>
            <w:vAlign w:val="center"/>
          </w:tcPr>
          <w:p w14:paraId="2B1B76A8" w14:textId="08EA3843" w:rsidR="00112B9F" w:rsidRPr="009D0D02" w:rsidRDefault="003A2BB9" w:rsidP="00112B9F">
            <w:pPr>
              <w:rPr>
                <w:sz w:val="20"/>
                <w:szCs w:val="20"/>
                <w:lang w:val="es-ES"/>
              </w:rPr>
            </w:pPr>
            <w:r>
              <w:rPr>
                <w:sz w:val="20"/>
                <w:szCs w:val="20"/>
                <w:lang w:val="es-ES"/>
              </w:rPr>
              <w:t>Hugo Carlos</w:t>
            </w:r>
            <w:r w:rsidR="00D43D95">
              <w:rPr>
                <w:sz w:val="20"/>
                <w:szCs w:val="20"/>
                <w:lang w:val="es-ES"/>
              </w:rPr>
              <w:t xml:space="preserve"> Jauffman</w:t>
            </w:r>
          </w:p>
        </w:tc>
        <w:tc>
          <w:tcPr>
            <w:tcW w:w="2544" w:type="pct"/>
            <w:vAlign w:val="center"/>
          </w:tcPr>
          <w:p w14:paraId="57A3E698" w14:textId="529ED965" w:rsidR="00112B9F" w:rsidRPr="009D0D02" w:rsidRDefault="003A2BB9" w:rsidP="00112B9F">
            <w:pPr>
              <w:rPr>
                <w:sz w:val="20"/>
                <w:szCs w:val="20"/>
                <w:lang w:val="es-ES"/>
              </w:rPr>
            </w:pPr>
            <w:r>
              <w:rPr>
                <w:sz w:val="20"/>
                <w:szCs w:val="20"/>
                <w:lang w:val="es-ES"/>
              </w:rPr>
              <w:t>Gerencia de Ingeniería y Producción</w:t>
            </w:r>
          </w:p>
        </w:tc>
        <w:tc>
          <w:tcPr>
            <w:tcW w:w="903" w:type="pct"/>
            <w:vAlign w:val="center"/>
          </w:tcPr>
          <w:p w14:paraId="45D22DB6" w14:textId="4861F2BC" w:rsidR="00112B9F" w:rsidRPr="009D0D02" w:rsidRDefault="003A2BB9" w:rsidP="00112B9F">
            <w:pPr>
              <w:jc w:val="center"/>
              <w:rPr>
                <w:sz w:val="20"/>
                <w:szCs w:val="20"/>
                <w:lang w:val="es-ES"/>
              </w:rPr>
            </w:pPr>
            <w:r>
              <w:rPr>
                <w:sz w:val="20"/>
                <w:szCs w:val="20"/>
                <w:lang w:val="es-ES"/>
              </w:rPr>
              <w:t>15/08/2018</w:t>
            </w:r>
          </w:p>
        </w:tc>
      </w:tr>
      <w:tr w:rsidR="003A2BB9" w:rsidRPr="003A2BB9" w14:paraId="495756FC" w14:textId="77777777" w:rsidTr="00F0775A">
        <w:trPr>
          <w:trHeight w:val="23"/>
          <w:jc w:val="center"/>
        </w:trPr>
        <w:tc>
          <w:tcPr>
            <w:tcW w:w="1553" w:type="pct"/>
            <w:vAlign w:val="center"/>
          </w:tcPr>
          <w:p w14:paraId="2EBDEA9D" w14:textId="77777777" w:rsidR="003A2BB9" w:rsidRPr="009D0D02" w:rsidRDefault="003A2BB9" w:rsidP="00112B9F">
            <w:pPr>
              <w:rPr>
                <w:sz w:val="20"/>
                <w:szCs w:val="20"/>
                <w:lang w:val="es-ES"/>
              </w:rPr>
            </w:pPr>
          </w:p>
        </w:tc>
        <w:tc>
          <w:tcPr>
            <w:tcW w:w="2544" w:type="pct"/>
            <w:vAlign w:val="center"/>
          </w:tcPr>
          <w:p w14:paraId="46DE474D" w14:textId="77777777" w:rsidR="003A2BB9" w:rsidRPr="009D0D02" w:rsidRDefault="003A2BB9" w:rsidP="00112B9F">
            <w:pPr>
              <w:rPr>
                <w:sz w:val="20"/>
                <w:szCs w:val="20"/>
                <w:lang w:val="es-ES"/>
              </w:rPr>
            </w:pPr>
          </w:p>
        </w:tc>
        <w:tc>
          <w:tcPr>
            <w:tcW w:w="903" w:type="pct"/>
            <w:vAlign w:val="center"/>
          </w:tcPr>
          <w:p w14:paraId="58622CA3" w14:textId="77777777" w:rsidR="003A2BB9" w:rsidRPr="009D0D02" w:rsidRDefault="003A2BB9" w:rsidP="00112B9F">
            <w:pPr>
              <w:jc w:val="center"/>
              <w:rPr>
                <w:sz w:val="20"/>
                <w:szCs w:val="20"/>
                <w:lang w:val="es-ES"/>
              </w:rPr>
            </w:pPr>
          </w:p>
        </w:tc>
      </w:tr>
    </w:tbl>
    <w:p w14:paraId="2A0B3B3F" w14:textId="77777777" w:rsidR="00112B9F" w:rsidRPr="009D0D02" w:rsidRDefault="00112B9F" w:rsidP="00112B9F">
      <w:pPr>
        <w:pStyle w:val="Textoindependiente3"/>
        <w:tabs>
          <w:tab w:val="clear" w:pos="-720"/>
        </w:tabs>
        <w:rPr>
          <w:rFonts w:ascii="Times New Roman" w:hAnsi="Times New Roman" w:cs="Times New Roman"/>
          <w:color w:val="000000"/>
          <w:spacing w:val="0"/>
          <w:sz w:val="20"/>
          <w:szCs w:val="20"/>
          <w:lang w:val="es-AR" w:eastAsia="en-US"/>
        </w:rPr>
      </w:pPr>
    </w:p>
    <w:p w14:paraId="0BEC9E75" w14:textId="77777777" w:rsidR="00112B9F" w:rsidRPr="009D0D02" w:rsidRDefault="00112B9F" w:rsidP="00112B9F">
      <w:pPr>
        <w:pStyle w:val="Textoindependiente3"/>
        <w:tabs>
          <w:tab w:val="clear" w:pos="-720"/>
        </w:tabs>
        <w:rPr>
          <w:rFonts w:ascii="Times New Roman" w:hAnsi="Times New Roman" w:cs="Times New Roman"/>
          <w:color w:val="000000"/>
          <w:spacing w:val="0"/>
          <w:sz w:val="20"/>
          <w:szCs w:val="20"/>
          <w:lang w:val="es-AR" w:eastAsia="en-US"/>
        </w:rPr>
      </w:pPr>
      <w:r w:rsidRPr="009D0D02">
        <w:rPr>
          <w:rFonts w:ascii="Times New Roman" w:hAnsi="Times New Roman" w:cs="Times New Roman"/>
          <w:color w:val="000000"/>
          <w:spacing w:val="0"/>
          <w:sz w:val="20"/>
          <w:szCs w:val="20"/>
          <w:lang w:val="es-AR" w:eastAsia="en-US"/>
        </w:rPr>
        <w:t>Cada una de las gerencias técnicas desarrolla los diferentes Proyectos Tecnológicos (“</w:t>
      </w:r>
      <w:r w:rsidRPr="009D0D02">
        <w:rPr>
          <w:rFonts w:ascii="Times New Roman" w:hAnsi="Times New Roman" w:cs="Times New Roman"/>
          <w:color w:val="000000"/>
          <w:spacing w:val="0"/>
          <w:sz w:val="20"/>
          <w:szCs w:val="20"/>
          <w:u w:val="single"/>
          <w:lang w:val="es-AR" w:eastAsia="en-US"/>
        </w:rPr>
        <w:t>PT</w:t>
      </w:r>
      <w:r w:rsidRPr="009D0D02">
        <w:rPr>
          <w:rFonts w:ascii="Times New Roman" w:hAnsi="Times New Roman" w:cs="Times New Roman"/>
          <w:color w:val="000000"/>
          <w:spacing w:val="0"/>
          <w:sz w:val="20"/>
          <w:szCs w:val="20"/>
          <w:lang w:val="es-AR" w:eastAsia="en-US"/>
        </w:rPr>
        <w:t>”), que nacen de la ejecución de los contratos con terceros, los cuales son asistidos por los Centros de Costo (“</w:t>
      </w:r>
      <w:r w:rsidRPr="009D0D02">
        <w:rPr>
          <w:rFonts w:ascii="Times New Roman" w:hAnsi="Times New Roman" w:cs="Times New Roman"/>
          <w:color w:val="000000"/>
          <w:spacing w:val="0"/>
          <w:sz w:val="20"/>
          <w:szCs w:val="20"/>
          <w:u w:val="single"/>
          <w:lang w:val="es-AR" w:eastAsia="en-US"/>
        </w:rPr>
        <w:t>CC</w:t>
      </w:r>
      <w:r w:rsidRPr="009D0D02">
        <w:rPr>
          <w:rFonts w:ascii="Times New Roman" w:hAnsi="Times New Roman" w:cs="Times New Roman"/>
          <w:color w:val="000000"/>
          <w:spacing w:val="0"/>
          <w:sz w:val="20"/>
          <w:szCs w:val="20"/>
          <w:lang w:val="es-AR" w:eastAsia="en-US"/>
        </w:rPr>
        <w:t>”) como prestadores de servicios internos y externos.</w:t>
      </w:r>
    </w:p>
    <w:p w14:paraId="0F879552" w14:textId="77777777" w:rsidR="00112B9F" w:rsidRPr="009D0D02" w:rsidRDefault="00112B9F" w:rsidP="00112B9F">
      <w:pPr>
        <w:pStyle w:val="Textoindependiente3"/>
        <w:rPr>
          <w:rFonts w:ascii="Times New Roman" w:hAnsi="Times New Roman" w:cs="Times New Roman"/>
          <w:color w:val="000000"/>
          <w:spacing w:val="0"/>
          <w:sz w:val="20"/>
          <w:szCs w:val="20"/>
          <w:lang w:val="es-AR" w:eastAsia="en-US"/>
        </w:rPr>
      </w:pPr>
    </w:p>
    <w:p w14:paraId="5F7821B6" w14:textId="77777777" w:rsidR="00112B9F" w:rsidRPr="009D0D02" w:rsidRDefault="00112B9F" w:rsidP="00112B9F">
      <w:pPr>
        <w:pStyle w:val="Textoindependiente3"/>
        <w:rPr>
          <w:rFonts w:ascii="Times New Roman" w:hAnsi="Times New Roman" w:cs="Times New Roman"/>
          <w:color w:val="000000"/>
          <w:spacing w:val="0"/>
          <w:sz w:val="20"/>
          <w:szCs w:val="20"/>
          <w:lang w:val="es-AR" w:eastAsia="en-US"/>
        </w:rPr>
      </w:pPr>
      <w:r w:rsidRPr="009D0D02">
        <w:rPr>
          <w:rFonts w:ascii="Times New Roman" w:hAnsi="Times New Roman" w:cs="Times New Roman"/>
          <w:color w:val="000000"/>
          <w:spacing w:val="0"/>
          <w:sz w:val="20"/>
          <w:szCs w:val="20"/>
          <w:lang w:val="es-AR" w:eastAsia="en-US"/>
        </w:rPr>
        <w:t xml:space="preserve">Los PT y CC son liderados y coordinados por directores o responsables, propuestos por la gerencia del área que corresponda y aprobados por la Gerencia General. </w:t>
      </w:r>
    </w:p>
    <w:p w14:paraId="1EB2226E" w14:textId="77777777" w:rsidR="00112B9F" w:rsidRPr="009D0D02" w:rsidRDefault="00112B9F" w:rsidP="00112B9F">
      <w:pPr>
        <w:pStyle w:val="Textoindependiente3"/>
        <w:rPr>
          <w:rFonts w:ascii="Times New Roman" w:hAnsi="Times New Roman" w:cs="Times New Roman"/>
          <w:color w:val="000000"/>
          <w:spacing w:val="0"/>
          <w:sz w:val="20"/>
          <w:szCs w:val="20"/>
          <w:lang w:val="es-AR" w:eastAsia="en-US"/>
        </w:rPr>
      </w:pPr>
    </w:p>
    <w:p w14:paraId="32DF8B3C" w14:textId="77777777" w:rsidR="00112B9F" w:rsidRPr="009D0D02" w:rsidRDefault="00112B9F" w:rsidP="00112B9F">
      <w:pPr>
        <w:pStyle w:val="Textpara"/>
        <w:widowControl/>
        <w:tabs>
          <w:tab w:val="clear" w:pos="9000"/>
        </w:tabs>
        <w:autoSpaceDE/>
        <w:autoSpaceDN/>
        <w:adjustRightInd/>
        <w:spacing w:after="0"/>
        <w:rPr>
          <w:color w:val="000000"/>
          <w:lang w:val="es-AR"/>
        </w:rPr>
      </w:pPr>
      <w:r w:rsidRPr="009D0D02">
        <w:rPr>
          <w:color w:val="000000"/>
          <w:lang w:val="es-AR"/>
        </w:rPr>
        <w:t xml:space="preserve">La función principal de la Gerencia General es la de realizar todas las acciones necesarias para implementar y ejecutar las políticas y directivas generales de la empresa, establecidas por el Directorio. Dentro de las cuales se encuentran, responder al Directorio en su carácter de máximo ejecutivo, por la concreción de las políticas de la empresa; representar legalmente a la empresa; informar al Directorio sobre el avance, resultados y evolución de la empresa; aprobar las ofertas y los contratos; decidir sobre la ejecución de proyectos; disponer de la capacidad operativa de la empresa; disponer sobre la política de calidad de la empresa; designar y remover a los Gerentes y los responsables de sectores críticos de la empresa; aprobar la designación de responsables de PT y de CC propuestos por los gerentes de cada área. </w:t>
      </w:r>
    </w:p>
    <w:p w14:paraId="44ED5C41" w14:textId="77777777" w:rsidR="00112B9F" w:rsidRPr="009D0D02" w:rsidRDefault="00112B9F" w:rsidP="00112B9F">
      <w:pPr>
        <w:pStyle w:val="Textpara"/>
        <w:widowControl/>
        <w:tabs>
          <w:tab w:val="clear" w:pos="9000"/>
        </w:tabs>
        <w:autoSpaceDE/>
        <w:autoSpaceDN/>
        <w:adjustRightInd/>
        <w:spacing w:after="0"/>
        <w:rPr>
          <w:color w:val="000000"/>
          <w:lang w:val="es-AR"/>
        </w:rPr>
      </w:pPr>
    </w:p>
    <w:p w14:paraId="60F91330" w14:textId="77777777" w:rsidR="00112B9F" w:rsidRPr="009D0D02" w:rsidRDefault="00112B9F" w:rsidP="00112B9F">
      <w:pPr>
        <w:jc w:val="both"/>
        <w:rPr>
          <w:color w:val="000000"/>
          <w:sz w:val="20"/>
          <w:szCs w:val="20"/>
          <w:lang w:val="es-AR"/>
        </w:rPr>
      </w:pPr>
      <w:r w:rsidRPr="009D0D02">
        <w:rPr>
          <w:color w:val="000000"/>
          <w:sz w:val="20"/>
          <w:szCs w:val="20"/>
          <w:lang w:val="es-AR"/>
        </w:rPr>
        <w:t xml:space="preserve">A continuación se presentan los antecedentes de principales ejecutivos de INVAP: </w:t>
      </w:r>
    </w:p>
    <w:p w14:paraId="4E61EFA7" w14:textId="77777777" w:rsidR="00112B9F" w:rsidRPr="009D0D02" w:rsidRDefault="00112B9F" w:rsidP="00112B9F">
      <w:pPr>
        <w:pStyle w:val="Text"/>
        <w:spacing w:after="0"/>
        <w:ind w:firstLine="0"/>
        <w:jc w:val="both"/>
        <w:rPr>
          <w:color w:val="000000"/>
          <w:sz w:val="20"/>
          <w:szCs w:val="20"/>
          <w:lang w:val="es-AR"/>
        </w:rPr>
      </w:pPr>
    </w:p>
    <w:p w14:paraId="5EECD527" w14:textId="1DEFAEE7" w:rsidR="003A2BB9" w:rsidRPr="002D5BBB" w:rsidRDefault="003A2BB9" w:rsidP="003A2BB9">
      <w:pPr>
        <w:pStyle w:val="Textoindependiente3"/>
        <w:rPr>
          <w:rFonts w:ascii="Times New Roman" w:hAnsi="Times New Roman" w:cs="Times New Roman"/>
          <w:color w:val="000000"/>
          <w:spacing w:val="0"/>
          <w:sz w:val="20"/>
          <w:szCs w:val="20"/>
          <w:lang w:val="es-AR" w:eastAsia="en-US"/>
        </w:rPr>
      </w:pPr>
      <w:r w:rsidRPr="00A61C89">
        <w:rPr>
          <w:rFonts w:ascii="Times New Roman" w:hAnsi="Times New Roman" w:cs="Times New Roman"/>
          <w:i/>
          <w:color w:val="000000"/>
          <w:spacing w:val="0"/>
          <w:sz w:val="20"/>
          <w:szCs w:val="20"/>
          <w:lang w:val="es-AR" w:eastAsia="en-US"/>
        </w:rPr>
        <w:t>Vicente Domingo Campenni</w:t>
      </w:r>
      <w:r w:rsidRPr="002D5BBB">
        <w:rPr>
          <w:rFonts w:ascii="Times New Roman" w:hAnsi="Times New Roman" w:cs="Times New Roman"/>
          <w:color w:val="000000"/>
          <w:spacing w:val="0"/>
          <w:sz w:val="20"/>
          <w:szCs w:val="20"/>
          <w:lang w:val="es-AR" w:eastAsia="en-US"/>
        </w:rPr>
        <w:t xml:space="preserve">: El Sr. Campenni nació el 25 de mayo de 1956. Su DNI es 12613077, su CUIT 20-12613077-6 y su domicilio especial Av. Comandante Luis Piedrabuena 4950, Bariloche. En 1988 obtuvo el título de Doctor en Física, de la Universidad Nacional de Córdoba. Se desempeña en INVAP desde 1988. Entre 1988 y 2001 se desempeñó en el área de Mecánica, Materiales y Mediciones, llegando a ocupar el cargo de Jefe de Servicios. Entre el 2001 y el 2008 ocupó el cargo de Jefe de Proyectos en el área de Proyectos Espaciales. Entre el 2008 y el 2011 se desempeñó como Sub Gerente de Servicios Tecnológicos en la Gerencia de Proyectos Aeroespaciales y Gobierno. Entre 2011 y 2014, ocupó el cargo de Sub Gerente de la Gerencia de Proyectos Aeroespaciales y Gobierno, desempeñándose como Jefe de Programa de Satélites Geoestacionarios de Comunicaciones, responsable de la cuenta ARSAT. Entre el 2014 y el 2017 ocupó el cargo de Sub Gerente General. El 22/06/2017 fue designado como Gerente General, puesto que ocupa actualmente. </w:t>
      </w:r>
    </w:p>
    <w:p w14:paraId="3EBA14CE" w14:textId="77777777" w:rsidR="003A2BB9" w:rsidRPr="002D5BBB" w:rsidRDefault="003A2BB9" w:rsidP="003A2BB9">
      <w:pPr>
        <w:pStyle w:val="Textoindependiente3"/>
        <w:rPr>
          <w:rFonts w:ascii="Times New Roman" w:hAnsi="Times New Roman" w:cs="Times New Roman"/>
          <w:color w:val="000000"/>
          <w:spacing w:val="0"/>
          <w:sz w:val="20"/>
          <w:szCs w:val="20"/>
          <w:lang w:val="es-AR" w:eastAsia="en-US"/>
        </w:rPr>
      </w:pPr>
    </w:p>
    <w:p w14:paraId="03BD024C" w14:textId="4AE63D9C" w:rsidR="003A2BB9" w:rsidRPr="002D5BBB" w:rsidRDefault="003A2BB9" w:rsidP="003A2BB9">
      <w:pPr>
        <w:pStyle w:val="Textoindependiente3"/>
        <w:rPr>
          <w:rFonts w:ascii="Times New Roman" w:hAnsi="Times New Roman" w:cs="Times New Roman"/>
          <w:color w:val="000000"/>
          <w:spacing w:val="0"/>
          <w:sz w:val="20"/>
          <w:szCs w:val="20"/>
          <w:lang w:val="es-AR" w:eastAsia="en-US"/>
        </w:rPr>
      </w:pPr>
      <w:r w:rsidRPr="00A61C89">
        <w:rPr>
          <w:rFonts w:ascii="Times New Roman" w:hAnsi="Times New Roman" w:cs="Times New Roman"/>
          <w:i/>
          <w:color w:val="000000"/>
          <w:spacing w:val="0"/>
          <w:sz w:val="20"/>
          <w:szCs w:val="20"/>
          <w:lang w:val="es-AR" w:eastAsia="en-US"/>
        </w:rPr>
        <w:t>Marcelo Roberto Basigalup</w:t>
      </w:r>
      <w:r w:rsidRPr="002D5BBB">
        <w:rPr>
          <w:rFonts w:ascii="Times New Roman" w:hAnsi="Times New Roman" w:cs="Times New Roman"/>
          <w:color w:val="000000"/>
          <w:spacing w:val="0"/>
          <w:sz w:val="20"/>
          <w:szCs w:val="20"/>
          <w:lang w:val="es-AR" w:eastAsia="en-US"/>
        </w:rPr>
        <w:t xml:space="preserve">: El Sr. Basigalup nació el 18 de junio de 1960. Su DNI es 13690363, su CUIT 20-13690363-3 y su domicilio especial Av. Comandante Luis Piedrabuena 4950, Bariloche. Obtuvo el título de Ingeniero Electrónico (orientación en Telecomunicaciones), de la Universidad Nacional de La Plata. Desde 1987 trabaja en INVAP. Entre 1987 y 1990 realizó trabajos de investigación y desarrollo de los sistemas electrónicos de equipos de Medicina Nuclear. Acelerador Lineal de Partículas y Acelerador Circular (Ciclotrón). Desarrollo de etapas de potencia y sistema de supervisión y control. Entre 1990 y 1993, realizó la modificación de la instrumentación del Sistema de Control de un Reactor de Investigación en la ciudad de Teherán (Irán), debido al cambio del tipo de combustible. Entre 1993 y 1995 participó del diseño de la instrumentación de un reactor de generación de electricidad, para la CNEA. Entre el 2000 y el 2005 estuvo a cargo del Área de Electrónica y de Instrumentación &amp; Control de la empresa. A partir del 2005 se desempeña como Jefe de proyecto del Proyecto Radar Primario Argentino. Desde el 2006 y hasta el 2014 fue Sub-Gerente de Proyectos de la Gerencia Aeroespacial y Gobierno. Desde mayo del año 2015 hasta octubre del año 2017 estuvo a cargo de la Gerencia de Proyectos de Gobierno. El 19/10/2017 fue designado como Sub Gerente General, puesto que ocupa actualmente. </w:t>
      </w:r>
    </w:p>
    <w:p w14:paraId="050DE0D3" w14:textId="77777777" w:rsidR="003A2BB9" w:rsidRPr="002D5BBB" w:rsidRDefault="003A2BB9" w:rsidP="003A2BB9">
      <w:pPr>
        <w:spacing w:after="120"/>
        <w:jc w:val="both"/>
        <w:rPr>
          <w:color w:val="000000"/>
          <w:sz w:val="20"/>
          <w:szCs w:val="20"/>
          <w:lang w:val="es-AR"/>
        </w:rPr>
      </w:pPr>
      <w:r w:rsidRPr="002D5BBB">
        <w:rPr>
          <w:color w:val="000000"/>
          <w:sz w:val="20"/>
          <w:szCs w:val="20"/>
          <w:lang w:val="es-AR"/>
        </w:rPr>
        <w:t xml:space="preserve"> </w:t>
      </w:r>
    </w:p>
    <w:p w14:paraId="0076AF83" w14:textId="6481C88B" w:rsidR="003A2BB9" w:rsidRPr="002D5BBB" w:rsidRDefault="003A2BB9" w:rsidP="003A2BB9">
      <w:pPr>
        <w:pStyle w:val="Textoindependiente3"/>
        <w:rPr>
          <w:rFonts w:ascii="Times New Roman" w:hAnsi="Times New Roman" w:cs="Times New Roman"/>
          <w:color w:val="000000"/>
          <w:spacing w:val="0"/>
          <w:sz w:val="20"/>
          <w:szCs w:val="20"/>
          <w:lang w:val="es-AR" w:eastAsia="en-US"/>
        </w:rPr>
      </w:pPr>
      <w:r w:rsidRPr="00A61C89">
        <w:rPr>
          <w:rFonts w:ascii="Times New Roman" w:hAnsi="Times New Roman" w:cs="Times New Roman"/>
          <w:i/>
          <w:color w:val="000000"/>
          <w:spacing w:val="0"/>
          <w:sz w:val="20"/>
          <w:szCs w:val="20"/>
          <w:lang w:val="es-AR" w:eastAsia="en-US"/>
        </w:rPr>
        <w:t>Carlos Enrique Montenegro</w:t>
      </w:r>
      <w:r w:rsidRPr="002D5BBB">
        <w:rPr>
          <w:rFonts w:ascii="Times New Roman" w:hAnsi="Times New Roman" w:cs="Times New Roman"/>
          <w:color w:val="000000"/>
          <w:spacing w:val="0"/>
          <w:sz w:val="20"/>
          <w:szCs w:val="20"/>
          <w:lang w:val="es-AR" w:eastAsia="en-US"/>
        </w:rPr>
        <w:t xml:space="preserve">: El señor Montenegro nació el 2 de octubre de 1957. Su DNI es 13144422, su CUIT 20-13144422-3 y su domicilio especial Av. Comandante Luis Piedrabuena 4950, Bariloche. En el año 1990 obtuvo el título de Licenciado en Administración de Empresas de la Universidad Argentina de la Empresa (UADE). El señor Montenegro trabajó desde el año 1976 al año 1978 en el </w:t>
      </w:r>
      <w:r w:rsidR="00ED1EF1">
        <w:rPr>
          <w:rFonts w:ascii="Times New Roman" w:hAnsi="Times New Roman" w:cs="Times New Roman"/>
          <w:color w:val="000000"/>
          <w:spacing w:val="0"/>
          <w:sz w:val="20"/>
          <w:szCs w:val="20"/>
          <w:lang w:val="es-AR" w:eastAsia="en-US"/>
        </w:rPr>
        <w:t>ámbito privado</w:t>
      </w:r>
      <w:r w:rsidRPr="002D5BBB">
        <w:rPr>
          <w:rFonts w:ascii="Times New Roman" w:hAnsi="Times New Roman" w:cs="Times New Roman"/>
          <w:color w:val="000000"/>
          <w:spacing w:val="0"/>
          <w:sz w:val="20"/>
          <w:szCs w:val="20"/>
          <w:lang w:val="es-AR" w:eastAsia="en-US"/>
        </w:rPr>
        <w:t xml:space="preserve"> realizando tareas de administración y control; en el año 1978 ingresó a INVAP, desempeñando tareas de Planeamiento y Control de Gestión hasta el año 1984. Desde 1984 y hasta 1990 desempeño tareas de administración y de recursos humanos en la sede de Buenos Aires. A su regreso a Bariloche, fue nombrado Subgerente de Finanzas, cargo que desempeñó hasta el año 1993. Desde ese año y hasta la actualidad desempeña el cargo de Gerente de Administración y Finanzas. Actualmente, también ocupa el cargo de Sub Gerente General, designado el 15/08/2018.</w:t>
      </w:r>
    </w:p>
    <w:p w14:paraId="6437D22F" w14:textId="77777777" w:rsidR="003A2BB9" w:rsidRPr="002D5BBB" w:rsidRDefault="003A2BB9" w:rsidP="003A2BB9">
      <w:pPr>
        <w:pStyle w:val="Textoindependiente3"/>
        <w:rPr>
          <w:rFonts w:ascii="Times New Roman" w:hAnsi="Times New Roman" w:cs="Times New Roman"/>
          <w:color w:val="000000"/>
          <w:spacing w:val="0"/>
          <w:sz w:val="20"/>
          <w:szCs w:val="20"/>
          <w:lang w:val="es-AR" w:eastAsia="en-US"/>
        </w:rPr>
      </w:pPr>
    </w:p>
    <w:p w14:paraId="78E93F16" w14:textId="575D4806" w:rsidR="004544C6" w:rsidRPr="002D5BBB" w:rsidRDefault="003A2BB9" w:rsidP="004544C6">
      <w:pPr>
        <w:pStyle w:val="Textoindependiente3"/>
        <w:rPr>
          <w:rFonts w:ascii="Times New Roman" w:hAnsi="Times New Roman" w:cs="Times New Roman"/>
          <w:color w:val="000000"/>
          <w:spacing w:val="0"/>
          <w:sz w:val="20"/>
          <w:szCs w:val="20"/>
          <w:lang w:val="es-AR" w:eastAsia="en-US"/>
        </w:rPr>
      </w:pPr>
      <w:r w:rsidRPr="000745D7">
        <w:rPr>
          <w:rFonts w:ascii="Times New Roman" w:hAnsi="Times New Roman" w:cs="Times New Roman"/>
          <w:i/>
          <w:color w:val="000000"/>
          <w:spacing w:val="0"/>
          <w:sz w:val="20"/>
          <w:szCs w:val="20"/>
          <w:lang w:val="es-AR" w:eastAsia="en-US"/>
        </w:rPr>
        <w:t>Jorge Osvaldo Rivero</w:t>
      </w:r>
      <w:r w:rsidRPr="002D5BBB">
        <w:rPr>
          <w:rFonts w:ascii="Times New Roman" w:hAnsi="Times New Roman" w:cs="Times New Roman"/>
          <w:color w:val="000000"/>
          <w:spacing w:val="0"/>
          <w:sz w:val="20"/>
          <w:szCs w:val="20"/>
          <w:lang w:val="es-AR" w:eastAsia="en-US"/>
        </w:rPr>
        <w:t>: El señor Rivero nació el 2 de abril de 1959. Su DNI es 12966900, su CUIT 20-12966900-5 y su domicilio especial Av. Comandante Luis Piedrabuena 4950, Bariloche. En el año 1983 obtuvo el título de Ingeniero Nuclear, graduado en el Instituto Balseiro, también cuenta con formación en Psicología Social.</w:t>
      </w:r>
      <w:r w:rsidR="00D43D95">
        <w:rPr>
          <w:rFonts w:ascii="Times New Roman" w:hAnsi="Times New Roman" w:cs="Times New Roman"/>
          <w:color w:val="000000"/>
          <w:spacing w:val="0"/>
          <w:sz w:val="20"/>
          <w:szCs w:val="20"/>
          <w:lang w:val="es-AR" w:eastAsia="en-US"/>
        </w:rPr>
        <w:t xml:space="preserve"> </w:t>
      </w:r>
      <w:r w:rsidRPr="002D5BBB">
        <w:rPr>
          <w:rFonts w:ascii="Times New Roman" w:hAnsi="Times New Roman" w:cs="Times New Roman"/>
          <w:color w:val="000000"/>
          <w:spacing w:val="0"/>
          <w:sz w:val="20"/>
          <w:szCs w:val="20"/>
          <w:lang w:val="es-AR" w:eastAsia="en-US"/>
        </w:rPr>
        <w:t>El señor Rivero cuenta con una amplia experiencia, con sus inicios en Techint S.A. desempeñando diferentes roles, tales como investigador, desarrollador de software y sistemas, jefe de proyectos como la reparación de la central nuclear Atucha 1. A partir de 1992 estuvo a cargo como responsable de proyectos y/o áreas, los últimos 20 en roles de gerente o director, de diferentes áreas tecnológicas: Atención a Capital Humano, Fábrica de software, Arquitectura de TI, Inteligencia de Negocios (Business Intelligence) en empresas de consultoría tecnológica, gestionando proyectos en varios países. Entre 1997 y 2000 trabajó para YPF-Repsol las áreas de sistemas de información geográfica de Upstream y Downstream. Entre 2000 y 2008 ingresó a Neoris como gerente de las áreas de Calidad y Pos</w:t>
      </w:r>
      <w:r w:rsidR="00554317">
        <w:rPr>
          <w:rFonts w:ascii="Times New Roman" w:hAnsi="Times New Roman" w:cs="Times New Roman"/>
          <w:color w:val="000000"/>
          <w:spacing w:val="0"/>
          <w:sz w:val="20"/>
          <w:szCs w:val="20"/>
          <w:lang w:val="es-AR" w:eastAsia="en-US"/>
        </w:rPr>
        <w:t>t</w:t>
      </w:r>
      <w:r w:rsidRPr="002D5BBB">
        <w:rPr>
          <w:rFonts w:ascii="Times New Roman" w:hAnsi="Times New Roman" w:cs="Times New Roman"/>
          <w:color w:val="000000"/>
          <w:spacing w:val="0"/>
          <w:sz w:val="20"/>
          <w:szCs w:val="20"/>
          <w:lang w:val="es-AR" w:eastAsia="en-US"/>
        </w:rPr>
        <w:t xml:space="preserve">-Venta. Entre 2008 y 2011 fue gerente de consultoría en la firma DSS de México, especializada en Inteligencia de Negocios (Business Intelligence). </w:t>
      </w:r>
      <w:r w:rsidR="004544C6" w:rsidRPr="002D5BBB">
        <w:rPr>
          <w:rFonts w:ascii="Times New Roman" w:hAnsi="Times New Roman" w:cs="Times New Roman"/>
          <w:color w:val="000000"/>
          <w:spacing w:val="0"/>
          <w:sz w:val="20"/>
          <w:szCs w:val="20"/>
          <w:lang w:val="es-AR" w:eastAsia="en-US"/>
        </w:rPr>
        <w:t>Ingres</w:t>
      </w:r>
      <w:r w:rsidR="004544C6">
        <w:rPr>
          <w:rFonts w:ascii="Times New Roman" w:hAnsi="Times New Roman" w:cs="Times New Roman"/>
          <w:color w:val="000000"/>
          <w:spacing w:val="0"/>
          <w:sz w:val="20"/>
          <w:szCs w:val="20"/>
          <w:lang w:val="es-AR" w:eastAsia="en-US"/>
        </w:rPr>
        <w:t>ó</w:t>
      </w:r>
      <w:r w:rsidR="004544C6" w:rsidRPr="002D5BBB">
        <w:rPr>
          <w:rFonts w:ascii="Times New Roman" w:hAnsi="Times New Roman" w:cs="Times New Roman"/>
          <w:color w:val="000000"/>
          <w:spacing w:val="0"/>
          <w:sz w:val="20"/>
          <w:szCs w:val="20"/>
          <w:lang w:val="es-AR" w:eastAsia="en-US"/>
        </w:rPr>
        <w:t xml:space="preserve"> en 2011 a INVAP como responsable del aseguramiento de producto del satélite ARSAT-1, primer Satélite Geoestacionario Argentino. Posteriormente fue encomendado como </w:t>
      </w:r>
      <w:r w:rsidR="004544C6">
        <w:rPr>
          <w:rFonts w:ascii="Times New Roman" w:hAnsi="Times New Roman" w:cs="Times New Roman"/>
          <w:color w:val="000000"/>
          <w:spacing w:val="0"/>
          <w:sz w:val="20"/>
          <w:szCs w:val="20"/>
          <w:lang w:val="es-AR" w:eastAsia="en-US"/>
        </w:rPr>
        <w:t xml:space="preserve">responsable del área </w:t>
      </w:r>
      <w:r w:rsidR="004544C6" w:rsidRPr="009B22F5">
        <w:rPr>
          <w:rFonts w:ascii="Times New Roman" w:hAnsi="Times New Roman" w:cs="Times New Roman"/>
          <w:color w:val="000000"/>
          <w:spacing w:val="0"/>
          <w:sz w:val="20"/>
          <w:szCs w:val="20"/>
          <w:lang w:val="es-AR" w:eastAsia="en-US"/>
        </w:rPr>
        <w:t>de Seguridad, Salud, Ambiente y Calidad de la Empresas</w:t>
      </w:r>
      <w:r w:rsidR="004544C6" w:rsidRPr="002D5BBB">
        <w:rPr>
          <w:rFonts w:ascii="Times New Roman" w:hAnsi="Times New Roman" w:cs="Times New Roman"/>
          <w:color w:val="000000"/>
          <w:spacing w:val="0"/>
          <w:sz w:val="20"/>
          <w:szCs w:val="20"/>
          <w:lang w:val="es-AR" w:eastAsia="en-US"/>
        </w:rPr>
        <w:t>.</w:t>
      </w:r>
      <w:r w:rsidR="009D369D">
        <w:rPr>
          <w:rFonts w:ascii="Times New Roman" w:hAnsi="Times New Roman" w:cs="Times New Roman"/>
          <w:color w:val="000000"/>
          <w:spacing w:val="0"/>
          <w:sz w:val="20"/>
          <w:szCs w:val="20"/>
          <w:lang w:val="es-AR" w:eastAsia="en-US"/>
        </w:rPr>
        <w:t xml:space="preserve"> </w:t>
      </w:r>
      <w:r w:rsidR="004544C6" w:rsidRPr="002D5BBB">
        <w:rPr>
          <w:rFonts w:ascii="Times New Roman" w:hAnsi="Times New Roman" w:cs="Times New Roman"/>
          <w:color w:val="000000"/>
          <w:spacing w:val="0"/>
          <w:sz w:val="20"/>
          <w:szCs w:val="20"/>
          <w:lang w:val="es-AR" w:eastAsia="en-US"/>
        </w:rPr>
        <w:t xml:space="preserve">Desde el 2017 a la actualidad, </w:t>
      </w:r>
      <w:r w:rsidR="004544C6">
        <w:rPr>
          <w:rFonts w:ascii="Times New Roman" w:hAnsi="Times New Roman" w:cs="Times New Roman"/>
          <w:color w:val="000000"/>
          <w:spacing w:val="0"/>
          <w:sz w:val="20"/>
          <w:szCs w:val="20"/>
          <w:lang w:val="es-AR" w:eastAsia="en-US"/>
        </w:rPr>
        <w:t xml:space="preserve">se desempeña </w:t>
      </w:r>
      <w:r w:rsidR="004544C6" w:rsidRPr="002D5BBB">
        <w:rPr>
          <w:rFonts w:ascii="Times New Roman" w:hAnsi="Times New Roman" w:cs="Times New Roman"/>
          <w:color w:val="000000"/>
          <w:spacing w:val="0"/>
          <w:sz w:val="20"/>
          <w:szCs w:val="20"/>
          <w:lang w:val="es-AR" w:eastAsia="en-US"/>
        </w:rPr>
        <w:t>como Gerente de Personas y Organización.</w:t>
      </w:r>
    </w:p>
    <w:p w14:paraId="29FCA14D" w14:textId="03A61DEF" w:rsidR="003A2BB9" w:rsidRDefault="003A2BB9" w:rsidP="003A2BB9">
      <w:pPr>
        <w:pStyle w:val="Textoindependiente3"/>
        <w:rPr>
          <w:rFonts w:ascii="Times New Roman" w:hAnsi="Times New Roman" w:cs="Times New Roman"/>
          <w:color w:val="000000"/>
          <w:spacing w:val="0"/>
          <w:sz w:val="20"/>
          <w:szCs w:val="20"/>
          <w:lang w:val="es-AR" w:eastAsia="en-US"/>
        </w:rPr>
      </w:pPr>
    </w:p>
    <w:p w14:paraId="20531143" w14:textId="11D636D6" w:rsidR="009D369D" w:rsidRDefault="003A2BB9" w:rsidP="009D369D">
      <w:pPr>
        <w:pStyle w:val="Textoindependiente3"/>
        <w:rPr>
          <w:rFonts w:ascii="Times New Roman" w:hAnsi="Times New Roman" w:cs="Times New Roman"/>
          <w:color w:val="000000"/>
          <w:spacing w:val="0"/>
          <w:sz w:val="20"/>
          <w:szCs w:val="20"/>
          <w:lang w:val="es-AR" w:eastAsia="en-US"/>
        </w:rPr>
      </w:pPr>
      <w:r w:rsidRPr="00A61C89">
        <w:rPr>
          <w:rFonts w:ascii="Times New Roman" w:hAnsi="Times New Roman" w:cs="Times New Roman"/>
          <w:i/>
          <w:color w:val="000000"/>
          <w:spacing w:val="0"/>
          <w:sz w:val="20"/>
          <w:szCs w:val="20"/>
          <w:lang w:val="es-AR" w:eastAsia="en-US"/>
        </w:rPr>
        <w:t>Ignacio Grossi</w:t>
      </w:r>
      <w:r w:rsidRPr="002D5BBB">
        <w:rPr>
          <w:rFonts w:ascii="Times New Roman" w:hAnsi="Times New Roman" w:cs="Times New Roman"/>
          <w:color w:val="000000"/>
          <w:spacing w:val="0"/>
          <w:sz w:val="20"/>
          <w:szCs w:val="20"/>
          <w:lang w:val="es-AR" w:eastAsia="en-US"/>
        </w:rPr>
        <w:t>: El señor Grossi nació el 19 de febrero de 1964. Su DNI es 16842794, su CUIT 20-16842794-9 y su domicilio especial Av. Comandante Luis Piedrabuena 4950, Bariloche. El señor Grossi obtuvo su título de Ingeniero Industrial en la Universidad Nacional del Comahue en el año 1988. Cuenta además con títulos de postgrado. Obtuvo su título MBA en Argentina (2000) y realizó una Maestría en Ciencias de Ingeniería y Gestión en el MIT- Instituto de Tecnología de Massachusetts, EE.UU. (2003).</w:t>
      </w:r>
      <w:r w:rsidR="009D369D">
        <w:rPr>
          <w:rFonts w:ascii="Times New Roman" w:hAnsi="Times New Roman" w:cs="Times New Roman"/>
          <w:color w:val="000000"/>
          <w:spacing w:val="0"/>
          <w:sz w:val="20"/>
          <w:szCs w:val="20"/>
          <w:lang w:val="es-AR" w:eastAsia="en-US"/>
        </w:rPr>
        <w:t xml:space="preserve"> </w:t>
      </w:r>
      <w:r w:rsidRPr="002D5BBB">
        <w:rPr>
          <w:rFonts w:ascii="Times New Roman" w:hAnsi="Times New Roman" w:cs="Times New Roman"/>
          <w:color w:val="000000"/>
          <w:spacing w:val="0"/>
          <w:sz w:val="20"/>
          <w:szCs w:val="20"/>
          <w:lang w:val="es-AR" w:eastAsia="en-US"/>
        </w:rPr>
        <w:t>Su experiencia incluye el desarrollo y gestión de software así como el diseño de sistemas complejos y la gestión de proyectos para la industria aeroespacial. Fue el Director de Proyecto para el desarrollo e implementación del primer satélite geoestacionario de comunicaciones construido en Argentina (ARSAT-1) donde implementó prácticas internacionales exitosas para la provisión de equipos y sistemas. Más recientemente se desempeñó como Director de Programa en la División de Proyectos Aeroespaciales y Gobierno de INVAP, dirigiendo el programa de desarrollo de satélites geoestacionarios ARSAT.</w:t>
      </w:r>
      <w:r w:rsidR="009D369D">
        <w:rPr>
          <w:rFonts w:ascii="Times New Roman" w:hAnsi="Times New Roman" w:cs="Times New Roman"/>
          <w:color w:val="000000"/>
          <w:spacing w:val="0"/>
          <w:sz w:val="20"/>
          <w:szCs w:val="20"/>
          <w:lang w:val="es-AR" w:eastAsia="en-US"/>
        </w:rPr>
        <w:t xml:space="preserve"> </w:t>
      </w:r>
      <w:r w:rsidRPr="002D5BBB">
        <w:rPr>
          <w:rFonts w:ascii="Times New Roman" w:hAnsi="Times New Roman" w:cs="Times New Roman"/>
          <w:color w:val="000000"/>
          <w:spacing w:val="0"/>
          <w:sz w:val="20"/>
          <w:szCs w:val="20"/>
          <w:lang w:val="es-AR" w:eastAsia="en-US"/>
        </w:rPr>
        <w:t xml:space="preserve">El 15/12/2016 fue designado Gerente de Abastecimiento; y desde el 15/08/2018 a la actualidad, en el marco de la Reestructuración Gerencial, se encuentra a cargo de la Gerencia de Abastecimiento y Comercio Internacional. </w:t>
      </w:r>
    </w:p>
    <w:p w14:paraId="434D678B" w14:textId="77777777" w:rsidR="009D369D" w:rsidRPr="002D5BBB" w:rsidRDefault="009D369D" w:rsidP="00512442">
      <w:pPr>
        <w:pStyle w:val="Textoindependiente3"/>
        <w:rPr>
          <w:color w:val="000000"/>
          <w:sz w:val="20"/>
          <w:szCs w:val="20"/>
          <w:lang w:val="es-AR"/>
        </w:rPr>
      </w:pPr>
    </w:p>
    <w:p w14:paraId="5AC64DD8" w14:textId="2DCA0797" w:rsidR="003A2BB9" w:rsidRPr="002D5BBB" w:rsidRDefault="003A2BB9" w:rsidP="003A2BB9">
      <w:pPr>
        <w:spacing w:after="120"/>
        <w:jc w:val="both"/>
        <w:rPr>
          <w:color w:val="000000"/>
          <w:sz w:val="20"/>
          <w:szCs w:val="20"/>
          <w:lang w:val="es-AR"/>
        </w:rPr>
      </w:pPr>
      <w:r w:rsidRPr="00A61C89">
        <w:rPr>
          <w:i/>
          <w:color w:val="000000"/>
          <w:sz w:val="20"/>
          <w:szCs w:val="20"/>
          <w:lang w:val="es-AR"/>
        </w:rPr>
        <w:t>Santiago Pérez Ghiglia</w:t>
      </w:r>
      <w:r w:rsidRPr="002D5BBB">
        <w:rPr>
          <w:color w:val="000000"/>
          <w:sz w:val="20"/>
          <w:szCs w:val="20"/>
          <w:lang w:val="es-AR"/>
        </w:rPr>
        <w:t xml:space="preserve">: </w:t>
      </w:r>
      <w:r w:rsidR="004544C6" w:rsidRPr="00CF46E2">
        <w:rPr>
          <w:color w:val="000000"/>
          <w:sz w:val="20"/>
          <w:szCs w:val="20"/>
          <w:lang w:val="es-AR"/>
        </w:rPr>
        <w:t>El Sr. Ghiglia nació el 25 de septiembre de 1983. Su DNI es 30496058, su CUIT 20-30496058-3 y su domicilio especial Av. Comandante Luis Piedrabuena 4950, Bariloche.</w:t>
      </w:r>
      <w:r w:rsidR="004544C6">
        <w:rPr>
          <w:color w:val="000000"/>
          <w:sz w:val="20"/>
          <w:szCs w:val="20"/>
          <w:lang w:val="es-AR"/>
        </w:rPr>
        <w:t xml:space="preserve"> </w:t>
      </w:r>
      <w:r w:rsidR="004544C6" w:rsidRPr="00CF46E2">
        <w:rPr>
          <w:color w:val="000000"/>
          <w:sz w:val="20"/>
          <w:szCs w:val="20"/>
          <w:lang w:val="es-AR"/>
        </w:rPr>
        <w:t>En el año 2006 obtuvo el título de Ingeniero en Sistemas de la Información, en la Universidad Tecnológica Nacional, Facultad Regional Buenos Aires. En el año 2004 se desempeñó como Desarrollador Java para la compañía IBM. Durante el periodo 2005-2008 fue Líder de desarrollo/Arquitecto Java en la compañía Greenlinetech. En el año 2009 ingresó a INVAP, se desempeñó como L</w:t>
      </w:r>
      <w:r w:rsidR="004544C6">
        <w:rPr>
          <w:color w:val="000000"/>
          <w:sz w:val="20"/>
          <w:szCs w:val="20"/>
          <w:lang w:val="es-AR"/>
        </w:rPr>
        <w:t>í</w:t>
      </w:r>
      <w:r w:rsidR="004544C6" w:rsidRPr="00CF46E2">
        <w:rPr>
          <w:color w:val="000000"/>
          <w:sz w:val="20"/>
          <w:szCs w:val="20"/>
          <w:lang w:val="es-AR"/>
        </w:rPr>
        <w:t>der de grupo y especialista en software embebido de misión crítica (2009-2014), Ingeniero en sistemas de la misión SARE (2014-2016), Ingeniero en sistemas para comercialización internacional del área de negocios espacial (2017-2018) y desde 2018 a la fecha se encuentra a cargo de la Gerencia de Sistemas.</w:t>
      </w:r>
    </w:p>
    <w:p w14:paraId="016DE70C" w14:textId="737D0E89" w:rsidR="003A2BB9" w:rsidRPr="002D5BBB" w:rsidRDefault="003A2BB9" w:rsidP="003A2BB9">
      <w:pPr>
        <w:spacing w:after="120"/>
        <w:jc w:val="both"/>
        <w:rPr>
          <w:color w:val="000000"/>
          <w:sz w:val="20"/>
          <w:szCs w:val="20"/>
          <w:lang w:val="es-AR"/>
        </w:rPr>
      </w:pPr>
      <w:r w:rsidRPr="00A61C89">
        <w:rPr>
          <w:i/>
          <w:color w:val="000000"/>
          <w:sz w:val="20"/>
          <w:szCs w:val="20"/>
          <w:lang w:val="es-AR"/>
        </w:rPr>
        <w:t xml:space="preserve">Tulio </w:t>
      </w:r>
      <w:r w:rsidR="00D43D95">
        <w:rPr>
          <w:i/>
          <w:color w:val="000000"/>
          <w:sz w:val="20"/>
          <w:szCs w:val="20"/>
          <w:lang w:val="es-AR"/>
        </w:rPr>
        <w:t xml:space="preserve">Enrique </w:t>
      </w:r>
      <w:r w:rsidRPr="00A61C89">
        <w:rPr>
          <w:i/>
          <w:color w:val="000000"/>
          <w:sz w:val="20"/>
          <w:szCs w:val="20"/>
          <w:lang w:val="es-AR"/>
        </w:rPr>
        <w:t>Calderón</w:t>
      </w:r>
      <w:r w:rsidRPr="002D5BBB">
        <w:rPr>
          <w:color w:val="000000"/>
          <w:sz w:val="20"/>
          <w:szCs w:val="20"/>
          <w:lang w:val="es-AR"/>
        </w:rPr>
        <w:t>: El señor Calderón nació el 3 de octubre de 1958. Su DNI es 12821866, su CUIT 20-12821866-2 y su domicilio especial Av. Comandante Luis Piedrabuena 4950, Bariloche. El señor Calderón es Ingeniero Nuclear, título que obtuvo en el Instituto Balseiro en al año 1983. En el año 2000 obtuvo un Master en Management en la Universidad de Stanford, Palo Alto, California, EE.UU.</w:t>
      </w:r>
      <w:r w:rsidR="00D43D95">
        <w:rPr>
          <w:color w:val="000000"/>
          <w:sz w:val="20"/>
          <w:szCs w:val="20"/>
          <w:lang w:val="es-AR"/>
        </w:rPr>
        <w:t xml:space="preserve"> </w:t>
      </w:r>
      <w:r w:rsidRPr="002D5BBB">
        <w:rPr>
          <w:color w:val="000000"/>
          <w:sz w:val="20"/>
          <w:szCs w:val="20"/>
          <w:lang w:val="es-AR"/>
        </w:rPr>
        <w:t>Académicamente, el Sr. Calderón ha ocupado cargos como Profesor de Ingeniería de Sistemas, Diseño y Tecnología y Director de Tesis en Universidades Argentinas y ha realizado servicios de consultoría a agencias privadas y públicas.</w:t>
      </w:r>
      <w:r w:rsidR="00D43D95">
        <w:rPr>
          <w:color w:val="000000"/>
          <w:sz w:val="20"/>
          <w:szCs w:val="20"/>
          <w:lang w:val="es-AR"/>
        </w:rPr>
        <w:t xml:space="preserve"> </w:t>
      </w:r>
      <w:r w:rsidRPr="002D5BBB">
        <w:rPr>
          <w:color w:val="000000"/>
          <w:sz w:val="20"/>
          <w:szCs w:val="20"/>
          <w:lang w:val="es-AR"/>
        </w:rPr>
        <w:t>Se desempeñó como experto técnico de la Agencia Internacional de Energía Atómica (Viena, Austria) y en puestos de asesoramiento en las universidades de Cuyo, Comahue, Córdoba, la Universidad de Stanford y en los Centros de Innovación para el emprendimiento.</w:t>
      </w:r>
      <w:r w:rsidR="00D43D95">
        <w:rPr>
          <w:color w:val="000000"/>
          <w:sz w:val="20"/>
          <w:szCs w:val="20"/>
          <w:lang w:val="es-AR"/>
        </w:rPr>
        <w:t xml:space="preserve"> </w:t>
      </w:r>
      <w:r w:rsidRPr="002D5BBB">
        <w:rPr>
          <w:color w:val="000000"/>
          <w:sz w:val="20"/>
          <w:szCs w:val="20"/>
          <w:lang w:val="es-AR"/>
        </w:rPr>
        <w:t>En 2012 y en 2013, recibió el "Premio Líder de Telecomunicaciones" del Grupo Convergencia (Buenos Aires, Argentina) por Liderazgo de Proyectos en los satélites geoestacionarios ARSAT-1 y ARSAT-2 y el Centro de Pruebas Ambientales de Alta Tecnología (CEATSA).Desde que el señor Calderón se unió a INVAP en 1983, ha estado involucrado en diferentes áreas de la compañía, como Nuclear, Aeroespacial y Desarrollo de Negocios. Siendo su participación relevante en numerosos Proyectos, algunos de ellos son: Reactor multipropósito argentino RA-10; Ingeniería para planta de procesamiento de residuos radiactivos; Servicios para la central nuclear Atucha II; Servicios de consultoría para el diseño de la central nuclear CAREM 25; RMB, Brasil Reactor de investigación nuclear multipropósito; Licitación del reactor PALLAS para el diseño y construcción de un reactor de clase mundial de 80 MW para pruebas de materiales y producción de radioisótopos, Centro Nuclear Petten, Países Bajos; ARSAT-1; Proyectos SAC-A/B/C/D; SAOCOM; SINARAME, etc.</w:t>
      </w:r>
      <w:r w:rsidR="00D43D95">
        <w:rPr>
          <w:color w:val="000000"/>
          <w:sz w:val="20"/>
          <w:szCs w:val="20"/>
          <w:lang w:val="es-AR"/>
        </w:rPr>
        <w:t xml:space="preserve"> </w:t>
      </w:r>
      <w:r w:rsidRPr="002D5BBB">
        <w:rPr>
          <w:color w:val="000000"/>
          <w:sz w:val="20"/>
          <w:szCs w:val="20"/>
          <w:lang w:val="es-AR"/>
        </w:rPr>
        <w:t>Desde el año 2017 a la fecha se encuentra a cargo de la Gerencia de Negocios Nucleares.</w:t>
      </w:r>
    </w:p>
    <w:p w14:paraId="4A76440F" w14:textId="7F1F4348" w:rsidR="003A2BB9" w:rsidRPr="002D5BBB" w:rsidRDefault="003A2BB9" w:rsidP="003A2BB9">
      <w:pPr>
        <w:spacing w:after="120"/>
        <w:jc w:val="both"/>
        <w:rPr>
          <w:color w:val="000000"/>
          <w:sz w:val="20"/>
          <w:szCs w:val="20"/>
          <w:lang w:val="es-AR"/>
        </w:rPr>
      </w:pPr>
      <w:r w:rsidRPr="00A61C89">
        <w:rPr>
          <w:i/>
          <w:color w:val="000000"/>
          <w:sz w:val="20"/>
          <w:szCs w:val="20"/>
          <w:lang w:val="es-AR"/>
        </w:rPr>
        <w:t>Darío Sergio Giussi</w:t>
      </w:r>
      <w:r w:rsidRPr="002D5BBB">
        <w:rPr>
          <w:color w:val="000000"/>
          <w:sz w:val="20"/>
          <w:szCs w:val="20"/>
          <w:lang w:val="es-AR"/>
        </w:rPr>
        <w:t>: El Sr. Giussi nació el 11 de diciembre de 1968. Su DNI es 20750640, su CUIT 20-20750640-1 y su domicilio especial Av. Comandante Luis Piedrabuena 4950, Bariloche. Es Ingeniero en Electrónica egresado de la Universidad Nacional de La Plata. Ha trabajado como Diseñador, Ingeniero de Sistemas, Jefe de Proyectos y Director de Proyectos de Desarrollo en INVAP SE, en las Áreas Aeroespacial y de Defensa y Seguridad, con especial énfasis en sistema de sensores Radar. Participa desde sus inicios en los desarrollos de radares civiles y militares que INVAP ha concretado para el Gobierno Nacional, particularmente en el Plan de Radarización para la Sistema de Vigilancia y Control Aeroespacial. Desde octubre de 2017 tiene a cargo la Gerencia de Gobierno de INVAP SE.</w:t>
      </w:r>
    </w:p>
    <w:p w14:paraId="744A9A87" w14:textId="77777777" w:rsidR="003A2BB9" w:rsidRPr="002D5BBB" w:rsidRDefault="003A2BB9" w:rsidP="003A2BB9">
      <w:pPr>
        <w:spacing w:after="120"/>
        <w:jc w:val="both"/>
        <w:rPr>
          <w:color w:val="000000"/>
          <w:sz w:val="20"/>
          <w:szCs w:val="20"/>
          <w:lang w:val="es-AR"/>
        </w:rPr>
      </w:pPr>
      <w:r w:rsidRPr="00A61C89">
        <w:rPr>
          <w:i/>
          <w:color w:val="000000"/>
          <w:sz w:val="20"/>
          <w:szCs w:val="20"/>
          <w:lang w:val="es-AR"/>
        </w:rPr>
        <w:t>Gabriel Cristian Absi</w:t>
      </w:r>
      <w:r w:rsidRPr="002D5BBB">
        <w:rPr>
          <w:color w:val="000000"/>
          <w:sz w:val="20"/>
          <w:szCs w:val="20"/>
          <w:lang w:val="es-AR"/>
        </w:rPr>
        <w:t>: El Sr. Absi nació el 30 de noviembre de 1971. Su DNI es 22344319, su CUIT 20-22344319-3 y su domicilio especial Av. Comandante Luis Piedrabuena 4950, Bariloche. Obtuvo en 1997 el título de Ingeniero en Electrónica en la Universidad Tecnológica Nacional. Trabaja en INVAP desde el 23 de mayo de 1997. Del 2009 al 2013 se desempeñó como Responsable de Subsistema de AOCS para el Amazonia-1. Del 2009 al 2011, como Responsable del grupo de hardware de AOCS para el ARSAT-1 y ARSAT-2 y del 2007 al 2010 como Coordinador de la campaña de test subsistema de AOCS (SAC-D). En el 2006 se desempeñó como coordinador en campaña de ensayos ambientales a la óptica del Star Tracker y en el diseño de la electrónica del Control de Actitud (SAC-D). A la fecha se desempeña como Jefe de Proyecto del satélite SABIA-Mar, Jefe de Proyecto del SNCS (Sistema de Navegación Control y Supervisión) del Satélite Amazonia-1 y como Jefe del Servicio de Guiado y Control de la Gerencia Aeroespacial y Gobierno. Es director de INVAP desde el 7 de febrero de 2014. El 05/04/2017 fue designado como Gerente de Negocios Espaciales, cargo que ocupa en la actualidad.</w:t>
      </w:r>
    </w:p>
    <w:p w14:paraId="2C6384BE" w14:textId="77777777" w:rsidR="003A2BB9" w:rsidRPr="002D5BBB" w:rsidRDefault="003A2BB9" w:rsidP="003A2BB9">
      <w:pPr>
        <w:spacing w:after="120"/>
        <w:jc w:val="both"/>
        <w:rPr>
          <w:color w:val="000000"/>
          <w:sz w:val="20"/>
          <w:szCs w:val="20"/>
          <w:lang w:val="es-AR"/>
        </w:rPr>
      </w:pPr>
      <w:r w:rsidRPr="00A61C89">
        <w:rPr>
          <w:i/>
          <w:color w:val="000000"/>
          <w:sz w:val="20"/>
          <w:szCs w:val="20"/>
          <w:lang w:val="es-AR"/>
        </w:rPr>
        <w:t>Juan Carlos Horacio Rodríguez</w:t>
      </w:r>
      <w:r w:rsidRPr="002D5BBB">
        <w:rPr>
          <w:color w:val="000000"/>
          <w:sz w:val="20"/>
          <w:szCs w:val="20"/>
          <w:lang w:val="es-AR"/>
        </w:rPr>
        <w:t>: El Sr. Rodríguez nació el 26 de enero de 1957. Su DNI es 13137335, su CUIT 20-13137335-0 y su domicilio especial Av. Comandante Luis Piedrabuena 4950, Bariloche. En 1981 obtuvo el título de Ingeniero Aeronáutico, en la Universidad Tecnológica Nacional Reg. Haedo. Ha realizado un curso de post grado en Ingeniería para la Dirección y Administración de Empresas, en la Facultad de Ingeniería de la UBA. Entre 1986 y 1991, se desempeñó como Jefe de la división FAEME. Entre 1992 y 1997 trabajó como Jefe de Planta de Equipos de Radioterapia. Entre 1997 y 2014, trabajó como Jefe de la División de Equipos Médicos. Desde mayo de 2014 se desempeña en la Gerencia de Negocios S.I.T. (Servicios de Integración Tecnológica), como Gerente del Área.</w:t>
      </w:r>
    </w:p>
    <w:p w14:paraId="67BFF74E" w14:textId="77777777" w:rsidR="003A2BB9" w:rsidRPr="002D5BBB" w:rsidRDefault="003A2BB9" w:rsidP="003A2BB9">
      <w:pPr>
        <w:spacing w:after="120"/>
        <w:jc w:val="both"/>
        <w:rPr>
          <w:color w:val="000000"/>
          <w:sz w:val="20"/>
          <w:szCs w:val="20"/>
          <w:lang w:val="es-AR"/>
        </w:rPr>
      </w:pPr>
      <w:r w:rsidRPr="00A61C89">
        <w:rPr>
          <w:i/>
          <w:color w:val="000000"/>
          <w:sz w:val="20"/>
          <w:szCs w:val="20"/>
          <w:lang w:val="es-AR"/>
        </w:rPr>
        <w:t>Guillermo David Benito</w:t>
      </w:r>
      <w:r w:rsidRPr="002D5BBB">
        <w:rPr>
          <w:color w:val="000000"/>
          <w:sz w:val="20"/>
          <w:szCs w:val="20"/>
          <w:lang w:val="es-AR"/>
        </w:rPr>
        <w:t>: El Sr. Benito nació el 29 de enero de 1961. Su DNI es 13971672, su CUIT 20-13971672-9 y su domicilio especial Av. Comandante Luis Piedrabuena 4950, Bariloche. En 1986 obtuvo el título de Ingeniero Nuclear del Instituto Balseiro. De 1986 a 1988 realizó el análisis sísmico de componentes del reactor nuclear "NUR" (Argelia). De 1986 a 1990 realizó el diseño de un contenedor para transporte de hasta 350.000 Ci de Co60 (GURI 01). De 1988 a 1992 realizó la simulación numérica del proceso de enriquecimiento de Uranio mediante difusión gaseosa (desde procesos de membrana hasta la evaluación económica de la planta). De 1992 a 1995 se desempeñó como responsable del subsistema de control térmico del satélite SAC-B. De 1994 a 1997 como Responsable de la evaluación sísmica del reactor nuclear MPR (Egipto). De 1995 a 1999 Diseño y ensayo térmico de la cámara MMRS (Carga útil del SAC-C). De 1999 a 2003, Simulación SAR e integrante del grupo de sistema para el satélite SAOCOM. De 1997 a 2006, Jefe del servicio tecnológico de Modelística. De 2006 a 2008 Subgerente de Servicios Tecnológicos en la Gerencia de Proyectos Aeroespaciales y de Gobierno. De 2008 a 2012, como Jefe de Proyecto SNCS (Computadora de a bordo para la misión Amazonia 1 de Brasil). De 2012 a 2014 como Responsable de Cuenta (clientes) de Satélites de Órbita Baja. Entre el año 2014 y el año 2017 se desempeñó como Gerente del área de Proyectos Espaciales. Desde el 05/04/2017 a la actualidad, se encuentra a cargo de la Gerencia de Integración de Gestión.</w:t>
      </w:r>
    </w:p>
    <w:p w14:paraId="432BFC04" w14:textId="3CAD5D13" w:rsidR="003A2BB9" w:rsidRPr="00A61C89" w:rsidRDefault="003A2BB9" w:rsidP="00A61C89">
      <w:pPr>
        <w:spacing w:after="120"/>
        <w:jc w:val="both"/>
        <w:rPr>
          <w:color w:val="000000"/>
          <w:sz w:val="20"/>
          <w:szCs w:val="20"/>
          <w:lang w:val="es-AR"/>
        </w:rPr>
      </w:pPr>
      <w:r w:rsidRPr="00A61C89">
        <w:rPr>
          <w:i/>
          <w:color w:val="000000"/>
          <w:sz w:val="20"/>
          <w:szCs w:val="20"/>
          <w:lang w:val="es-AR"/>
        </w:rPr>
        <w:t>Hugo Jaufmann</w:t>
      </w:r>
      <w:r w:rsidRPr="002D5BBB">
        <w:rPr>
          <w:color w:val="000000"/>
          <w:sz w:val="20"/>
          <w:szCs w:val="20"/>
          <w:lang w:val="es-AR"/>
        </w:rPr>
        <w:t xml:space="preserve">: </w:t>
      </w:r>
      <w:r w:rsidR="004544C6" w:rsidRPr="00CF46E2">
        <w:rPr>
          <w:color w:val="000000"/>
          <w:sz w:val="20"/>
          <w:szCs w:val="20"/>
          <w:lang w:val="es-AR"/>
        </w:rPr>
        <w:t>El Sr. Jaufmann nació el 13 de enero de 1958. Su DNI es 11846456, su CUIT 20-11846456-8 y su domicilio especial Av. Comandante Luis Piedrabuena 4950, Bariloche. En 1986 obtuvo el Título de Ingeniero Industrial (Mecánico) en la Universidad Nacional del Comahue. Desde el año 1987 trabaja en INVAP, se ha desempeñado en numerosos campos de trabajo tales como, Ingeniería Mecánica de Radares, Ingeniería Mecánica Industrial e Ingeniería Mecánica Satelital. Durante el periodo 2014-2018 estuvo a cargo de la Jefatura de Servicios Tecnológicos en la Gerencia Espacial y Gobierno. Desde el 2018 y a la fecha se encuentra a cargo de la Gerencia de Ingeniería y Producción.</w:t>
      </w:r>
    </w:p>
    <w:p w14:paraId="0070F68C" w14:textId="77777777" w:rsidR="001F22C6" w:rsidRPr="007213A1" w:rsidRDefault="001F22C6" w:rsidP="001F22C6">
      <w:pPr>
        <w:widowControl w:val="0"/>
        <w:suppressLineNumbers/>
        <w:suppressAutoHyphens/>
        <w:jc w:val="both"/>
        <w:rPr>
          <w:b/>
          <w:sz w:val="20"/>
          <w:szCs w:val="20"/>
          <w:lang w:val="es-ES" w:eastAsia="es-ES"/>
        </w:rPr>
      </w:pPr>
    </w:p>
    <w:p w14:paraId="3F7EA526" w14:textId="62025E1F" w:rsidR="001F22C6" w:rsidRPr="007213A1" w:rsidRDefault="001F22C6" w:rsidP="001F22C6">
      <w:pPr>
        <w:jc w:val="both"/>
        <w:rPr>
          <w:bCs/>
          <w:sz w:val="20"/>
          <w:szCs w:val="20"/>
          <w:lang w:val="es-ES"/>
        </w:rPr>
      </w:pPr>
      <w:r w:rsidRPr="007213A1">
        <w:rPr>
          <w:b/>
          <w:sz w:val="20"/>
          <w:szCs w:val="20"/>
          <w:lang w:val="es-ES"/>
        </w:rPr>
        <w:t>b) Remuneración</w:t>
      </w:r>
      <w:r w:rsidR="009D369D" w:rsidRPr="007213A1">
        <w:rPr>
          <w:sz w:val="20"/>
          <w:szCs w:val="20"/>
          <w:vertAlign w:val="superscript"/>
          <w:lang w:val="es-MX"/>
        </w:rPr>
        <w:t>(*)</w:t>
      </w:r>
    </w:p>
    <w:p w14:paraId="23F767D8" w14:textId="77777777" w:rsidR="001F22C6" w:rsidRPr="004C2CEC" w:rsidRDefault="001F22C6" w:rsidP="001F22C6">
      <w:pPr>
        <w:jc w:val="both"/>
        <w:rPr>
          <w:sz w:val="20"/>
          <w:lang w:val="es-MX"/>
        </w:rPr>
      </w:pPr>
    </w:p>
    <w:p w14:paraId="655797EB" w14:textId="6108AB47" w:rsidR="001F22C6" w:rsidRDefault="001F22C6" w:rsidP="001F22C6">
      <w:pPr>
        <w:jc w:val="both"/>
        <w:rPr>
          <w:sz w:val="20"/>
          <w:szCs w:val="20"/>
          <w:lang w:val="es-MX"/>
        </w:rPr>
      </w:pPr>
      <w:r w:rsidRPr="007213A1">
        <w:rPr>
          <w:sz w:val="20"/>
          <w:szCs w:val="20"/>
          <w:lang w:val="es-MX"/>
        </w:rPr>
        <w:t>El monto total de remuneraciones pagadas por la Emisora a</w:t>
      </w:r>
      <w:r w:rsidR="00203621">
        <w:rPr>
          <w:sz w:val="20"/>
          <w:szCs w:val="20"/>
          <w:lang w:val="es-MX"/>
        </w:rPr>
        <w:t xml:space="preserve"> Directores y </w:t>
      </w:r>
      <w:r w:rsidR="004544C6">
        <w:rPr>
          <w:sz w:val="20"/>
          <w:szCs w:val="20"/>
          <w:lang w:val="es-MX"/>
        </w:rPr>
        <w:t>miembros de la Comisión Fiscalizadora</w:t>
      </w:r>
      <w:r w:rsidR="004544C6" w:rsidRPr="007213A1">
        <w:rPr>
          <w:sz w:val="20"/>
          <w:szCs w:val="20"/>
          <w:lang w:val="es-MX"/>
        </w:rPr>
        <w:t xml:space="preserve"> </w:t>
      </w:r>
      <w:r w:rsidRPr="007213A1">
        <w:rPr>
          <w:sz w:val="20"/>
          <w:szCs w:val="20"/>
          <w:lang w:val="es-MX"/>
        </w:rPr>
        <w:t xml:space="preserve">durante el ejercicio finalizado el 30 de </w:t>
      </w:r>
      <w:r w:rsidR="00203621">
        <w:rPr>
          <w:sz w:val="20"/>
          <w:szCs w:val="20"/>
          <w:lang w:val="es-MX"/>
        </w:rPr>
        <w:t>junio</w:t>
      </w:r>
      <w:r w:rsidRPr="007213A1">
        <w:rPr>
          <w:sz w:val="20"/>
          <w:szCs w:val="20"/>
          <w:lang w:val="es-MX"/>
        </w:rPr>
        <w:t xml:space="preserve"> de 201</w:t>
      </w:r>
      <w:r w:rsidR="00203621">
        <w:rPr>
          <w:sz w:val="20"/>
          <w:szCs w:val="20"/>
          <w:lang w:val="es-MX"/>
        </w:rPr>
        <w:t>9</w:t>
      </w:r>
      <w:r w:rsidRPr="007213A1">
        <w:rPr>
          <w:sz w:val="20"/>
          <w:szCs w:val="20"/>
          <w:lang w:val="es-MX"/>
        </w:rPr>
        <w:t xml:space="preserve"> ascendió a $</w:t>
      </w:r>
      <w:r w:rsidR="003A2BB9">
        <w:rPr>
          <w:sz w:val="20"/>
          <w:szCs w:val="20"/>
          <w:lang w:val="es-MX"/>
        </w:rPr>
        <w:t>990.919</w:t>
      </w:r>
      <w:r w:rsidR="00A2503F">
        <w:rPr>
          <w:sz w:val="20"/>
          <w:szCs w:val="20"/>
          <w:lang w:val="es-MX"/>
        </w:rPr>
        <w:t xml:space="preserve"> </w:t>
      </w:r>
      <w:r w:rsidR="00203621">
        <w:rPr>
          <w:sz w:val="20"/>
          <w:szCs w:val="20"/>
          <w:lang w:val="es-MX"/>
        </w:rPr>
        <w:t>y $</w:t>
      </w:r>
      <w:r w:rsidRPr="007213A1">
        <w:rPr>
          <w:sz w:val="20"/>
          <w:szCs w:val="20"/>
          <w:lang w:val="es-MX"/>
        </w:rPr>
        <w:t xml:space="preserve"> </w:t>
      </w:r>
      <w:r w:rsidR="00AA3F9A">
        <w:rPr>
          <w:bCs/>
          <w:iCs/>
          <w:color w:val="000000"/>
          <w:sz w:val="20"/>
          <w:szCs w:val="20"/>
          <w:lang w:val="es-ES"/>
        </w:rPr>
        <w:t>848.914</w:t>
      </w:r>
      <w:r w:rsidR="003A2BB9">
        <w:rPr>
          <w:bCs/>
          <w:iCs/>
          <w:color w:val="000000"/>
          <w:sz w:val="20"/>
          <w:szCs w:val="20"/>
          <w:lang w:val="es-ES"/>
        </w:rPr>
        <w:t xml:space="preserve">, </w:t>
      </w:r>
      <w:r w:rsidR="00203621">
        <w:rPr>
          <w:bCs/>
          <w:iCs/>
          <w:color w:val="000000"/>
          <w:sz w:val="20"/>
          <w:szCs w:val="20"/>
          <w:lang w:val="es-ES"/>
        </w:rPr>
        <w:t>respectivamente</w:t>
      </w:r>
      <w:r w:rsidRPr="007213A1">
        <w:rPr>
          <w:sz w:val="20"/>
          <w:szCs w:val="20"/>
          <w:lang w:val="es-MX"/>
        </w:rPr>
        <w:t xml:space="preserve">. </w:t>
      </w:r>
    </w:p>
    <w:p w14:paraId="0CCA3748" w14:textId="77777777" w:rsidR="00203621" w:rsidRPr="007213A1" w:rsidRDefault="00203621" w:rsidP="001F22C6">
      <w:pPr>
        <w:jc w:val="both"/>
        <w:rPr>
          <w:sz w:val="20"/>
          <w:szCs w:val="20"/>
          <w:lang w:val="es-MX"/>
        </w:rPr>
      </w:pPr>
    </w:p>
    <w:p w14:paraId="6C6BF307" w14:textId="77777777" w:rsidR="001F22C6" w:rsidRPr="00112B9F" w:rsidRDefault="001F22C6" w:rsidP="001F22C6">
      <w:pPr>
        <w:jc w:val="both"/>
        <w:rPr>
          <w:i/>
          <w:iCs/>
          <w:sz w:val="20"/>
          <w:szCs w:val="20"/>
          <w:lang w:val="es-MX"/>
        </w:rPr>
      </w:pPr>
      <w:r w:rsidRPr="00112B9F">
        <w:rPr>
          <w:sz w:val="20"/>
          <w:szCs w:val="20"/>
          <w:vertAlign w:val="superscript"/>
          <w:lang w:val="es-MX"/>
        </w:rPr>
        <w:t xml:space="preserve">(*) </w:t>
      </w:r>
      <w:r w:rsidRPr="00112B9F">
        <w:rPr>
          <w:i/>
          <w:iCs/>
          <w:sz w:val="20"/>
          <w:szCs w:val="20"/>
          <w:lang w:val="es-MX"/>
        </w:rPr>
        <w:t>Corresponde a información interna de la Sociedad.</w:t>
      </w:r>
    </w:p>
    <w:p w14:paraId="04573986" w14:textId="77777777" w:rsidR="001F22C6" w:rsidRPr="007213A1" w:rsidRDefault="001F22C6" w:rsidP="001F22C6">
      <w:pPr>
        <w:widowControl w:val="0"/>
        <w:suppressLineNumbers/>
        <w:suppressAutoHyphens/>
        <w:jc w:val="both"/>
        <w:rPr>
          <w:b/>
          <w:sz w:val="20"/>
          <w:szCs w:val="20"/>
          <w:lang w:val="es-MX" w:eastAsia="es-ES"/>
        </w:rPr>
      </w:pPr>
    </w:p>
    <w:p w14:paraId="21468566" w14:textId="77777777" w:rsidR="001F22C6" w:rsidRPr="007213A1" w:rsidRDefault="001F22C6" w:rsidP="001F22C6">
      <w:pPr>
        <w:jc w:val="both"/>
        <w:rPr>
          <w:bCs/>
          <w:sz w:val="20"/>
          <w:szCs w:val="20"/>
          <w:lang w:val="es-MX"/>
        </w:rPr>
      </w:pPr>
      <w:r w:rsidRPr="007213A1">
        <w:rPr>
          <w:b/>
          <w:sz w:val="20"/>
          <w:szCs w:val="20"/>
          <w:lang w:val="es-MX"/>
        </w:rPr>
        <w:t>c) Información sobre participaciones accionarias</w:t>
      </w:r>
    </w:p>
    <w:p w14:paraId="29786AFB" w14:textId="77777777" w:rsidR="001F22C6" w:rsidRPr="007213A1" w:rsidRDefault="001F22C6" w:rsidP="001F22C6">
      <w:pPr>
        <w:jc w:val="both"/>
        <w:rPr>
          <w:bCs/>
          <w:sz w:val="20"/>
          <w:szCs w:val="20"/>
          <w:lang w:val="es-MX"/>
        </w:rPr>
      </w:pPr>
    </w:p>
    <w:p w14:paraId="0BACD942" w14:textId="0D3A5410" w:rsidR="001F22C6" w:rsidRPr="007213A1" w:rsidRDefault="001F22C6" w:rsidP="001F22C6">
      <w:pPr>
        <w:widowControl w:val="0"/>
        <w:suppressLineNumbers/>
        <w:suppressAutoHyphens/>
        <w:jc w:val="both"/>
        <w:rPr>
          <w:bCs/>
          <w:sz w:val="20"/>
          <w:szCs w:val="20"/>
          <w:lang w:val="es-MX" w:eastAsia="es-ES"/>
        </w:rPr>
      </w:pPr>
      <w:r w:rsidRPr="007213A1">
        <w:rPr>
          <w:bCs/>
          <w:sz w:val="20"/>
          <w:szCs w:val="20"/>
          <w:lang w:val="es-MX" w:eastAsia="es-ES"/>
        </w:rPr>
        <w:t>Los directores no poseen participaciones accionarias en la Sociedad</w:t>
      </w:r>
    </w:p>
    <w:p w14:paraId="011763B1" w14:textId="77777777" w:rsidR="001F22C6" w:rsidRPr="007213A1" w:rsidRDefault="001F22C6" w:rsidP="001F22C6">
      <w:pPr>
        <w:widowControl w:val="0"/>
        <w:suppressLineNumbers/>
        <w:suppressAutoHyphens/>
        <w:jc w:val="both"/>
        <w:rPr>
          <w:bCs/>
          <w:sz w:val="20"/>
          <w:szCs w:val="20"/>
          <w:lang w:val="es-MX" w:eastAsia="es-ES"/>
        </w:rPr>
      </w:pPr>
    </w:p>
    <w:p w14:paraId="79581EF1" w14:textId="77777777" w:rsidR="001F22C6" w:rsidRPr="007213A1" w:rsidRDefault="001F22C6" w:rsidP="001F22C6">
      <w:pPr>
        <w:jc w:val="both"/>
        <w:rPr>
          <w:b/>
          <w:sz w:val="20"/>
          <w:szCs w:val="20"/>
          <w:lang w:val="es-MX"/>
        </w:rPr>
      </w:pPr>
      <w:r w:rsidRPr="007213A1">
        <w:rPr>
          <w:b/>
          <w:bCs/>
          <w:sz w:val="20"/>
          <w:szCs w:val="20"/>
          <w:lang w:val="es-ES"/>
        </w:rPr>
        <w:t xml:space="preserve">d) </w:t>
      </w:r>
      <w:r w:rsidRPr="007213A1">
        <w:rPr>
          <w:b/>
          <w:sz w:val="20"/>
          <w:szCs w:val="20"/>
          <w:lang w:val="es-MX"/>
        </w:rPr>
        <w:t>Otra información relativa al Directorio y a la Comisión Fiscalizadora</w:t>
      </w:r>
    </w:p>
    <w:p w14:paraId="4E216A1D" w14:textId="2701EBDF" w:rsidR="0009026C" w:rsidRDefault="0009026C" w:rsidP="004C2CEC">
      <w:pPr>
        <w:widowControl w:val="0"/>
        <w:suppressLineNumbers/>
        <w:suppressAutoHyphens/>
        <w:jc w:val="both"/>
        <w:rPr>
          <w:bCs/>
          <w:sz w:val="20"/>
          <w:szCs w:val="20"/>
          <w:lang w:val="es-ES"/>
        </w:rPr>
      </w:pPr>
    </w:p>
    <w:p w14:paraId="7FC52571" w14:textId="1FA38FF6" w:rsidR="0009026C" w:rsidRDefault="0009026C" w:rsidP="0009026C">
      <w:pPr>
        <w:widowControl w:val="0"/>
        <w:suppressLineNumbers/>
        <w:suppressAutoHyphens/>
        <w:jc w:val="both"/>
        <w:rPr>
          <w:color w:val="000000"/>
          <w:sz w:val="20"/>
          <w:szCs w:val="20"/>
          <w:lang w:val="es-AR"/>
        </w:rPr>
      </w:pPr>
      <w:r w:rsidRPr="00F53A1B">
        <w:rPr>
          <w:color w:val="000000"/>
          <w:sz w:val="20"/>
          <w:szCs w:val="20"/>
          <w:lang w:val="es-AR"/>
        </w:rPr>
        <w:t xml:space="preserve">Los Directores </w:t>
      </w:r>
      <w:r>
        <w:rPr>
          <w:color w:val="000000"/>
          <w:sz w:val="20"/>
          <w:szCs w:val="20"/>
          <w:lang w:val="es-AR"/>
        </w:rPr>
        <w:t>Otheguy, Albani</w:t>
      </w:r>
      <w:r w:rsidR="00542C47">
        <w:rPr>
          <w:color w:val="000000"/>
          <w:sz w:val="20"/>
          <w:szCs w:val="20"/>
          <w:lang w:val="es-AR"/>
        </w:rPr>
        <w:t xml:space="preserve">, </w:t>
      </w:r>
      <w:r>
        <w:rPr>
          <w:color w:val="000000"/>
          <w:sz w:val="20"/>
          <w:szCs w:val="20"/>
          <w:lang w:val="es-AR"/>
        </w:rPr>
        <w:t>Tognetti</w:t>
      </w:r>
      <w:r w:rsidR="00542C47">
        <w:rPr>
          <w:color w:val="000000"/>
          <w:sz w:val="20"/>
          <w:szCs w:val="20"/>
          <w:lang w:val="es-AR"/>
        </w:rPr>
        <w:t xml:space="preserve"> y oportunamente Osvaldo Calzetta Larrieu</w:t>
      </w:r>
      <w:r>
        <w:rPr>
          <w:color w:val="000000"/>
          <w:sz w:val="20"/>
          <w:szCs w:val="20"/>
          <w:lang w:val="es-AR"/>
        </w:rPr>
        <w:t>, han renunciado a sus honorarios en carácter de director</w:t>
      </w:r>
      <w:r w:rsidR="00554317">
        <w:rPr>
          <w:color w:val="000000"/>
          <w:sz w:val="20"/>
          <w:szCs w:val="20"/>
          <w:lang w:val="es-AR"/>
        </w:rPr>
        <w:t>es</w:t>
      </w:r>
      <w:r>
        <w:rPr>
          <w:color w:val="000000"/>
          <w:sz w:val="20"/>
          <w:szCs w:val="20"/>
          <w:lang w:val="es-AR"/>
        </w:rPr>
        <w:t xml:space="preserve"> y mantienen con la empresa contratos por prestación de servicios profesionales en virtud de las prestaciones del trabajo que realizan para la empresa.</w:t>
      </w:r>
    </w:p>
    <w:p w14:paraId="0AB875F6" w14:textId="77777777" w:rsidR="00D43D95" w:rsidRDefault="00D43D95" w:rsidP="0009026C">
      <w:pPr>
        <w:widowControl w:val="0"/>
        <w:suppressLineNumbers/>
        <w:suppressAutoHyphens/>
        <w:jc w:val="both"/>
        <w:rPr>
          <w:color w:val="000000"/>
          <w:sz w:val="20"/>
          <w:szCs w:val="20"/>
          <w:lang w:val="es-AR"/>
        </w:rPr>
      </w:pPr>
    </w:p>
    <w:p w14:paraId="493A5AEF" w14:textId="77777777" w:rsidR="0009026C" w:rsidRPr="00F53A1B" w:rsidRDefault="0009026C" w:rsidP="0009026C">
      <w:pPr>
        <w:widowControl w:val="0"/>
        <w:suppressLineNumbers/>
        <w:suppressAutoHyphens/>
        <w:jc w:val="both"/>
        <w:rPr>
          <w:color w:val="000000"/>
          <w:sz w:val="20"/>
          <w:szCs w:val="20"/>
          <w:lang w:val="es-AR"/>
        </w:rPr>
      </w:pPr>
      <w:r>
        <w:rPr>
          <w:color w:val="000000"/>
          <w:sz w:val="20"/>
          <w:szCs w:val="20"/>
          <w:lang w:val="es-AR"/>
        </w:rPr>
        <w:t>El Director Brendstrup ha renunciado a sus honorarios en carácter de director y mantiene remuneración en virtud de la relación de dependencia.</w:t>
      </w:r>
    </w:p>
    <w:p w14:paraId="13CEC351" w14:textId="77777777" w:rsidR="001F22C6" w:rsidRPr="004C2CEC" w:rsidRDefault="001F22C6" w:rsidP="001F22C6">
      <w:pPr>
        <w:widowControl w:val="0"/>
        <w:suppressLineNumbers/>
        <w:suppressAutoHyphens/>
        <w:jc w:val="both"/>
        <w:rPr>
          <w:sz w:val="20"/>
          <w:lang w:val="es-ES"/>
        </w:rPr>
      </w:pPr>
    </w:p>
    <w:p w14:paraId="7E27AB80" w14:textId="77777777" w:rsidR="001F22C6" w:rsidRPr="007213A1" w:rsidRDefault="001F22C6" w:rsidP="001F22C6">
      <w:pPr>
        <w:widowControl w:val="0"/>
        <w:suppressLineNumbers/>
        <w:suppressAutoHyphens/>
        <w:jc w:val="both"/>
        <w:rPr>
          <w:b/>
          <w:i/>
          <w:iCs/>
          <w:sz w:val="20"/>
          <w:szCs w:val="20"/>
          <w:lang w:val="es-ES"/>
        </w:rPr>
      </w:pPr>
      <w:r w:rsidRPr="007213A1">
        <w:rPr>
          <w:b/>
          <w:i/>
          <w:iCs/>
          <w:sz w:val="20"/>
          <w:szCs w:val="20"/>
          <w:lang w:val="es-ES"/>
        </w:rPr>
        <w:t>Comisión Fiscalizadora</w:t>
      </w:r>
    </w:p>
    <w:p w14:paraId="52EB4CBA" w14:textId="77777777" w:rsidR="001F22C6" w:rsidRPr="007213A1" w:rsidRDefault="001F22C6" w:rsidP="001F22C6">
      <w:pPr>
        <w:pStyle w:val="Text"/>
        <w:widowControl w:val="0"/>
        <w:spacing w:after="0"/>
        <w:ind w:firstLine="0"/>
        <w:jc w:val="both"/>
        <w:rPr>
          <w:color w:val="000000"/>
          <w:sz w:val="20"/>
          <w:szCs w:val="20"/>
          <w:lang w:val="es-AR"/>
        </w:rPr>
      </w:pPr>
    </w:p>
    <w:p w14:paraId="27EB65E5" w14:textId="2B9ADF30" w:rsidR="001F22C6" w:rsidRPr="007213A1" w:rsidRDefault="001F22C6" w:rsidP="001F22C6">
      <w:pPr>
        <w:pStyle w:val="Text"/>
        <w:widowControl w:val="0"/>
        <w:spacing w:after="0"/>
        <w:ind w:firstLine="0"/>
        <w:jc w:val="both"/>
        <w:rPr>
          <w:color w:val="000000"/>
          <w:sz w:val="20"/>
          <w:szCs w:val="20"/>
          <w:lang w:val="es-AR"/>
        </w:rPr>
      </w:pPr>
      <w:r w:rsidRPr="007213A1">
        <w:rPr>
          <w:color w:val="000000"/>
          <w:sz w:val="20"/>
          <w:szCs w:val="20"/>
          <w:lang w:val="es-AR"/>
        </w:rPr>
        <w:t xml:space="preserve">El Estatuto Social de INVAP establece el funcionamiento de una comisión fiscalizadora compuesta de tres miembros titulares denominados “síndicos titulares” y tres miembros suplentes denominados “síndicos suplentes”. Sus facultades son las determinadas por la </w:t>
      </w:r>
      <w:r w:rsidR="00EA6900">
        <w:rPr>
          <w:color w:val="000000"/>
          <w:sz w:val="20"/>
          <w:szCs w:val="20"/>
          <w:lang w:val="es-AR"/>
        </w:rPr>
        <w:t>LGS</w:t>
      </w:r>
      <w:r w:rsidRPr="007213A1">
        <w:rPr>
          <w:color w:val="000000"/>
          <w:sz w:val="20"/>
          <w:szCs w:val="20"/>
          <w:lang w:val="es-AR"/>
        </w:rPr>
        <w:t xml:space="preserve"> en sus partes pertinentes. Los Síndicos son designados por un período de tres ejercicios.</w:t>
      </w:r>
    </w:p>
    <w:p w14:paraId="0CB0D25E" w14:textId="77777777" w:rsidR="001F22C6" w:rsidRPr="007213A1" w:rsidRDefault="001F22C6" w:rsidP="001F22C6">
      <w:pPr>
        <w:pStyle w:val="Text"/>
        <w:widowControl w:val="0"/>
        <w:spacing w:after="0"/>
        <w:ind w:firstLine="0"/>
        <w:jc w:val="both"/>
        <w:rPr>
          <w:color w:val="000000"/>
          <w:sz w:val="20"/>
          <w:szCs w:val="20"/>
          <w:lang w:val="es-AR"/>
        </w:rPr>
      </w:pPr>
    </w:p>
    <w:p w14:paraId="76832142" w14:textId="77777777" w:rsidR="001F22C6" w:rsidRPr="007213A1" w:rsidRDefault="001F22C6" w:rsidP="001F22C6">
      <w:pPr>
        <w:pStyle w:val="Text"/>
        <w:widowControl w:val="0"/>
        <w:spacing w:after="0"/>
        <w:ind w:firstLine="0"/>
        <w:jc w:val="both"/>
        <w:rPr>
          <w:color w:val="000000"/>
          <w:sz w:val="20"/>
          <w:szCs w:val="20"/>
          <w:lang w:val="es-AR"/>
        </w:rPr>
      </w:pPr>
      <w:r w:rsidRPr="007213A1">
        <w:rPr>
          <w:color w:val="000000"/>
          <w:sz w:val="20"/>
          <w:szCs w:val="20"/>
          <w:lang w:val="es-AR"/>
        </w:rPr>
        <w:t>El siguiente cuadro muestra la composición de la Comisión Fiscalizadora de INVAP, según lo resuelto en la asamblea general ordinaria del día 26 de septiembre de 2018, por el término de tres ejercicios.</w:t>
      </w:r>
    </w:p>
    <w:p w14:paraId="1F9FDB43" w14:textId="77777777" w:rsidR="001F22C6" w:rsidRPr="007213A1" w:rsidRDefault="001F22C6" w:rsidP="001F22C6">
      <w:pPr>
        <w:pStyle w:val="Text"/>
        <w:widowControl w:val="0"/>
        <w:spacing w:after="0"/>
        <w:ind w:firstLine="0"/>
        <w:jc w:val="both"/>
        <w:rPr>
          <w:color w:val="000000"/>
          <w:sz w:val="20"/>
          <w:szCs w:val="20"/>
          <w:lang w:val="es-AR"/>
        </w:rPr>
      </w:pPr>
    </w:p>
    <w:tbl>
      <w:tblPr>
        <w:tblW w:w="4167" w:type="pct"/>
        <w:jc w:val="center"/>
        <w:tblLayout w:type="fixed"/>
        <w:tblCellMar>
          <w:left w:w="70" w:type="dxa"/>
          <w:right w:w="70" w:type="dxa"/>
        </w:tblCellMar>
        <w:tblLook w:val="04A0" w:firstRow="1" w:lastRow="0" w:firstColumn="1" w:lastColumn="0" w:noHBand="0" w:noVBand="1"/>
      </w:tblPr>
      <w:tblGrid>
        <w:gridCol w:w="1143"/>
        <w:gridCol w:w="2102"/>
        <w:gridCol w:w="1416"/>
        <w:gridCol w:w="159"/>
        <w:gridCol w:w="1135"/>
        <w:gridCol w:w="1133"/>
      </w:tblGrid>
      <w:tr w:rsidR="004534F4" w:rsidRPr="00512442" w14:paraId="52E41989" w14:textId="77777777" w:rsidTr="00512442">
        <w:trPr>
          <w:trHeight w:val="227"/>
          <w:jc w:val="center"/>
        </w:trPr>
        <w:tc>
          <w:tcPr>
            <w:tcW w:w="806" w:type="pct"/>
            <w:tcBorders>
              <w:top w:val="nil"/>
              <w:left w:val="nil"/>
              <w:bottom w:val="single" w:sz="4" w:space="0" w:color="auto"/>
              <w:right w:val="nil"/>
            </w:tcBorders>
            <w:shd w:val="clear" w:color="auto" w:fill="auto"/>
            <w:hideMark/>
          </w:tcPr>
          <w:p w14:paraId="52AB5D99" w14:textId="77777777" w:rsidR="0009026C" w:rsidRPr="007213A1" w:rsidRDefault="0009026C" w:rsidP="00003BBF">
            <w:pPr>
              <w:rPr>
                <w:b/>
                <w:bCs/>
                <w:color w:val="000000"/>
                <w:sz w:val="20"/>
                <w:szCs w:val="20"/>
                <w:lang w:val="es-ES" w:eastAsia="es-AR"/>
              </w:rPr>
            </w:pPr>
            <w:r w:rsidRPr="007213A1">
              <w:rPr>
                <w:b/>
                <w:bCs/>
                <w:color w:val="000000"/>
                <w:sz w:val="20"/>
                <w:szCs w:val="20"/>
                <w:lang w:val="es-ES" w:eastAsia="es-AR"/>
              </w:rPr>
              <w:t>Cargo</w:t>
            </w:r>
          </w:p>
        </w:tc>
        <w:tc>
          <w:tcPr>
            <w:tcW w:w="1483" w:type="pct"/>
            <w:tcBorders>
              <w:top w:val="nil"/>
              <w:left w:val="nil"/>
              <w:bottom w:val="single" w:sz="4" w:space="0" w:color="auto"/>
              <w:right w:val="nil"/>
            </w:tcBorders>
            <w:shd w:val="clear" w:color="auto" w:fill="auto"/>
            <w:hideMark/>
          </w:tcPr>
          <w:p w14:paraId="1332A2A2" w14:textId="77777777" w:rsidR="0009026C" w:rsidRPr="007213A1" w:rsidRDefault="0009026C" w:rsidP="00003BBF">
            <w:pPr>
              <w:jc w:val="center"/>
              <w:rPr>
                <w:b/>
                <w:bCs/>
                <w:color w:val="000000"/>
                <w:sz w:val="20"/>
                <w:szCs w:val="20"/>
                <w:lang w:val="es-ES" w:eastAsia="es-AR"/>
              </w:rPr>
            </w:pPr>
            <w:r w:rsidRPr="007213A1">
              <w:rPr>
                <w:b/>
                <w:bCs/>
                <w:color w:val="000000"/>
                <w:sz w:val="20"/>
                <w:szCs w:val="20"/>
                <w:lang w:val="es-ES" w:eastAsia="es-AR"/>
              </w:rPr>
              <w:t>Nombre</w:t>
            </w:r>
          </w:p>
        </w:tc>
        <w:tc>
          <w:tcPr>
            <w:tcW w:w="999" w:type="pct"/>
            <w:tcBorders>
              <w:top w:val="nil"/>
              <w:left w:val="nil"/>
              <w:bottom w:val="single" w:sz="4" w:space="0" w:color="auto"/>
              <w:right w:val="nil"/>
            </w:tcBorders>
          </w:tcPr>
          <w:p w14:paraId="5612328A" w14:textId="07BA67C4" w:rsidR="0009026C" w:rsidRPr="007213A1" w:rsidRDefault="0009026C" w:rsidP="0009026C">
            <w:pPr>
              <w:jc w:val="center"/>
              <w:rPr>
                <w:b/>
                <w:bCs/>
                <w:color w:val="000000"/>
                <w:sz w:val="20"/>
                <w:szCs w:val="20"/>
                <w:lang w:val="es-ES" w:eastAsia="es-AR"/>
              </w:rPr>
            </w:pPr>
            <w:r>
              <w:rPr>
                <w:b/>
                <w:bCs/>
                <w:color w:val="000000"/>
                <w:sz w:val="20"/>
                <w:szCs w:val="20"/>
                <w:lang w:val="es-ES" w:eastAsia="es-AR"/>
              </w:rPr>
              <w:t>Cargo</w:t>
            </w:r>
          </w:p>
        </w:tc>
        <w:tc>
          <w:tcPr>
            <w:tcW w:w="913" w:type="pct"/>
            <w:gridSpan w:val="2"/>
            <w:tcBorders>
              <w:top w:val="nil"/>
              <w:left w:val="nil"/>
              <w:bottom w:val="single" w:sz="4" w:space="0" w:color="auto"/>
              <w:right w:val="nil"/>
            </w:tcBorders>
            <w:shd w:val="clear" w:color="auto" w:fill="auto"/>
            <w:hideMark/>
          </w:tcPr>
          <w:p w14:paraId="1895D17C" w14:textId="0FC29FA8" w:rsidR="0009026C" w:rsidRPr="007213A1" w:rsidRDefault="0009026C" w:rsidP="00003BBF">
            <w:pPr>
              <w:jc w:val="center"/>
              <w:rPr>
                <w:b/>
                <w:bCs/>
                <w:color w:val="000000"/>
                <w:sz w:val="20"/>
                <w:szCs w:val="20"/>
                <w:lang w:val="es-ES" w:eastAsia="es-AR"/>
              </w:rPr>
            </w:pPr>
            <w:r w:rsidRPr="007213A1">
              <w:rPr>
                <w:b/>
                <w:bCs/>
                <w:color w:val="000000"/>
                <w:sz w:val="20"/>
                <w:szCs w:val="20"/>
                <w:lang w:val="es-ES" w:eastAsia="es-AR"/>
              </w:rPr>
              <w:t xml:space="preserve">Fecha de </w:t>
            </w:r>
            <w:r>
              <w:rPr>
                <w:b/>
                <w:bCs/>
                <w:color w:val="000000"/>
                <w:sz w:val="20"/>
                <w:szCs w:val="20"/>
                <w:lang w:val="es-ES" w:eastAsia="es-AR"/>
              </w:rPr>
              <w:t>Designación</w:t>
            </w:r>
          </w:p>
        </w:tc>
        <w:tc>
          <w:tcPr>
            <w:tcW w:w="799" w:type="pct"/>
            <w:tcBorders>
              <w:top w:val="nil"/>
              <w:left w:val="nil"/>
              <w:bottom w:val="single" w:sz="4" w:space="0" w:color="auto"/>
              <w:right w:val="nil"/>
            </w:tcBorders>
            <w:shd w:val="clear" w:color="auto" w:fill="auto"/>
            <w:hideMark/>
          </w:tcPr>
          <w:p w14:paraId="4692311A" w14:textId="3873BB1C" w:rsidR="0009026C" w:rsidRPr="007213A1" w:rsidRDefault="0009026C" w:rsidP="00003BBF">
            <w:pPr>
              <w:jc w:val="center"/>
              <w:rPr>
                <w:b/>
                <w:bCs/>
                <w:color w:val="000000"/>
                <w:sz w:val="20"/>
                <w:szCs w:val="20"/>
                <w:lang w:val="es-ES" w:eastAsia="es-AR"/>
              </w:rPr>
            </w:pPr>
            <w:r>
              <w:rPr>
                <w:b/>
                <w:bCs/>
                <w:color w:val="000000"/>
                <w:sz w:val="20"/>
                <w:szCs w:val="20"/>
                <w:lang w:val="es-ES" w:eastAsia="es-AR"/>
              </w:rPr>
              <w:t>Mandato finaliza cuando se apruebe el Balance al</w:t>
            </w:r>
          </w:p>
        </w:tc>
      </w:tr>
      <w:tr w:rsidR="004534F4" w:rsidRPr="007213A1" w14:paraId="76210D70" w14:textId="77777777" w:rsidTr="00512442">
        <w:trPr>
          <w:trHeight w:val="313"/>
          <w:jc w:val="center"/>
        </w:trPr>
        <w:tc>
          <w:tcPr>
            <w:tcW w:w="806" w:type="pct"/>
            <w:tcBorders>
              <w:top w:val="single" w:sz="4" w:space="0" w:color="auto"/>
              <w:left w:val="nil"/>
              <w:bottom w:val="nil"/>
              <w:right w:val="nil"/>
            </w:tcBorders>
            <w:shd w:val="clear" w:color="auto" w:fill="auto"/>
            <w:hideMark/>
          </w:tcPr>
          <w:p w14:paraId="13B47B68" w14:textId="77777777" w:rsidR="0009026C" w:rsidRPr="007213A1" w:rsidRDefault="0009026C" w:rsidP="00003BBF">
            <w:pPr>
              <w:rPr>
                <w:b/>
                <w:bCs/>
                <w:color w:val="000000"/>
                <w:sz w:val="20"/>
                <w:szCs w:val="20"/>
                <w:lang w:val="es-ES" w:eastAsia="es-AR"/>
              </w:rPr>
            </w:pPr>
            <w:r w:rsidRPr="007213A1">
              <w:rPr>
                <w:b/>
                <w:bCs/>
                <w:color w:val="000000"/>
                <w:sz w:val="20"/>
                <w:szCs w:val="20"/>
                <w:lang w:val="es-ES" w:eastAsia="es-AR"/>
              </w:rPr>
              <w:t>Titular</w:t>
            </w:r>
          </w:p>
        </w:tc>
        <w:tc>
          <w:tcPr>
            <w:tcW w:w="1483" w:type="pct"/>
            <w:tcBorders>
              <w:top w:val="single" w:sz="4" w:space="0" w:color="auto"/>
              <w:left w:val="nil"/>
              <w:bottom w:val="nil"/>
              <w:right w:val="nil"/>
            </w:tcBorders>
            <w:shd w:val="clear" w:color="auto" w:fill="auto"/>
          </w:tcPr>
          <w:p w14:paraId="0DEF0812" w14:textId="5576F1CC" w:rsidR="0009026C" w:rsidRPr="007213A1" w:rsidRDefault="0009026C" w:rsidP="00003BBF">
            <w:pPr>
              <w:jc w:val="center"/>
              <w:rPr>
                <w:color w:val="000000"/>
                <w:sz w:val="20"/>
                <w:szCs w:val="20"/>
                <w:lang w:val="es-ES" w:eastAsia="es-AR"/>
              </w:rPr>
            </w:pPr>
            <w:r>
              <w:rPr>
                <w:color w:val="000000"/>
                <w:sz w:val="20"/>
                <w:szCs w:val="20"/>
                <w:lang w:val="es-ES" w:eastAsia="es-AR"/>
              </w:rPr>
              <w:t>Carlos Alfredo Gardella</w:t>
            </w:r>
          </w:p>
        </w:tc>
        <w:tc>
          <w:tcPr>
            <w:tcW w:w="1111" w:type="pct"/>
            <w:gridSpan w:val="2"/>
            <w:tcBorders>
              <w:top w:val="single" w:sz="4" w:space="0" w:color="auto"/>
              <w:left w:val="nil"/>
              <w:bottom w:val="nil"/>
              <w:right w:val="nil"/>
            </w:tcBorders>
          </w:tcPr>
          <w:p w14:paraId="281ED2B6" w14:textId="1AD5EDEC" w:rsidR="0009026C" w:rsidRPr="00A61C89" w:rsidRDefault="0009026C" w:rsidP="00A61C89">
            <w:pPr>
              <w:rPr>
                <w:bCs/>
                <w:iCs/>
                <w:color w:val="000000"/>
                <w:sz w:val="20"/>
                <w:szCs w:val="20"/>
                <w:lang w:val="es-ES"/>
              </w:rPr>
            </w:pPr>
            <w:r w:rsidRPr="00A61C89">
              <w:rPr>
                <w:bCs/>
                <w:iCs/>
                <w:color w:val="000000"/>
                <w:sz w:val="20"/>
                <w:szCs w:val="20"/>
                <w:lang w:val="es-ES"/>
              </w:rPr>
              <w:t>Síndico Titular</w:t>
            </w:r>
          </w:p>
        </w:tc>
        <w:tc>
          <w:tcPr>
            <w:tcW w:w="801" w:type="pct"/>
            <w:tcBorders>
              <w:top w:val="single" w:sz="4" w:space="0" w:color="auto"/>
              <w:left w:val="nil"/>
              <w:bottom w:val="nil"/>
              <w:right w:val="nil"/>
            </w:tcBorders>
            <w:shd w:val="clear" w:color="auto" w:fill="auto"/>
          </w:tcPr>
          <w:p w14:paraId="2615525D" w14:textId="4ADDFB29" w:rsidR="0009026C" w:rsidRPr="00A61C89" w:rsidRDefault="0009026C" w:rsidP="00003BBF">
            <w:pPr>
              <w:jc w:val="center"/>
              <w:rPr>
                <w:color w:val="000000"/>
                <w:sz w:val="20"/>
                <w:szCs w:val="20"/>
                <w:lang w:val="es-ES" w:eastAsia="es-AR"/>
              </w:rPr>
            </w:pPr>
            <w:r w:rsidRPr="00A61C89">
              <w:rPr>
                <w:bCs/>
                <w:iCs/>
                <w:color w:val="000000"/>
                <w:sz w:val="20"/>
                <w:szCs w:val="20"/>
                <w:lang w:val="es-ES"/>
              </w:rPr>
              <w:t>27/06/2019</w:t>
            </w:r>
          </w:p>
        </w:tc>
        <w:tc>
          <w:tcPr>
            <w:tcW w:w="799" w:type="pct"/>
            <w:tcBorders>
              <w:top w:val="single" w:sz="4" w:space="0" w:color="auto"/>
              <w:left w:val="nil"/>
              <w:bottom w:val="nil"/>
              <w:right w:val="nil"/>
            </w:tcBorders>
            <w:shd w:val="clear" w:color="auto" w:fill="auto"/>
          </w:tcPr>
          <w:p w14:paraId="1B0579A0" w14:textId="40F93381" w:rsidR="0009026C" w:rsidRPr="00A61C89" w:rsidRDefault="0009026C" w:rsidP="00003BBF">
            <w:pPr>
              <w:jc w:val="center"/>
              <w:rPr>
                <w:color w:val="000000"/>
                <w:sz w:val="20"/>
                <w:szCs w:val="20"/>
                <w:lang w:val="es-ES" w:eastAsia="es-AR"/>
              </w:rPr>
            </w:pPr>
            <w:r w:rsidRPr="00A61C89">
              <w:rPr>
                <w:bCs/>
                <w:iCs/>
                <w:color w:val="000000"/>
                <w:sz w:val="20"/>
                <w:szCs w:val="20"/>
                <w:lang w:val="es-ES"/>
              </w:rPr>
              <w:t>30/06/2021</w:t>
            </w:r>
          </w:p>
        </w:tc>
      </w:tr>
      <w:tr w:rsidR="004534F4" w:rsidRPr="007213A1" w14:paraId="57BD47C6" w14:textId="77777777" w:rsidTr="00512442">
        <w:trPr>
          <w:trHeight w:val="313"/>
          <w:jc w:val="center"/>
        </w:trPr>
        <w:tc>
          <w:tcPr>
            <w:tcW w:w="806" w:type="pct"/>
            <w:tcBorders>
              <w:top w:val="nil"/>
              <w:left w:val="nil"/>
              <w:bottom w:val="nil"/>
              <w:right w:val="nil"/>
            </w:tcBorders>
            <w:shd w:val="clear" w:color="auto" w:fill="auto"/>
            <w:hideMark/>
          </w:tcPr>
          <w:p w14:paraId="6D0D675D" w14:textId="77777777" w:rsidR="0009026C" w:rsidRPr="007213A1" w:rsidRDefault="0009026C" w:rsidP="00003BBF">
            <w:pPr>
              <w:rPr>
                <w:b/>
                <w:bCs/>
                <w:color w:val="000000"/>
                <w:sz w:val="20"/>
                <w:szCs w:val="20"/>
                <w:lang w:val="es-ES" w:eastAsia="es-AR"/>
              </w:rPr>
            </w:pPr>
            <w:r w:rsidRPr="007213A1">
              <w:rPr>
                <w:b/>
                <w:bCs/>
                <w:color w:val="000000"/>
                <w:sz w:val="20"/>
                <w:szCs w:val="20"/>
                <w:lang w:val="es-ES" w:eastAsia="es-AR"/>
              </w:rPr>
              <w:t>Titular</w:t>
            </w:r>
          </w:p>
        </w:tc>
        <w:tc>
          <w:tcPr>
            <w:tcW w:w="1483" w:type="pct"/>
            <w:tcBorders>
              <w:top w:val="nil"/>
              <w:left w:val="nil"/>
              <w:bottom w:val="nil"/>
              <w:right w:val="nil"/>
            </w:tcBorders>
            <w:shd w:val="clear" w:color="auto" w:fill="auto"/>
          </w:tcPr>
          <w:p w14:paraId="3643475B" w14:textId="56428296" w:rsidR="0009026C" w:rsidRPr="007213A1" w:rsidRDefault="0009026C" w:rsidP="00003BBF">
            <w:pPr>
              <w:jc w:val="center"/>
              <w:rPr>
                <w:color w:val="000000"/>
                <w:sz w:val="20"/>
                <w:szCs w:val="20"/>
                <w:lang w:val="es-ES" w:eastAsia="es-AR"/>
              </w:rPr>
            </w:pPr>
            <w:r>
              <w:rPr>
                <w:color w:val="000000"/>
                <w:sz w:val="20"/>
                <w:szCs w:val="20"/>
                <w:lang w:val="es-ES" w:eastAsia="es-AR"/>
              </w:rPr>
              <w:t>Aurelia Patricia Schepis</w:t>
            </w:r>
          </w:p>
        </w:tc>
        <w:tc>
          <w:tcPr>
            <w:tcW w:w="1111" w:type="pct"/>
            <w:gridSpan w:val="2"/>
            <w:tcBorders>
              <w:top w:val="nil"/>
              <w:left w:val="nil"/>
              <w:bottom w:val="nil"/>
              <w:right w:val="nil"/>
            </w:tcBorders>
          </w:tcPr>
          <w:p w14:paraId="43D53FD4" w14:textId="080A3CA5" w:rsidR="0009026C" w:rsidRPr="00A61C89" w:rsidRDefault="0009026C" w:rsidP="00A61C89">
            <w:pPr>
              <w:rPr>
                <w:bCs/>
                <w:iCs/>
                <w:color w:val="000000"/>
                <w:sz w:val="20"/>
                <w:szCs w:val="20"/>
                <w:lang w:val="es-ES"/>
              </w:rPr>
            </w:pPr>
            <w:r w:rsidRPr="00A61C89">
              <w:rPr>
                <w:bCs/>
                <w:iCs/>
                <w:color w:val="000000"/>
                <w:sz w:val="20"/>
                <w:szCs w:val="20"/>
                <w:lang w:val="es-ES"/>
              </w:rPr>
              <w:t>Síndico Titular</w:t>
            </w:r>
          </w:p>
        </w:tc>
        <w:tc>
          <w:tcPr>
            <w:tcW w:w="801" w:type="pct"/>
            <w:tcBorders>
              <w:top w:val="nil"/>
              <w:left w:val="nil"/>
              <w:bottom w:val="nil"/>
              <w:right w:val="nil"/>
            </w:tcBorders>
            <w:shd w:val="clear" w:color="auto" w:fill="auto"/>
          </w:tcPr>
          <w:p w14:paraId="4E154F8A" w14:textId="3339AD03" w:rsidR="0009026C" w:rsidRPr="00A61C89" w:rsidRDefault="0009026C" w:rsidP="00003BBF">
            <w:pPr>
              <w:jc w:val="center"/>
              <w:rPr>
                <w:color w:val="000000"/>
                <w:sz w:val="20"/>
                <w:szCs w:val="20"/>
                <w:lang w:val="es-ES" w:eastAsia="es-AR"/>
              </w:rPr>
            </w:pPr>
            <w:r w:rsidRPr="00A61C89">
              <w:rPr>
                <w:bCs/>
                <w:iCs/>
                <w:color w:val="000000"/>
                <w:sz w:val="20"/>
                <w:szCs w:val="20"/>
                <w:lang w:val="es-ES"/>
              </w:rPr>
              <w:t>26/09/2018</w:t>
            </w:r>
          </w:p>
        </w:tc>
        <w:tc>
          <w:tcPr>
            <w:tcW w:w="799" w:type="pct"/>
            <w:tcBorders>
              <w:top w:val="nil"/>
              <w:left w:val="nil"/>
              <w:bottom w:val="nil"/>
              <w:right w:val="nil"/>
            </w:tcBorders>
            <w:shd w:val="clear" w:color="auto" w:fill="auto"/>
          </w:tcPr>
          <w:p w14:paraId="2299470A" w14:textId="46AF1B10" w:rsidR="0009026C" w:rsidRPr="00A61C89" w:rsidRDefault="0009026C" w:rsidP="00003BBF">
            <w:pPr>
              <w:jc w:val="center"/>
              <w:rPr>
                <w:color w:val="000000"/>
                <w:sz w:val="20"/>
                <w:szCs w:val="20"/>
                <w:lang w:val="es-ES" w:eastAsia="es-AR"/>
              </w:rPr>
            </w:pPr>
            <w:r w:rsidRPr="00A61C89">
              <w:rPr>
                <w:bCs/>
                <w:iCs/>
                <w:color w:val="000000"/>
                <w:sz w:val="20"/>
                <w:szCs w:val="20"/>
                <w:lang w:val="es-ES"/>
              </w:rPr>
              <w:t>30/06/2021</w:t>
            </w:r>
          </w:p>
        </w:tc>
      </w:tr>
      <w:tr w:rsidR="004534F4" w:rsidRPr="007213A1" w14:paraId="04F4FE4A" w14:textId="77777777" w:rsidTr="00512442">
        <w:trPr>
          <w:trHeight w:val="313"/>
          <w:jc w:val="center"/>
        </w:trPr>
        <w:tc>
          <w:tcPr>
            <w:tcW w:w="806" w:type="pct"/>
            <w:tcBorders>
              <w:top w:val="nil"/>
              <w:left w:val="nil"/>
              <w:bottom w:val="nil"/>
              <w:right w:val="nil"/>
            </w:tcBorders>
            <w:shd w:val="clear" w:color="auto" w:fill="auto"/>
            <w:hideMark/>
          </w:tcPr>
          <w:p w14:paraId="13775B43" w14:textId="77777777" w:rsidR="0009026C" w:rsidRPr="007213A1" w:rsidRDefault="0009026C" w:rsidP="00003BBF">
            <w:pPr>
              <w:rPr>
                <w:b/>
                <w:bCs/>
                <w:color w:val="000000"/>
                <w:sz w:val="20"/>
                <w:szCs w:val="20"/>
                <w:lang w:val="es-ES" w:eastAsia="es-AR"/>
              </w:rPr>
            </w:pPr>
            <w:r w:rsidRPr="007213A1">
              <w:rPr>
                <w:b/>
                <w:bCs/>
                <w:color w:val="000000"/>
                <w:sz w:val="20"/>
                <w:szCs w:val="20"/>
                <w:lang w:val="es-ES" w:eastAsia="es-AR"/>
              </w:rPr>
              <w:t>Titular</w:t>
            </w:r>
          </w:p>
        </w:tc>
        <w:tc>
          <w:tcPr>
            <w:tcW w:w="1483" w:type="pct"/>
            <w:tcBorders>
              <w:top w:val="nil"/>
              <w:left w:val="nil"/>
              <w:bottom w:val="nil"/>
              <w:right w:val="nil"/>
            </w:tcBorders>
            <w:shd w:val="clear" w:color="auto" w:fill="auto"/>
          </w:tcPr>
          <w:p w14:paraId="64F4D521" w14:textId="142F1728" w:rsidR="0009026C" w:rsidRPr="007213A1" w:rsidRDefault="0009026C" w:rsidP="00003BBF">
            <w:pPr>
              <w:jc w:val="center"/>
              <w:rPr>
                <w:color w:val="000000"/>
                <w:sz w:val="20"/>
                <w:szCs w:val="20"/>
                <w:lang w:val="es-ES" w:eastAsia="es-AR"/>
              </w:rPr>
            </w:pPr>
            <w:r>
              <w:rPr>
                <w:color w:val="000000"/>
                <w:sz w:val="20"/>
                <w:szCs w:val="20"/>
                <w:lang w:val="es-ES" w:eastAsia="es-AR"/>
              </w:rPr>
              <w:t>Américo Alberto Antoniotti</w:t>
            </w:r>
          </w:p>
        </w:tc>
        <w:tc>
          <w:tcPr>
            <w:tcW w:w="1111" w:type="pct"/>
            <w:gridSpan w:val="2"/>
            <w:tcBorders>
              <w:top w:val="nil"/>
              <w:left w:val="nil"/>
              <w:bottom w:val="nil"/>
              <w:right w:val="nil"/>
            </w:tcBorders>
          </w:tcPr>
          <w:p w14:paraId="155AFEC1" w14:textId="082B3802" w:rsidR="0009026C" w:rsidRPr="00A61C89" w:rsidRDefault="0009026C" w:rsidP="00A61C89">
            <w:pPr>
              <w:rPr>
                <w:bCs/>
                <w:iCs/>
                <w:color w:val="000000"/>
                <w:sz w:val="20"/>
                <w:szCs w:val="20"/>
                <w:lang w:val="es-ES"/>
              </w:rPr>
            </w:pPr>
            <w:r w:rsidRPr="00A61C89">
              <w:rPr>
                <w:bCs/>
                <w:iCs/>
                <w:color w:val="000000"/>
                <w:sz w:val="20"/>
                <w:szCs w:val="20"/>
                <w:lang w:val="es-ES"/>
              </w:rPr>
              <w:t>Síndico Titular</w:t>
            </w:r>
          </w:p>
        </w:tc>
        <w:tc>
          <w:tcPr>
            <w:tcW w:w="801" w:type="pct"/>
            <w:tcBorders>
              <w:top w:val="nil"/>
              <w:left w:val="nil"/>
              <w:bottom w:val="nil"/>
              <w:right w:val="nil"/>
            </w:tcBorders>
            <w:shd w:val="clear" w:color="auto" w:fill="auto"/>
          </w:tcPr>
          <w:p w14:paraId="1FA1513F" w14:textId="46AE1FE3" w:rsidR="0009026C" w:rsidRPr="00A61C89" w:rsidRDefault="0009026C" w:rsidP="00003BBF">
            <w:pPr>
              <w:jc w:val="center"/>
              <w:rPr>
                <w:color w:val="000000"/>
                <w:sz w:val="20"/>
                <w:szCs w:val="20"/>
                <w:lang w:val="es-ES" w:eastAsia="es-AR"/>
              </w:rPr>
            </w:pPr>
            <w:r w:rsidRPr="00A61C89">
              <w:rPr>
                <w:bCs/>
                <w:iCs/>
                <w:color w:val="000000"/>
                <w:sz w:val="20"/>
                <w:szCs w:val="20"/>
                <w:lang w:val="es-ES"/>
              </w:rPr>
              <w:t>26/09/2018</w:t>
            </w:r>
          </w:p>
        </w:tc>
        <w:tc>
          <w:tcPr>
            <w:tcW w:w="799" w:type="pct"/>
            <w:tcBorders>
              <w:top w:val="nil"/>
              <w:left w:val="nil"/>
              <w:bottom w:val="nil"/>
              <w:right w:val="nil"/>
            </w:tcBorders>
            <w:shd w:val="clear" w:color="auto" w:fill="auto"/>
          </w:tcPr>
          <w:p w14:paraId="0AB693D7" w14:textId="210A1099" w:rsidR="0009026C" w:rsidRPr="00A61C89" w:rsidRDefault="0009026C" w:rsidP="00003BBF">
            <w:pPr>
              <w:jc w:val="center"/>
              <w:rPr>
                <w:color w:val="000000"/>
                <w:sz w:val="20"/>
                <w:szCs w:val="20"/>
                <w:lang w:val="es-ES" w:eastAsia="es-AR"/>
              </w:rPr>
            </w:pPr>
            <w:r w:rsidRPr="00A61C89">
              <w:rPr>
                <w:bCs/>
                <w:iCs/>
                <w:color w:val="000000"/>
                <w:sz w:val="20"/>
                <w:szCs w:val="20"/>
                <w:lang w:val="es-ES"/>
              </w:rPr>
              <w:t>30/06/2021</w:t>
            </w:r>
          </w:p>
        </w:tc>
      </w:tr>
      <w:tr w:rsidR="004534F4" w:rsidRPr="007213A1" w14:paraId="25D1473E" w14:textId="77777777" w:rsidTr="00512442">
        <w:trPr>
          <w:trHeight w:val="313"/>
          <w:jc w:val="center"/>
        </w:trPr>
        <w:tc>
          <w:tcPr>
            <w:tcW w:w="806" w:type="pct"/>
            <w:tcBorders>
              <w:top w:val="nil"/>
              <w:left w:val="nil"/>
              <w:bottom w:val="nil"/>
              <w:right w:val="nil"/>
            </w:tcBorders>
            <w:shd w:val="clear" w:color="auto" w:fill="auto"/>
            <w:hideMark/>
          </w:tcPr>
          <w:p w14:paraId="45CC111C" w14:textId="77777777" w:rsidR="0009026C" w:rsidRPr="007213A1" w:rsidRDefault="0009026C" w:rsidP="00003BBF">
            <w:pPr>
              <w:rPr>
                <w:b/>
                <w:bCs/>
                <w:color w:val="000000"/>
                <w:sz w:val="20"/>
                <w:szCs w:val="20"/>
                <w:lang w:val="es-ES" w:eastAsia="es-AR"/>
              </w:rPr>
            </w:pPr>
            <w:r w:rsidRPr="007213A1">
              <w:rPr>
                <w:b/>
                <w:bCs/>
                <w:color w:val="000000"/>
                <w:sz w:val="20"/>
                <w:szCs w:val="20"/>
                <w:lang w:val="es-ES" w:eastAsia="es-AR"/>
              </w:rPr>
              <w:t>Suplente</w:t>
            </w:r>
          </w:p>
        </w:tc>
        <w:tc>
          <w:tcPr>
            <w:tcW w:w="1483" w:type="pct"/>
            <w:tcBorders>
              <w:top w:val="nil"/>
              <w:left w:val="nil"/>
              <w:bottom w:val="nil"/>
              <w:right w:val="nil"/>
            </w:tcBorders>
            <w:shd w:val="clear" w:color="auto" w:fill="auto"/>
          </w:tcPr>
          <w:p w14:paraId="40B929CD" w14:textId="107DEE6C" w:rsidR="0009026C" w:rsidRPr="007213A1" w:rsidRDefault="0009026C" w:rsidP="00003BBF">
            <w:pPr>
              <w:jc w:val="center"/>
              <w:rPr>
                <w:color w:val="000000"/>
                <w:sz w:val="20"/>
                <w:szCs w:val="20"/>
                <w:lang w:val="es-ES" w:eastAsia="es-AR"/>
              </w:rPr>
            </w:pPr>
            <w:r>
              <w:rPr>
                <w:color w:val="000000"/>
                <w:sz w:val="20"/>
                <w:szCs w:val="20"/>
                <w:lang w:val="es-ES" w:eastAsia="es-AR"/>
              </w:rPr>
              <w:t>Sebastián Arrondo</w:t>
            </w:r>
          </w:p>
        </w:tc>
        <w:tc>
          <w:tcPr>
            <w:tcW w:w="1111" w:type="pct"/>
            <w:gridSpan w:val="2"/>
            <w:tcBorders>
              <w:top w:val="nil"/>
              <w:left w:val="nil"/>
              <w:bottom w:val="nil"/>
              <w:right w:val="nil"/>
            </w:tcBorders>
          </w:tcPr>
          <w:p w14:paraId="0EE96C00" w14:textId="64F2BC06" w:rsidR="0009026C" w:rsidRPr="00A61C89" w:rsidRDefault="0009026C" w:rsidP="00A61C89">
            <w:pPr>
              <w:rPr>
                <w:bCs/>
                <w:iCs/>
                <w:color w:val="000000"/>
                <w:sz w:val="20"/>
                <w:szCs w:val="20"/>
                <w:lang w:val="es-ES"/>
              </w:rPr>
            </w:pPr>
            <w:r w:rsidRPr="00A61C89">
              <w:rPr>
                <w:bCs/>
                <w:iCs/>
                <w:color w:val="000000"/>
                <w:sz w:val="20"/>
                <w:szCs w:val="20"/>
                <w:lang w:val="es-ES"/>
              </w:rPr>
              <w:t>Síndico Suplente</w:t>
            </w:r>
          </w:p>
        </w:tc>
        <w:tc>
          <w:tcPr>
            <w:tcW w:w="801" w:type="pct"/>
            <w:tcBorders>
              <w:top w:val="nil"/>
              <w:left w:val="nil"/>
              <w:bottom w:val="nil"/>
              <w:right w:val="nil"/>
            </w:tcBorders>
            <w:shd w:val="clear" w:color="auto" w:fill="auto"/>
          </w:tcPr>
          <w:p w14:paraId="1A857404" w14:textId="1A2B7BDA" w:rsidR="0009026C" w:rsidRPr="00A61C89" w:rsidRDefault="0009026C" w:rsidP="00003BBF">
            <w:pPr>
              <w:jc w:val="center"/>
              <w:rPr>
                <w:color w:val="000000"/>
                <w:sz w:val="20"/>
                <w:szCs w:val="20"/>
                <w:lang w:val="es-ES" w:eastAsia="es-AR"/>
              </w:rPr>
            </w:pPr>
            <w:r w:rsidRPr="00A61C89">
              <w:rPr>
                <w:bCs/>
                <w:iCs/>
                <w:color w:val="000000"/>
                <w:sz w:val="20"/>
                <w:szCs w:val="20"/>
                <w:lang w:val="es-ES"/>
              </w:rPr>
              <w:t>26/09/2018</w:t>
            </w:r>
          </w:p>
        </w:tc>
        <w:tc>
          <w:tcPr>
            <w:tcW w:w="799" w:type="pct"/>
            <w:tcBorders>
              <w:top w:val="nil"/>
              <w:left w:val="nil"/>
              <w:bottom w:val="nil"/>
              <w:right w:val="nil"/>
            </w:tcBorders>
            <w:shd w:val="clear" w:color="auto" w:fill="auto"/>
          </w:tcPr>
          <w:p w14:paraId="0CC08F6E" w14:textId="113B0B80" w:rsidR="0009026C" w:rsidRPr="00A61C89" w:rsidRDefault="0009026C" w:rsidP="00003BBF">
            <w:pPr>
              <w:jc w:val="center"/>
              <w:rPr>
                <w:color w:val="000000"/>
                <w:sz w:val="20"/>
                <w:szCs w:val="20"/>
                <w:lang w:val="es-ES" w:eastAsia="es-AR"/>
              </w:rPr>
            </w:pPr>
            <w:r w:rsidRPr="00A61C89">
              <w:rPr>
                <w:bCs/>
                <w:iCs/>
                <w:color w:val="000000"/>
                <w:sz w:val="20"/>
                <w:szCs w:val="20"/>
                <w:lang w:val="es-ES"/>
              </w:rPr>
              <w:t>30/06/2021</w:t>
            </w:r>
          </w:p>
        </w:tc>
      </w:tr>
      <w:tr w:rsidR="004534F4" w:rsidRPr="007213A1" w14:paraId="22C9F1D3" w14:textId="77777777" w:rsidTr="00512442">
        <w:trPr>
          <w:trHeight w:val="216"/>
          <w:jc w:val="center"/>
        </w:trPr>
        <w:tc>
          <w:tcPr>
            <w:tcW w:w="806" w:type="pct"/>
            <w:tcBorders>
              <w:top w:val="nil"/>
              <w:left w:val="nil"/>
              <w:bottom w:val="nil"/>
              <w:right w:val="nil"/>
            </w:tcBorders>
            <w:shd w:val="clear" w:color="auto" w:fill="auto"/>
            <w:hideMark/>
          </w:tcPr>
          <w:p w14:paraId="68A6E2C6" w14:textId="77777777" w:rsidR="0009026C" w:rsidRPr="007213A1" w:rsidRDefault="0009026C" w:rsidP="00003BBF">
            <w:pPr>
              <w:rPr>
                <w:b/>
                <w:bCs/>
                <w:color w:val="000000"/>
                <w:sz w:val="20"/>
                <w:szCs w:val="20"/>
                <w:lang w:val="es-ES" w:eastAsia="es-AR"/>
              </w:rPr>
            </w:pPr>
            <w:r w:rsidRPr="007213A1">
              <w:rPr>
                <w:b/>
                <w:bCs/>
                <w:color w:val="000000"/>
                <w:sz w:val="20"/>
                <w:szCs w:val="20"/>
                <w:lang w:val="es-ES" w:eastAsia="es-AR"/>
              </w:rPr>
              <w:t>Suplente</w:t>
            </w:r>
          </w:p>
        </w:tc>
        <w:tc>
          <w:tcPr>
            <w:tcW w:w="1483" w:type="pct"/>
            <w:tcBorders>
              <w:top w:val="nil"/>
              <w:left w:val="nil"/>
              <w:bottom w:val="nil"/>
              <w:right w:val="nil"/>
            </w:tcBorders>
            <w:shd w:val="clear" w:color="auto" w:fill="auto"/>
          </w:tcPr>
          <w:p w14:paraId="6556AA2F" w14:textId="4D62F969" w:rsidR="0009026C" w:rsidRPr="007213A1" w:rsidRDefault="0009026C" w:rsidP="00003BBF">
            <w:pPr>
              <w:jc w:val="center"/>
              <w:rPr>
                <w:color w:val="000000"/>
                <w:sz w:val="20"/>
                <w:szCs w:val="20"/>
                <w:lang w:val="es-ES" w:eastAsia="es-AR"/>
              </w:rPr>
            </w:pPr>
            <w:r>
              <w:rPr>
                <w:color w:val="000000"/>
                <w:sz w:val="20"/>
                <w:szCs w:val="20"/>
                <w:lang w:val="es-ES" w:eastAsia="es-AR"/>
              </w:rPr>
              <w:t>Natalia María Vega Soto</w:t>
            </w:r>
          </w:p>
        </w:tc>
        <w:tc>
          <w:tcPr>
            <w:tcW w:w="1111" w:type="pct"/>
            <w:gridSpan w:val="2"/>
            <w:tcBorders>
              <w:top w:val="nil"/>
              <w:left w:val="nil"/>
              <w:bottom w:val="nil"/>
              <w:right w:val="nil"/>
            </w:tcBorders>
          </w:tcPr>
          <w:p w14:paraId="19262B70" w14:textId="5A418691" w:rsidR="0009026C" w:rsidRPr="00A61C89" w:rsidRDefault="0009026C" w:rsidP="00A61C89">
            <w:pPr>
              <w:rPr>
                <w:bCs/>
                <w:iCs/>
                <w:color w:val="000000"/>
                <w:sz w:val="20"/>
                <w:szCs w:val="20"/>
                <w:lang w:val="es-ES"/>
              </w:rPr>
            </w:pPr>
            <w:r w:rsidRPr="00A61C89">
              <w:rPr>
                <w:bCs/>
                <w:iCs/>
                <w:color w:val="000000"/>
                <w:sz w:val="20"/>
                <w:szCs w:val="20"/>
                <w:lang w:val="es-ES"/>
              </w:rPr>
              <w:t>Síndico Suplente</w:t>
            </w:r>
          </w:p>
        </w:tc>
        <w:tc>
          <w:tcPr>
            <w:tcW w:w="801" w:type="pct"/>
            <w:tcBorders>
              <w:top w:val="nil"/>
              <w:left w:val="nil"/>
              <w:bottom w:val="nil"/>
              <w:right w:val="nil"/>
            </w:tcBorders>
            <w:shd w:val="clear" w:color="auto" w:fill="auto"/>
          </w:tcPr>
          <w:p w14:paraId="48CBA843" w14:textId="2134F4E9" w:rsidR="0009026C" w:rsidRPr="00A61C89" w:rsidRDefault="0009026C" w:rsidP="00003BBF">
            <w:pPr>
              <w:jc w:val="center"/>
              <w:rPr>
                <w:color w:val="000000"/>
                <w:sz w:val="20"/>
                <w:szCs w:val="20"/>
                <w:lang w:val="es-ES" w:eastAsia="es-AR"/>
              </w:rPr>
            </w:pPr>
            <w:r w:rsidRPr="00A61C89">
              <w:rPr>
                <w:bCs/>
                <w:iCs/>
                <w:color w:val="000000"/>
                <w:sz w:val="20"/>
                <w:szCs w:val="20"/>
                <w:lang w:val="es-ES"/>
              </w:rPr>
              <w:t>26/09/2018</w:t>
            </w:r>
          </w:p>
        </w:tc>
        <w:tc>
          <w:tcPr>
            <w:tcW w:w="799" w:type="pct"/>
            <w:tcBorders>
              <w:top w:val="nil"/>
              <w:left w:val="nil"/>
              <w:bottom w:val="nil"/>
              <w:right w:val="nil"/>
            </w:tcBorders>
            <w:shd w:val="clear" w:color="auto" w:fill="auto"/>
          </w:tcPr>
          <w:p w14:paraId="4802EE5A" w14:textId="07A44618" w:rsidR="0009026C" w:rsidRPr="00A61C89" w:rsidRDefault="0009026C" w:rsidP="00003BBF">
            <w:pPr>
              <w:jc w:val="center"/>
              <w:rPr>
                <w:color w:val="000000"/>
                <w:sz w:val="20"/>
                <w:szCs w:val="20"/>
                <w:lang w:val="es-ES" w:eastAsia="es-AR"/>
              </w:rPr>
            </w:pPr>
            <w:r w:rsidRPr="00A61C89">
              <w:rPr>
                <w:bCs/>
                <w:iCs/>
                <w:color w:val="000000"/>
                <w:sz w:val="20"/>
                <w:szCs w:val="20"/>
                <w:lang w:val="es-ES"/>
              </w:rPr>
              <w:t>30/06/2021</w:t>
            </w:r>
          </w:p>
        </w:tc>
      </w:tr>
      <w:tr w:rsidR="004534F4" w:rsidRPr="007213A1" w14:paraId="1FAC257E" w14:textId="77777777" w:rsidTr="00512442">
        <w:trPr>
          <w:trHeight w:val="545"/>
          <w:jc w:val="center"/>
        </w:trPr>
        <w:tc>
          <w:tcPr>
            <w:tcW w:w="806" w:type="pct"/>
            <w:tcBorders>
              <w:top w:val="nil"/>
              <w:left w:val="nil"/>
              <w:bottom w:val="nil"/>
              <w:right w:val="nil"/>
            </w:tcBorders>
            <w:shd w:val="clear" w:color="auto" w:fill="auto"/>
            <w:hideMark/>
          </w:tcPr>
          <w:p w14:paraId="384EDE61" w14:textId="77777777" w:rsidR="0009026C" w:rsidRPr="007213A1" w:rsidRDefault="0009026C" w:rsidP="00003BBF">
            <w:pPr>
              <w:rPr>
                <w:b/>
                <w:bCs/>
                <w:color w:val="000000"/>
                <w:sz w:val="20"/>
                <w:szCs w:val="20"/>
                <w:lang w:val="es-ES" w:eastAsia="es-AR"/>
              </w:rPr>
            </w:pPr>
            <w:r w:rsidRPr="007213A1">
              <w:rPr>
                <w:b/>
                <w:bCs/>
                <w:color w:val="000000"/>
                <w:sz w:val="20"/>
                <w:szCs w:val="20"/>
                <w:lang w:val="es-ES" w:eastAsia="es-AR"/>
              </w:rPr>
              <w:t>Suplente</w:t>
            </w:r>
          </w:p>
        </w:tc>
        <w:tc>
          <w:tcPr>
            <w:tcW w:w="1483" w:type="pct"/>
            <w:tcBorders>
              <w:top w:val="nil"/>
              <w:left w:val="nil"/>
              <w:bottom w:val="nil"/>
              <w:right w:val="nil"/>
            </w:tcBorders>
            <w:shd w:val="clear" w:color="auto" w:fill="auto"/>
          </w:tcPr>
          <w:p w14:paraId="44B607F4" w14:textId="78BF1940" w:rsidR="0009026C" w:rsidRPr="007213A1" w:rsidRDefault="0009026C" w:rsidP="00003BBF">
            <w:pPr>
              <w:jc w:val="center"/>
              <w:rPr>
                <w:color w:val="000000"/>
                <w:sz w:val="20"/>
                <w:szCs w:val="20"/>
                <w:lang w:val="es-ES" w:eastAsia="es-AR"/>
              </w:rPr>
            </w:pPr>
            <w:r>
              <w:rPr>
                <w:color w:val="000000"/>
                <w:sz w:val="20"/>
                <w:szCs w:val="20"/>
                <w:lang w:val="es-ES" w:eastAsia="es-AR"/>
              </w:rPr>
              <w:t>Fabián Augusto Becerra</w:t>
            </w:r>
          </w:p>
        </w:tc>
        <w:tc>
          <w:tcPr>
            <w:tcW w:w="1111" w:type="pct"/>
            <w:gridSpan w:val="2"/>
            <w:tcBorders>
              <w:top w:val="nil"/>
              <w:left w:val="nil"/>
              <w:bottom w:val="nil"/>
              <w:right w:val="nil"/>
            </w:tcBorders>
          </w:tcPr>
          <w:p w14:paraId="19D66E6D" w14:textId="15A4240B" w:rsidR="0009026C" w:rsidRPr="00A61C89" w:rsidRDefault="0009026C" w:rsidP="00A61C89">
            <w:pPr>
              <w:rPr>
                <w:bCs/>
                <w:iCs/>
                <w:color w:val="000000"/>
                <w:sz w:val="20"/>
                <w:szCs w:val="20"/>
                <w:lang w:val="es-ES"/>
              </w:rPr>
            </w:pPr>
            <w:r w:rsidRPr="00A61C89">
              <w:rPr>
                <w:bCs/>
                <w:iCs/>
                <w:color w:val="000000"/>
                <w:sz w:val="20"/>
                <w:szCs w:val="20"/>
                <w:lang w:val="es-ES"/>
              </w:rPr>
              <w:t>Síndico Suplente</w:t>
            </w:r>
          </w:p>
        </w:tc>
        <w:tc>
          <w:tcPr>
            <w:tcW w:w="801" w:type="pct"/>
            <w:tcBorders>
              <w:top w:val="nil"/>
              <w:left w:val="nil"/>
              <w:bottom w:val="nil"/>
              <w:right w:val="nil"/>
            </w:tcBorders>
            <w:shd w:val="clear" w:color="auto" w:fill="auto"/>
          </w:tcPr>
          <w:p w14:paraId="165BF7E1" w14:textId="4421CA14" w:rsidR="0009026C" w:rsidRPr="00A61C89" w:rsidRDefault="0009026C" w:rsidP="00003BBF">
            <w:pPr>
              <w:jc w:val="center"/>
              <w:rPr>
                <w:color w:val="000000"/>
                <w:sz w:val="20"/>
                <w:szCs w:val="20"/>
                <w:lang w:val="es-ES" w:eastAsia="es-AR"/>
              </w:rPr>
            </w:pPr>
            <w:r w:rsidRPr="00A61C89">
              <w:rPr>
                <w:bCs/>
                <w:iCs/>
                <w:color w:val="000000"/>
                <w:sz w:val="20"/>
                <w:szCs w:val="20"/>
                <w:lang w:val="es-ES"/>
              </w:rPr>
              <w:t>26/09/2018</w:t>
            </w:r>
          </w:p>
        </w:tc>
        <w:tc>
          <w:tcPr>
            <w:tcW w:w="799" w:type="pct"/>
            <w:tcBorders>
              <w:top w:val="nil"/>
              <w:left w:val="nil"/>
              <w:bottom w:val="nil"/>
              <w:right w:val="nil"/>
            </w:tcBorders>
            <w:shd w:val="clear" w:color="auto" w:fill="auto"/>
          </w:tcPr>
          <w:p w14:paraId="61413D37" w14:textId="5F52466B" w:rsidR="0009026C" w:rsidRPr="00A61C89" w:rsidRDefault="0009026C" w:rsidP="00003BBF">
            <w:pPr>
              <w:jc w:val="center"/>
              <w:rPr>
                <w:color w:val="000000"/>
                <w:sz w:val="20"/>
                <w:szCs w:val="20"/>
                <w:lang w:val="es-ES" w:eastAsia="es-AR"/>
              </w:rPr>
            </w:pPr>
            <w:r w:rsidRPr="00A61C89">
              <w:rPr>
                <w:bCs/>
                <w:iCs/>
                <w:color w:val="000000"/>
                <w:sz w:val="20"/>
                <w:szCs w:val="20"/>
                <w:lang w:val="es-ES"/>
              </w:rPr>
              <w:t>30/06/2021</w:t>
            </w:r>
          </w:p>
        </w:tc>
      </w:tr>
    </w:tbl>
    <w:p w14:paraId="2A2720ED" w14:textId="77777777" w:rsidR="001F22C6" w:rsidRPr="007213A1" w:rsidRDefault="001F22C6" w:rsidP="001F22C6">
      <w:pPr>
        <w:pStyle w:val="Text"/>
        <w:spacing w:after="0"/>
        <w:ind w:firstLine="0"/>
        <w:jc w:val="both"/>
        <w:rPr>
          <w:color w:val="000000"/>
          <w:sz w:val="20"/>
          <w:szCs w:val="20"/>
          <w:lang w:val="es-AR"/>
        </w:rPr>
      </w:pPr>
    </w:p>
    <w:p w14:paraId="3A26E8E2" w14:textId="52D58A22" w:rsidR="001F22C6" w:rsidRPr="007213A1" w:rsidRDefault="001F22C6" w:rsidP="001F22C6">
      <w:pPr>
        <w:pStyle w:val="Text"/>
        <w:spacing w:after="0"/>
        <w:ind w:firstLine="0"/>
        <w:jc w:val="both"/>
        <w:rPr>
          <w:b/>
          <w:bCs/>
          <w:color w:val="000000"/>
          <w:sz w:val="20"/>
          <w:szCs w:val="20"/>
          <w:lang w:val="es-AR"/>
        </w:rPr>
      </w:pPr>
      <w:r w:rsidRPr="007213A1">
        <w:rPr>
          <w:color w:val="000000"/>
          <w:sz w:val="20"/>
          <w:szCs w:val="20"/>
          <w:lang w:val="es-AR"/>
        </w:rPr>
        <w:t>Antecedentes profesionales y cargos ocupados en otras empresas o entidades:</w:t>
      </w:r>
    </w:p>
    <w:p w14:paraId="6D733814" w14:textId="77777777" w:rsidR="005A6319" w:rsidRDefault="005A6319" w:rsidP="005A6319">
      <w:pPr>
        <w:pStyle w:val="Text"/>
        <w:spacing w:after="0"/>
        <w:ind w:firstLine="0"/>
        <w:jc w:val="both"/>
        <w:rPr>
          <w:i/>
          <w:iCs/>
          <w:color w:val="000000"/>
          <w:sz w:val="20"/>
          <w:szCs w:val="20"/>
          <w:lang w:val="es-AR"/>
        </w:rPr>
      </w:pPr>
    </w:p>
    <w:p w14:paraId="3DBE9DD5" w14:textId="254410D3" w:rsidR="0009026C" w:rsidRPr="00A24BAC" w:rsidRDefault="0009026C" w:rsidP="0009026C">
      <w:pPr>
        <w:jc w:val="both"/>
        <w:rPr>
          <w:sz w:val="20"/>
          <w:szCs w:val="20"/>
          <w:lang w:val="es-MX"/>
        </w:rPr>
      </w:pPr>
      <w:r w:rsidRPr="00A61C89">
        <w:rPr>
          <w:i/>
          <w:sz w:val="20"/>
          <w:szCs w:val="20"/>
          <w:lang w:val="es-MX"/>
        </w:rPr>
        <w:t>Carlos Alfredo Gardella</w:t>
      </w:r>
      <w:r w:rsidRPr="00A24BAC">
        <w:rPr>
          <w:sz w:val="20"/>
          <w:szCs w:val="20"/>
          <w:lang w:val="es-MX"/>
        </w:rPr>
        <w:t xml:space="preserve">: El Sr. Gardella nació el 11 de julio de 1968. Su DNI es 20380046, su CUIT 20-20380046-1 y su domicilio especial Av. Comandante Luis Piedrabuena 4950, Bariloche. Obtuvo el título de Contador Público en la Universidad Nacional de Córdoba (1992). Desde 1994 a 2004 trabajó para la Firma PricewaterhouseCoopers – Buenos Aires. Desde 2004 y a la fecha es Socio del Estudio Contable Eduardo H. Massad y Asociados – San Carlos de Bariloche. El 27/06/2019 fue designado como uno de los </w:t>
      </w:r>
      <w:r w:rsidR="00BA16EA" w:rsidRPr="00A24BAC">
        <w:rPr>
          <w:sz w:val="20"/>
          <w:szCs w:val="20"/>
          <w:lang w:val="es-MX"/>
        </w:rPr>
        <w:t>Síndicos</w:t>
      </w:r>
      <w:r w:rsidRPr="00A24BAC">
        <w:rPr>
          <w:sz w:val="20"/>
          <w:szCs w:val="20"/>
          <w:lang w:val="es-MX"/>
        </w:rPr>
        <w:t xml:space="preserve"> Titulares de INVAP S.E.</w:t>
      </w:r>
    </w:p>
    <w:p w14:paraId="54B9CBD2" w14:textId="77777777" w:rsidR="0009026C" w:rsidRPr="00A24BAC" w:rsidRDefault="0009026C" w:rsidP="0009026C">
      <w:pPr>
        <w:jc w:val="both"/>
        <w:rPr>
          <w:sz w:val="20"/>
          <w:szCs w:val="20"/>
          <w:lang w:val="es-MX"/>
        </w:rPr>
      </w:pPr>
    </w:p>
    <w:p w14:paraId="76CD1027" w14:textId="40209087" w:rsidR="0009026C" w:rsidRPr="00A24BAC" w:rsidRDefault="0009026C" w:rsidP="0009026C">
      <w:pPr>
        <w:widowControl w:val="0"/>
        <w:autoSpaceDE w:val="0"/>
        <w:autoSpaceDN w:val="0"/>
        <w:adjustRightInd w:val="0"/>
        <w:jc w:val="both"/>
        <w:rPr>
          <w:sz w:val="20"/>
          <w:szCs w:val="20"/>
          <w:lang w:val="es-MX"/>
        </w:rPr>
      </w:pPr>
      <w:r w:rsidRPr="00A61C89">
        <w:rPr>
          <w:i/>
          <w:sz w:val="20"/>
          <w:szCs w:val="20"/>
          <w:lang w:val="es-MX"/>
        </w:rPr>
        <w:t>Aurelia Patricia Schepis</w:t>
      </w:r>
      <w:r w:rsidRPr="00A24BAC">
        <w:rPr>
          <w:sz w:val="20"/>
          <w:szCs w:val="20"/>
          <w:lang w:val="es-MX"/>
        </w:rPr>
        <w:t xml:space="preserve">: La Sra. Schepis nació el 9 de julio de 1980. Su DNI es 28714338, su CUIT 23-28714338-4 y su domicilio especial Av. Comandante Luis Piedrabuena 4950. En el año 2003 obtuvo el título de Abogada de la Universidad Católica de Salta (sistema presencial sub sede Buenos Aires). En el 2005 comenzó el Posgrado en Desarrollo y Planificación Sustentable. Entre los años 2003 y 2004 se desempeñó como asesora de la Asociación Civil Centro de Educación al Consumidor. En el año 2005, se desempeñó como Consultora para el Banco Interamericano de Desarrollo (“BID”), en el marco del Programa de descentralización de Defensa del Consumidor de la Ciudad Autónoma de Buenos Aires a los Centros de Gestión y Participación. En los años 2005 y 2006 trabajó como Asistente en la Dirección de Defensa del Consumidor de la Ciudad Autónoma de Buenos Aires. Entre los años 2007 y 2011 se desempeñó como Presidente de la Asociación Civil de Consumidores Patagónicos. Entre los años 2010 y 2012 trabajó como Delegada de los Movimientos de defensa de los consumidores, usuarios y medio ambiente. Entre los años 2005 y 2014 ejerció en forma independiente la abogacía. Desde el 2011 a la fecha, se desempeña </w:t>
      </w:r>
      <w:r w:rsidR="004544C6">
        <w:rPr>
          <w:sz w:val="20"/>
          <w:szCs w:val="20"/>
          <w:lang w:val="es-MX"/>
        </w:rPr>
        <w:t>como Síndico Titular</w:t>
      </w:r>
      <w:r w:rsidRPr="00A24BAC">
        <w:rPr>
          <w:sz w:val="20"/>
          <w:szCs w:val="20"/>
          <w:lang w:val="es-MX"/>
        </w:rPr>
        <w:t xml:space="preserve"> de INVAP y asimismo, es síndico de ALTEC S.E., Ceatsa S.A., Enarsa Servicios S.A.</w:t>
      </w:r>
      <w:r w:rsidR="004544C6">
        <w:rPr>
          <w:sz w:val="20"/>
          <w:szCs w:val="20"/>
          <w:lang w:val="es-MX"/>
        </w:rPr>
        <w:t>, Eólica Rionegrina S.A.</w:t>
      </w:r>
      <w:r w:rsidRPr="00A24BAC">
        <w:rPr>
          <w:sz w:val="20"/>
          <w:szCs w:val="20"/>
          <w:lang w:val="es-MX"/>
        </w:rPr>
        <w:t xml:space="preserve"> y Frontec S.A. </w:t>
      </w:r>
    </w:p>
    <w:p w14:paraId="33F19258" w14:textId="77777777" w:rsidR="0009026C" w:rsidRPr="00A24BAC" w:rsidRDefault="0009026C" w:rsidP="0009026C">
      <w:pPr>
        <w:widowControl w:val="0"/>
        <w:autoSpaceDE w:val="0"/>
        <w:autoSpaceDN w:val="0"/>
        <w:adjustRightInd w:val="0"/>
        <w:jc w:val="both"/>
        <w:rPr>
          <w:sz w:val="20"/>
          <w:szCs w:val="20"/>
          <w:lang w:val="es-MX"/>
        </w:rPr>
      </w:pPr>
    </w:p>
    <w:p w14:paraId="5587FC48" w14:textId="77777777" w:rsidR="0009026C" w:rsidRPr="00A24BAC" w:rsidRDefault="0009026C" w:rsidP="0009026C">
      <w:pPr>
        <w:widowControl w:val="0"/>
        <w:autoSpaceDE w:val="0"/>
        <w:autoSpaceDN w:val="0"/>
        <w:adjustRightInd w:val="0"/>
        <w:jc w:val="both"/>
        <w:rPr>
          <w:sz w:val="20"/>
          <w:szCs w:val="20"/>
          <w:lang w:val="es-MX"/>
        </w:rPr>
      </w:pPr>
      <w:r w:rsidRPr="00A61C89">
        <w:rPr>
          <w:i/>
          <w:sz w:val="20"/>
          <w:szCs w:val="20"/>
          <w:lang w:val="es-MX"/>
        </w:rPr>
        <w:t>Américo Alberto Antoniotti</w:t>
      </w:r>
      <w:r w:rsidRPr="00A24BAC">
        <w:rPr>
          <w:sz w:val="20"/>
          <w:szCs w:val="20"/>
          <w:lang w:val="es-MX"/>
        </w:rPr>
        <w:t xml:space="preserve">: El Sr. Antoniotti nació el 28 de julio de 1953. Su DNI es 10893759, su CUIT es 23-10893759-9 y su domicilio especial Av. Comandante Luis Piedrabuena 4950, Bariloche. Obtuvo en el año 1979 el título de Abogado en la Facultad de Derecho de la Universidad de Buenos Aires, y en el mismo año también obtuvo el título de Escribano, emitido por la misma Universidad. Durante los años 1979 y 1988 ejerció independientemente la profesión en los fueros civil, comercial y laboral en la Capital Federal y en la Provincia de Buenos Aires. En 1988 ingresó a la CNEA, en la cual se desempeñó como Jefe del Departamento de Juicios y Dictámenes Laborales de 1989 a 2007 y a cargo de la Gerencia de Asuntos Jurídicos en ausencia de su titular. De junio de 2007 al 2009 fue gerente de Asuntos Jurídicos de CNEA y de febrero de 2009 a la actualidad es Auditor Interno de CNEA. El Sr. Antoniotti es Síndico titular desde el 30 noviembre de 2006. </w:t>
      </w:r>
    </w:p>
    <w:p w14:paraId="5CE6267A" w14:textId="77777777" w:rsidR="0009026C" w:rsidRPr="00A24BAC" w:rsidRDefault="0009026C" w:rsidP="0009026C">
      <w:pPr>
        <w:widowControl w:val="0"/>
        <w:autoSpaceDE w:val="0"/>
        <w:autoSpaceDN w:val="0"/>
        <w:adjustRightInd w:val="0"/>
        <w:jc w:val="both"/>
        <w:rPr>
          <w:sz w:val="20"/>
          <w:szCs w:val="20"/>
          <w:lang w:val="es-MX"/>
        </w:rPr>
      </w:pPr>
    </w:p>
    <w:p w14:paraId="045F0BBD" w14:textId="05633106" w:rsidR="0009026C" w:rsidRPr="004544C6" w:rsidRDefault="0009026C" w:rsidP="0009026C">
      <w:pPr>
        <w:widowControl w:val="0"/>
        <w:autoSpaceDE w:val="0"/>
        <w:autoSpaceDN w:val="0"/>
        <w:adjustRightInd w:val="0"/>
        <w:jc w:val="both"/>
        <w:rPr>
          <w:sz w:val="20"/>
          <w:szCs w:val="20"/>
          <w:lang w:val="es-MX"/>
        </w:rPr>
      </w:pPr>
      <w:r w:rsidRPr="00A61C89">
        <w:rPr>
          <w:i/>
          <w:sz w:val="20"/>
          <w:szCs w:val="20"/>
          <w:lang w:val="es-MX"/>
        </w:rPr>
        <w:t>Sebastián Arrondo</w:t>
      </w:r>
      <w:r w:rsidRPr="00A24BAC">
        <w:rPr>
          <w:sz w:val="20"/>
          <w:szCs w:val="20"/>
          <w:lang w:val="es-MX"/>
        </w:rPr>
        <w:t>: El Sr. Arrondo nació el 6 de abril de 1970. Obtuvo el título de abogado en 1997 en la Universidad Nacional de La Plata. Su DNI es 21536126, su CUIT 20-21536126-9 y su domicilio especial Av. Comandante Luis Piedrabuena 4950, Bariloche. Obtuvo el Título de Abogado – Procurador en la Universidad Nacional de la Plata (1996). Desde 1997 a la fecha realiza el ejercicio liberal de la profesión. Se desempeñó en carácter de mediador judicial en el Centro Judicial de Mediación de la Tercera Circunscripción. Actualmente se desempeña como Abogado de UTA, ATSA y SOMU. Integrante del Consejo de la Magistr</w:t>
      </w:r>
      <w:r w:rsidR="00BA16EA">
        <w:rPr>
          <w:sz w:val="20"/>
          <w:szCs w:val="20"/>
          <w:lang w:val="es-MX"/>
        </w:rPr>
        <w:t>at</w:t>
      </w:r>
      <w:r w:rsidRPr="00A24BAC">
        <w:rPr>
          <w:sz w:val="20"/>
          <w:szCs w:val="20"/>
          <w:lang w:val="es-MX"/>
        </w:rPr>
        <w:t xml:space="preserve">ura por la Tercera Circunscripción periodos 2007-2009 y 2009-2013. </w:t>
      </w:r>
      <w:r w:rsidR="004544C6" w:rsidRPr="00A24BAC">
        <w:rPr>
          <w:sz w:val="20"/>
          <w:szCs w:val="20"/>
          <w:lang w:val="es-MX"/>
        </w:rPr>
        <w:t>Actual</w:t>
      </w:r>
      <w:r w:rsidR="004544C6">
        <w:rPr>
          <w:sz w:val="20"/>
          <w:szCs w:val="20"/>
          <w:lang w:val="es-MX"/>
        </w:rPr>
        <w:t>mente se</w:t>
      </w:r>
      <w:r w:rsidR="004544C6" w:rsidRPr="00A24BAC">
        <w:rPr>
          <w:sz w:val="20"/>
          <w:szCs w:val="20"/>
          <w:lang w:val="es-MX"/>
        </w:rPr>
        <w:t xml:space="preserve"> desempeñ</w:t>
      </w:r>
      <w:r w:rsidR="004544C6">
        <w:rPr>
          <w:sz w:val="20"/>
          <w:szCs w:val="20"/>
          <w:lang w:val="es-MX"/>
        </w:rPr>
        <w:t>a</w:t>
      </w:r>
      <w:r w:rsidR="004544C6" w:rsidRPr="00A24BAC">
        <w:rPr>
          <w:sz w:val="20"/>
          <w:szCs w:val="20"/>
          <w:lang w:val="es-MX"/>
        </w:rPr>
        <w:t xml:space="preserve"> en calidad de Sindico Titular de ALTEC S.E.</w:t>
      </w:r>
      <w:r w:rsidR="004544C6">
        <w:rPr>
          <w:sz w:val="20"/>
          <w:szCs w:val="20"/>
          <w:lang w:val="es-MX"/>
        </w:rPr>
        <w:t xml:space="preserve"> </w:t>
      </w:r>
      <w:r w:rsidR="00AA3F9A">
        <w:rPr>
          <w:sz w:val="20"/>
          <w:szCs w:val="20"/>
          <w:lang w:val="es-MX"/>
        </w:rPr>
        <w:t>Se desempeña como Síndico Suplente de INVAP desde 2012.</w:t>
      </w:r>
    </w:p>
    <w:p w14:paraId="4D51F6F9" w14:textId="495C68AE" w:rsidR="0009026C" w:rsidRPr="00A24BAC" w:rsidRDefault="0009026C" w:rsidP="0009026C">
      <w:pPr>
        <w:widowControl w:val="0"/>
        <w:autoSpaceDE w:val="0"/>
        <w:autoSpaceDN w:val="0"/>
        <w:adjustRightInd w:val="0"/>
        <w:jc w:val="both"/>
        <w:rPr>
          <w:sz w:val="20"/>
          <w:szCs w:val="20"/>
          <w:lang w:val="es-MX"/>
        </w:rPr>
      </w:pPr>
      <w:r w:rsidRPr="00A24BAC">
        <w:rPr>
          <w:sz w:val="20"/>
          <w:szCs w:val="20"/>
          <w:lang w:val="es-MX"/>
        </w:rPr>
        <w:t xml:space="preserve"> </w:t>
      </w:r>
    </w:p>
    <w:p w14:paraId="5C7C99D4" w14:textId="7928A935" w:rsidR="0009026C" w:rsidRPr="00A24BAC" w:rsidRDefault="0009026C" w:rsidP="0009026C">
      <w:pPr>
        <w:widowControl w:val="0"/>
        <w:autoSpaceDE w:val="0"/>
        <w:autoSpaceDN w:val="0"/>
        <w:adjustRightInd w:val="0"/>
        <w:jc w:val="both"/>
        <w:rPr>
          <w:sz w:val="20"/>
          <w:szCs w:val="20"/>
          <w:lang w:val="es-MX"/>
        </w:rPr>
      </w:pPr>
      <w:r w:rsidRPr="00A61C89">
        <w:rPr>
          <w:i/>
          <w:sz w:val="20"/>
          <w:szCs w:val="20"/>
          <w:lang w:val="es-MX"/>
        </w:rPr>
        <w:t>Natalia Marisa Vega Soto</w:t>
      </w:r>
      <w:r w:rsidRPr="00A24BAC">
        <w:rPr>
          <w:sz w:val="20"/>
          <w:szCs w:val="20"/>
          <w:lang w:val="es-MX"/>
        </w:rPr>
        <w:t xml:space="preserve">: La Sra. Vega Soto nació el 13 de abril de 1978. Su DNI es 26645774, su CUIT 27-26645774-5 y su domicilio especial Av. Comandante Luis Piedrabuena 4950, Bariloche. Obtuvo el título de abogada con orientación en derecho comercial, de la Universidad Fasta, Bariloche. Asimismo. En el año 2000 se desempeñó como Secretaria Legislativa en la Fundación Nueva Patagonia. En el año 2003 realizó una pasantía en la Mesa de Entradas y como escribiente en el Juzgado Civil, Comercial y de Minería Nº 1 del Poder Judicial de Río Negro. Entre los años 2004 y 2008 desempeñó tareas varias en el Estudio Irene da Silva Evora. En marzo de 2008 se desempeñó como asesora legal para la campaña electoral para la Intendencia de Bariloche. Desde 2009 a la fecha, se desempeña como letrada apoderada de las firmas: Bazar Avenida S.A., Consumo S.A., Total Support S.A. (firmas pertenecientes al Grupo MEGATONE) y como responsable en Bariloche de Cobranzas y Asesoramiento en Defensa del Consumidor. Asimismo, desempeña la actividad profesional en forma independiente. </w:t>
      </w:r>
      <w:r w:rsidR="00AA3F9A">
        <w:rPr>
          <w:sz w:val="20"/>
          <w:szCs w:val="20"/>
          <w:lang w:val="es-MX"/>
        </w:rPr>
        <w:t>Se desempeña como Síndico Suplente de INVAP desde 2012.</w:t>
      </w:r>
    </w:p>
    <w:p w14:paraId="33263F05" w14:textId="77777777" w:rsidR="0009026C" w:rsidRPr="00A24BAC" w:rsidRDefault="0009026C" w:rsidP="0009026C">
      <w:pPr>
        <w:widowControl w:val="0"/>
        <w:autoSpaceDE w:val="0"/>
        <w:autoSpaceDN w:val="0"/>
        <w:adjustRightInd w:val="0"/>
        <w:jc w:val="both"/>
        <w:rPr>
          <w:sz w:val="20"/>
          <w:szCs w:val="20"/>
          <w:lang w:val="es-MX"/>
        </w:rPr>
      </w:pPr>
    </w:p>
    <w:p w14:paraId="5D4C76F6" w14:textId="77777777" w:rsidR="0009026C" w:rsidRPr="00A24BAC" w:rsidRDefault="0009026C" w:rsidP="0009026C">
      <w:pPr>
        <w:widowControl w:val="0"/>
        <w:autoSpaceDE w:val="0"/>
        <w:autoSpaceDN w:val="0"/>
        <w:adjustRightInd w:val="0"/>
        <w:jc w:val="both"/>
        <w:rPr>
          <w:sz w:val="20"/>
          <w:szCs w:val="20"/>
          <w:lang w:val="es-MX"/>
        </w:rPr>
      </w:pPr>
      <w:r w:rsidRPr="00A61C89">
        <w:rPr>
          <w:i/>
          <w:sz w:val="20"/>
          <w:szCs w:val="20"/>
          <w:lang w:val="es-MX"/>
        </w:rPr>
        <w:t>Fabián Augusto Becerra</w:t>
      </w:r>
      <w:r w:rsidRPr="00A24BAC">
        <w:rPr>
          <w:sz w:val="20"/>
          <w:szCs w:val="20"/>
          <w:lang w:val="es-MX"/>
        </w:rPr>
        <w:t xml:space="preserve">: El Sr. Becerra nació el 25 de enero de 1962. Su DNI es 14873626, su CUIT 20-14873626-0 y su domicilio especial Av. Comandante Luis Piedrabuena 4950, Bariloche. En el año 1999 obtuvo el título de Contador Público Nacional en la Universidad Nacional de La Matanza. En el año 2003 obtuvo la Licenciatura en Administración de Empresas en la misma Universidad. El Sr. Becerra realizó, en la misma Universidad, en el año 2008 una Maestría en Finanzas Públicas, como también un Doctorado en Finanzas Públicas. El Sr. Becerra realizo una gran variedad de cursos específicos, entre otros: Protección Radiológica y Seguridad Nuclear, Primer Curso de Salvaguardias para Operadores de Instalaciones Argentinas, Introducción a los Combustibles Nucleares, Curso de Riesgo Asociado al Trabajo con Uranio y Transuranidos, entre otros. Entre los años 1979 y 1982 realizó tareas para Baso y Cía. S.A. en el proyecto y construcción de matricería del tipo cortante. En el año 1983, trabajó en Aguirre-Pinasco S.A. en la generación de pliegos de licitaciones, contratación de mano de obra y confección de contratos. Desde el año 1984 a la actualidad realiza tareas en la CNEA. El Sr. Becerra es Síndico desde el 29 de septiembre de 2009. </w:t>
      </w:r>
    </w:p>
    <w:p w14:paraId="62B1E308" w14:textId="10ED02BF" w:rsidR="001F22C6" w:rsidRPr="007213A1" w:rsidRDefault="001F22C6" w:rsidP="001F22C6">
      <w:pPr>
        <w:widowControl w:val="0"/>
        <w:suppressLineNumbers/>
        <w:suppressAutoHyphens/>
        <w:jc w:val="both"/>
        <w:rPr>
          <w:bCs/>
          <w:sz w:val="20"/>
          <w:szCs w:val="20"/>
          <w:lang w:val="es-AR" w:eastAsia="es-ES"/>
        </w:rPr>
      </w:pPr>
    </w:p>
    <w:p w14:paraId="5D5FA850" w14:textId="77777777" w:rsidR="001F22C6" w:rsidRPr="007213A1" w:rsidRDefault="001F22C6" w:rsidP="001F22C6">
      <w:pPr>
        <w:jc w:val="both"/>
        <w:rPr>
          <w:sz w:val="20"/>
          <w:szCs w:val="20"/>
          <w:lang w:val="es-ES"/>
        </w:rPr>
      </w:pPr>
      <w:r w:rsidRPr="007213A1">
        <w:rPr>
          <w:b/>
          <w:bCs/>
          <w:sz w:val="20"/>
          <w:szCs w:val="20"/>
          <w:lang w:val="es-ES"/>
        </w:rPr>
        <w:t>e) Gobierno Corporativo</w:t>
      </w:r>
    </w:p>
    <w:p w14:paraId="39C8DFF4" w14:textId="77777777" w:rsidR="001F22C6" w:rsidRPr="007213A1" w:rsidRDefault="001F22C6" w:rsidP="001F22C6">
      <w:pPr>
        <w:jc w:val="both"/>
        <w:rPr>
          <w:sz w:val="20"/>
          <w:szCs w:val="20"/>
          <w:lang w:val="es-ES"/>
        </w:rPr>
      </w:pPr>
    </w:p>
    <w:p w14:paraId="6A4453C7" w14:textId="69FD7575" w:rsidR="001F22C6" w:rsidRDefault="001F22C6" w:rsidP="001F22C6">
      <w:pPr>
        <w:jc w:val="both"/>
        <w:rPr>
          <w:sz w:val="20"/>
          <w:szCs w:val="20"/>
          <w:lang w:val="es-MX"/>
        </w:rPr>
      </w:pPr>
      <w:r w:rsidRPr="00A61C89">
        <w:rPr>
          <w:sz w:val="20"/>
          <w:szCs w:val="20"/>
          <w:lang w:val="es-MX"/>
        </w:rPr>
        <w:t>En cumplimiento de las Normas de la CNV, la Sociedad ha adoptado un Código de Gobierno Societario el cual consta como Anexo a la Memoria del Directorio que forma parte de los Estados Financieros anuales de la Sociedad por el ejercicio que finalizó el 30 de junio de 2019.</w:t>
      </w:r>
    </w:p>
    <w:p w14:paraId="4D894902" w14:textId="77777777" w:rsidR="0056561E" w:rsidRDefault="0056561E" w:rsidP="0056561E">
      <w:pPr>
        <w:jc w:val="both"/>
        <w:rPr>
          <w:sz w:val="20"/>
          <w:szCs w:val="20"/>
          <w:lang w:val="es-MX"/>
        </w:rPr>
      </w:pPr>
    </w:p>
    <w:p w14:paraId="04DB6CD5" w14:textId="7D3DF913" w:rsidR="004544C6" w:rsidRPr="00117EC6" w:rsidRDefault="004544C6" w:rsidP="004C2CEC">
      <w:pPr>
        <w:jc w:val="both"/>
        <w:rPr>
          <w:sz w:val="20"/>
          <w:szCs w:val="20"/>
          <w:lang w:val="es-MX"/>
        </w:rPr>
      </w:pPr>
      <w:r w:rsidRPr="00117EC6">
        <w:rPr>
          <w:sz w:val="20"/>
          <w:szCs w:val="20"/>
          <w:lang w:val="es-MX"/>
        </w:rPr>
        <w:t>Con el fin de generar mayor confianza tanto en su comunidad interna, como en clientes, socios comerciales, proveedores, autoridades nacionales e internacionales y sociedad en general, la empresa implementó un Código de Ética y un Programa de Integridad asociado mediante los cuales manifiesta los compromisos que asume y el modo en que desarrolla sus actividades.</w:t>
      </w:r>
    </w:p>
    <w:p w14:paraId="3E4F24A7" w14:textId="77777777" w:rsidR="0056561E" w:rsidRDefault="0056561E" w:rsidP="00BA304B">
      <w:pPr>
        <w:jc w:val="both"/>
        <w:rPr>
          <w:sz w:val="20"/>
          <w:szCs w:val="20"/>
          <w:lang w:val="es-MX"/>
        </w:rPr>
      </w:pPr>
    </w:p>
    <w:p w14:paraId="70EAEA96" w14:textId="03B127C3" w:rsidR="004544C6" w:rsidRPr="00117EC6" w:rsidRDefault="004544C6" w:rsidP="00BA304B">
      <w:pPr>
        <w:jc w:val="both"/>
        <w:rPr>
          <w:sz w:val="20"/>
          <w:szCs w:val="20"/>
          <w:lang w:val="es-MX"/>
        </w:rPr>
      </w:pPr>
      <w:r w:rsidRPr="00117EC6">
        <w:rPr>
          <w:sz w:val="20"/>
          <w:szCs w:val="20"/>
          <w:lang w:val="es-MX"/>
        </w:rPr>
        <w:t>A su vez, con el objetivo de impulsar la mejora continua de la cultura ética en la empresa, el Directorio creó un Comité de Ética que promueve la difusión, aplicación y cumplimiento del Código de Ética y el Programa de Integridad.</w:t>
      </w:r>
    </w:p>
    <w:p w14:paraId="17C08E62" w14:textId="77777777" w:rsidR="0056561E" w:rsidRDefault="0056561E" w:rsidP="0056561E">
      <w:pPr>
        <w:jc w:val="both"/>
        <w:rPr>
          <w:sz w:val="20"/>
          <w:szCs w:val="20"/>
          <w:lang w:val="es-MX"/>
        </w:rPr>
      </w:pPr>
    </w:p>
    <w:p w14:paraId="7F367A12" w14:textId="26C2BC5A" w:rsidR="004544C6" w:rsidRPr="00117EC6" w:rsidRDefault="004544C6" w:rsidP="004C2CEC">
      <w:pPr>
        <w:jc w:val="both"/>
        <w:rPr>
          <w:sz w:val="20"/>
          <w:szCs w:val="20"/>
          <w:lang w:val="es-MX"/>
        </w:rPr>
      </w:pPr>
      <w:r w:rsidRPr="00117EC6">
        <w:rPr>
          <w:sz w:val="20"/>
          <w:szCs w:val="20"/>
          <w:lang w:val="es-MX"/>
        </w:rPr>
        <w:t>La política implementada establece un conjunto de acciones, mecanismos y procedimientos internos. Dentro de este marco, se prevé la realización de planes anuales en los cuales se identifican y evalúan riesgos, se establecen las acciones para mitigarlos y se generan informes a la alta dirección. Apoyando a estos fines, la empresa ha designado a un Responsable del Programa de Integridad, quien tiene a su cargo el desarrollo, la coordinación y la supervisión del mismo.</w:t>
      </w:r>
    </w:p>
    <w:p w14:paraId="454D0ADA" w14:textId="77777777" w:rsidR="0056561E" w:rsidRDefault="0056561E" w:rsidP="00BA304B">
      <w:pPr>
        <w:jc w:val="both"/>
        <w:rPr>
          <w:sz w:val="20"/>
          <w:szCs w:val="20"/>
          <w:lang w:val="es-MX"/>
        </w:rPr>
      </w:pPr>
    </w:p>
    <w:p w14:paraId="74EB6054" w14:textId="5122F63B" w:rsidR="004544C6" w:rsidRPr="007213A1" w:rsidRDefault="004544C6" w:rsidP="00BA304B">
      <w:pPr>
        <w:jc w:val="both"/>
        <w:rPr>
          <w:sz w:val="20"/>
          <w:szCs w:val="20"/>
          <w:lang w:val="es-MX"/>
        </w:rPr>
      </w:pPr>
      <w:r w:rsidRPr="00117EC6">
        <w:rPr>
          <w:sz w:val="20"/>
          <w:szCs w:val="20"/>
          <w:lang w:val="es-MX"/>
        </w:rPr>
        <w:t>Para promover la denuncia de conductas contrarias al Código de Ética, la empresa, entre otras acciones, habilitó canales externos especializados y confeccionó protocolos para establecer los procedimientos de tratamiento de dichas denuncias, asegurando investigaciones internas objetivas y protección a los denunciantes y/o las víctimas.</w:t>
      </w:r>
    </w:p>
    <w:p w14:paraId="5A4EE5B7" w14:textId="77777777" w:rsidR="001F22C6" w:rsidRPr="007213A1" w:rsidRDefault="001F22C6" w:rsidP="001F22C6">
      <w:pPr>
        <w:jc w:val="both"/>
        <w:rPr>
          <w:sz w:val="20"/>
          <w:szCs w:val="20"/>
          <w:lang w:val="es-MX"/>
        </w:rPr>
      </w:pPr>
    </w:p>
    <w:p w14:paraId="1FCF70F4" w14:textId="77777777" w:rsidR="001F22C6" w:rsidRPr="007213A1" w:rsidRDefault="001F22C6" w:rsidP="001F22C6">
      <w:pPr>
        <w:jc w:val="both"/>
        <w:rPr>
          <w:b/>
          <w:sz w:val="20"/>
          <w:szCs w:val="20"/>
          <w:lang w:val="es-ES"/>
        </w:rPr>
      </w:pPr>
      <w:r w:rsidRPr="007213A1">
        <w:rPr>
          <w:b/>
          <w:sz w:val="20"/>
          <w:szCs w:val="20"/>
          <w:lang w:val="es-ES"/>
        </w:rPr>
        <w:t>f) Empleados</w:t>
      </w:r>
    </w:p>
    <w:p w14:paraId="742D0173" w14:textId="77777777" w:rsidR="001F22C6" w:rsidRPr="007213A1" w:rsidRDefault="001F22C6" w:rsidP="001F22C6">
      <w:pPr>
        <w:jc w:val="both"/>
        <w:rPr>
          <w:b/>
          <w:sz w:val="20"/>
          <w:szCs w:val="20"/>
          <w:lang w:val="es-ES"/>
        </w:rPr>
      </w:pPr>
    </w:p>
    <w:p w14:paraId="7D9D9D8C" w14:textId="77777777" w:rsidR="001F22C6" w:rsidRPr="007213A1" w:rsidRDefault="001F22C6" w:rsidP="001F22C6">
      <w:pPr>
        <w:widowControl w:val="0"/>
        <w:jc w:val="both"/>
        <w:rPr>
          <w:color w:val="000000"/>
          <w:sz w:val="20"/>
          <w:szCs w:val="20"/>
          <w:lang w:val="es-MX"/>
        </w:rPr>
      </w:pPr>
      <w:r w:rsidRPr="007213A1">
        <w:rPr>
          <w:color w:val="000000"/>
          <w:sz w:val="20"/>
          <w:szCs w:val="20"/>
          <w:lang w:val="es-MX"/>
        </w:rPr>
        <w:t xml:space="preserve">El siguiente cuadro presenta el detalle de los empleados de la Sociedad al 30 de junio de 2019, 2018 y 2017: </w:t>
      </w:r>
    </w:p>
    <w:p w14:paraId="22B1FEF8" w14:textId="77777777" w:rsidR="001F22C6" w:rsidRPr="00112B9F" w:rsidRDefault="001F22C6" w:rsidP="001F22C6">
      <w:pPr>
        <w:jc w:val="both"/>
        <w:rPr>
          <w:b/>
          <w:sz w:val="20"/>
          <w:szCs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5"/>
        <w:gridCol w:w="2120"/>
        <w:gridCol w:w="2120"/>
        <w:gridCol w:w="2120"/>
      </w:tblGrid>
      <w:tr w:rsidR="001F22C6" w:rsidRPr="007213A1" w14:paraId="557C898C" w14:textId="77777777" w:rsidTr="00F0775A">
        <w:tc>
          <w:tcPr>
            <w:tcW w:w="2434" w:type="dxa"/>
            <w:tcBorders>
              <w:bottom w:val="single" w:sz="4" w:space="0" w:color="auto"/>
            </w:tcBorders>
          </w:tcPr>
          <w:p w14:paraId="218F345B" w14:textId="77777777" w:rsidR="001F22C6" w:rsidRPr="007213A1" w:rsidRDefault="001F22C6" w:rsidP="00003BBF">
            <w:pPr>
              <w:jc w:val="center"/>
              <w:rPr>
                <w:b/>
                <w:sz w:val="20"/>
                <w:szCs w:val="20"/>
              </w:rPr>
            </w:pPr>
            <w:r w:rsidRPr="007213A1">
              <w:rPr>
                <w:b/>
                <w:sz w:val="20"/>
                <w:szCs w:val="20"/>
              </w:rPr>
              <w:t>Personal</w:t>
            </w:r>
          </w:p>
        </w:tc>
        <w:tc>
          <w:tcPr>
            <w:tcW w:w="2434" w:type="dxa"/>
            <w:tcBorders>
              <w:bottom w:val="single" w:sz="4" w:space="0" w:color="auto"/>
            </w:tcBorders>
          </w:tcPr>
          <w:p w14:paraId="0DD84CBF" w14:textId="77777777" w:rsidR="001F22C6" w:rsidRPr="007213A1" w:rsidRDefault="001F22C6" w:rsidP="00003BBF">
            <w:pPr>
              <w:jc w:val="center"/>
              <w:rPr>
                <w:b/>
                <w:sz w:val="20"/>
                <w:szCs w:val="20"/>
              </w:rPr>
            </w:pPr>
            <w:r w:rsidRPr="007213A1">
              <w:rPr>
                <w:b/>
                <w:sz w:val="20"/>
                <w:szCs w:val="20"/>
              </w:rPr>
              <w:t>30/06/2019</w:t>
            </w:r>
          </w:p>
        </w:tc>
        <w:tc>
          <w:tcPr>
            <w:tcW w:w="2434" w:type="dxa"/>
            <w:tcBorders>
              <w:bottom w:val="single" w:sz="4" w:space="0" w:color="auto"/>
            </w:tcBorders>
          </w:tcPr>
          <w:p w14:paraId="3E04EC04" w14:textId="77777777" w:rsidR="001F22C6" w:rsidRPr="007213A1" w:rsidRDefault="001F22C6" w:rsidP="00003BBF">
            <w:pPr>
              <w:jc w:val="center"/>
              <w:rPr>
                <w:b/>
                <w:sz w:val="20"/>
                <w:szCs w:val="20"/>
              </w:rPr>
            </w:pPr>
            <w:r w:rsidRPr="007213A1">
              <w:rPr>
                <w:b/>
                <w:sz w:val="20"/>
                <w:szCs w:val="20"/>
              </w:rPr>
              <w:t>30/06/2018</w:t>
            </w:r>
          </w:p>
        </w:tc>
        <w:tc>
          <w:tcPr>
            <w:tcW w:w="2434" w:type="dxa"/>
            <w:tcBorders>
              <w:bottom w:val="single" w:sz="4" w:space="0" w:color="auto"/>
            </w:tcBorders>
          </w:tcPr>
          <w:p w14:paraId="5DDF2ADF" w14:textId="77777777" w:rsidR="001F22C6" w:rsidRPr="007213A1" w:rsidRDefault="001F22C6" w:rsidP="00003BBF">
            <w:pPr>
              <w:jc w:val="center"/>
              <w:rPr>
                <w:b/>
                <w:sz w:val="20"/>
                <w:szCs w:val="20"/>
              </w:rPr>
            </w:pPr>
            <w:r w:rsidRPr="007213A1">
              <w:rPr>
                <w:b/>
                <w:sz w:val="20"/>
                <w:szCs w:val="20"/>
              </w:rPr>
              <w:t>30/06/2017</w:t>
            </w:r>
          </w:p>
        </w:tc>
      </w:tr>
      <w:tr w:rsidR="001F22C6" w:rsidRPr="007213A1" w14:paraId="253A4D75" w14:textId="77777777" w:rsidTr="00F0775A">
        <w:tc>
          <w:tcPr>
            <w:tcW w:w="2434" w:type="dxa"/>
            <w:tcBorders>
              <w:top w:val="single" w:sz="4" w:space="0" w:color="auto"/>
            </w:tcBorders>
          </w:tcPr>
          <w:p w14:paraId="25B5A637" w14:textId="77777777" w:rsidR="001F22C6" w:rsidRPr="002228BD" w:rsidRDefault="001F22C6" w:rsidP="00003BBF">
            <w:pPr>
              <w:jc w:val="both"/>
              <w:rPr>
                <w:bCs/>
                <w:sz w:val="20"/>
                <w:szCs w:val="20"/>
              </w:rPr>
            </w:pPr>
            <w:r w:rsidRPr="002228BD">
              <w:rPr>
                <w:bCs/>
                <w:sz w:val="20"/>
                <w:szCs w:val="20"/>
              </w:rPr>
              <w:t>Permanentes</w:t>
            </w:r>
          </w:p>
        </w:tc>
        <w:tc>
          <w:tcPr>
            <w:tcW w:w="2434" w:type="dxa"/>
            <w:tcBorders>
              <w:top w:val="single" w:sz="4" w:space="0" w:color="auto"/>
            </w:tcBorders>
          </w:tcPr>
          <w:p w14:paraId="44B6441A" w14:textId="3B8FF7E0" w:rsidR="001F22C6" w:rsidRPr="00A61C89" w:rsidRDefault="001019AD" w:rsidP="00003BBF">
            <w:pPr>
              <w:jc w:val="center"/>
              <w:rPr>
                <w:sz w:val="20"/>
                <w:szCs w:val="20"/>
                <w:lang w:val="es-ES"/>
              </w:rPr>
            </w:pPr>
            <w:r w:rsidRPr="00A61C89">
              <w:rPr>
                <w:bCs/>
                <w:iCs/>
                <w:color w:val="000000"/>
                <w:sz w:val="20"/>
                <w:szCs w:val="20"/>
                <w:lang w:val="es-ES"/>
              </w:rPr>
              <w:t>1.412</w:t>
            </w:r>
          </w:p>
        </w:tc>
        <w:tc>
          <w:tcPr>
            <w:tcW w:w="2434" w:type="dxa"/>
            <w:tcBorders>
              <w:top w:val="single" w:sz="4" w:space="0" w:color="auto"/>
            </w:tcBorders>
          </w:tcPr>
          <w:p w14:paraId="1F5F7529" w14:textId="1D251535" w:rsidR="001F22C6" w:rsidRPr="00A61C89" w:rsidRDefault="001019AD" w:rsidP="00003BBF">
            <w:pPr>
              <w:jc w:val="center"/>
              <w:rPr>
                <w:sz w:val="20"/>
                <w:szCs w:val="20"/>
              </w:rPr>
            </w:pPr>
            <w:r w:rsidRPr="00A61C89">
              <w:rPr>
                <w:bCs/>
                <w:iCs/>
                <w:color w:val="000000"/>
                <w:sz w:val="20"/>
                <w:szCs w:val="20"/>
                <w:lang w:val="es-ES"/>
              </w:rPr>
              <w:t>1.367</w:t>
            </w:r>
          </w:p>
        </w:tc>
        <w:tc>
          <w:tcPr>
            <w:tcW w:w="2434" w:type="dxa"/>
            <w:tcBorders>
              <w:top w:val="single" w:sz="4" w:space="0" w:color="auto"/>
            </w:tcBorders>
          </w:tcPr>
          <w:p w14:paraId="2C1E65F6" w14:textId="32AB5B03" w:rsidR="001F22C6" w:rsidRPr="00A61C89" w:rsidRDefault="001019AD" w:rsidP="00003BBF">
            <w:pPr>
              <w:jc w:val="center"/>
              <w:rPr>
                <w:sz w:val="20"/>
                <w:szCs w:val="20"/>
              </w:rPr>
            </w:pPr>
            <w:r w:rsidRPr="00A61C89">
              <w:rPr>
                <w:bCs/>
                <w:iCs/>
                <w:color w:val="000000"/>
                <w:sz w:val="20"/>
                <w:szCs w:val="20"/>
                <w:lang w:val="es-ES"/>
              </w:rPr>
              <w:t>1.301</w:t>
            </w:r>
          </w:p>
        </w:tc>
      </w:tr>
      <w:tr w:rsidR="001F22C6" w:rsidRPr="007213A1" w14:paraId="0B600CA0" w14:textId="77777777" w:rsidTr="00F0775A">
        <w:tc>
          <w:tcPr>
            <w:tcW w:w="2434" w:type="dxa"/>
          </w:tcPr>
          <w:p w14:paraId="48BA5918" w14:textId="77777777" w:rsidR="001F22C6" w:rsidRPr="002228BD" w:rsidRDefault="001F22C6" w:rsidP="00003BBF">
            <w:pPr>
              <w:jc w:val="both"/>
              <w:rPr>
                <w:bCs/>
                <w:sz w:val="20"/>
                <w:szCs w:val="20"/>
              </w:rPr>
            </w:pPr>
            <w:r w:rsidRPr="002228BD">
              <w:rPr>
                <w:bCs/>
                <w:sz w:val="20"/>
                <w:szCs w:val="20"/>
              </w:rPr>
              <w:t>Temporarios</w:t>
            </w:r>
          </w:p>
        </w:tc>
        <w:tc>
          <w:tcPr>
            <w:tcW w:w="2434" w:type="dxa"/>
          </w:tcPr>
          <w:p w14:paraId="2FF8D486" w14:textId="72CF43E0" w:rsidR="001F22C6" w:rsidRPr="00A61C89" w:rsidRDefault="001019AD" w:rsidP="00003BBF">
            <w:pPr>
              <w:widowControl w:val="0"/>
              <w:jc w:val="center"/>
              <w:rPr>
                <w:sz w:val="20"/>
                <w:szCs w:val="20"/>
                <w:lang w:val="es-ES"/>
              </w:rPr>
            </w:pPr>
            <w:r w:rsidRPr="00A61C89">
              <w:rPr>
                <w:bCs/>
                <w:iCs/>
                <w:color w:val="000000"/>
                <w:sz w:val="20"/>
                <w:szCs w:val="20"/>
                <w:lang w:val="es-ES"/>
              </w:rPr>
              <w:t>258</w:t>
            </w:r>
          </w:p>
        </w:tc>
        <w:tc>
          <w:tcPr>
            <w:tcW w:w="2434" w:type="dxa"/>
          </w:tcPr>
          <w:p w14:paraId="77FDD43F" w14:textId="146BD4A6" w:rsidR="001F22C6" w:rsidRPr="00A61C89" w:rsidRDefault="001019AD" w:rsidP="00003BBF">
            <w:pPr>
              <w:widowControl w:val="0"/>
              <w:jc w:val="center"/>
              <w:rPr>
                <w:sz w:val="20"/>
                <w:szCs w:val="20"/>
              </w:rPr>
            </w:pPr>
            <w:r w:rsidRPr="00A61C89">
              <w:rPr>
                <w:bCs/>
                <w:iCs/>
                <w:color w:val="000000"/>
                <w:sz w:val="20"/>
                <w:szCs w:val="20"/>
                <w:lang w:val="es-ES"/>
              </w:rPr>
              <w:t>246</w:t>
            </w:r>
          </w:p>
        </w:tc>
        <w:tc>
          <w:tcPr>
            <w:tcW w:w="2434" w:type="dxa"/>
          </w:tcPr>
          <w:p w14:paraId="5FC45E3C" w14:textId="07C9A9EB" w:rsidR="001F22C6" w:rsidRPr="00A61C89" w:rsidRDefault="001019AD" w:rsidP="00003BBF">
            <w:pPr>
              <w:widowControl w:val="0"/>
              <w:jc w:val="center"/>
              <w:rPr>
                <w:sz w:val="20"/>
                <w:szCs w:val="20"/>
              </w:rPr>
            </w:pPr>
            <w:r w:rsidRPr="00A61C89">
              <w:rPr>
                <w:bCs/>
                <w:iCs/>
                <w:color w:val="000000"/>
                <w:sz w:val="20"/>
                <w:szCs w:val="20"/>
                <w:lang w:val="es-ES"/>
              </w:rPr>
              <w:t>180</w:t>
            </w:r>
          </w:p>
        </w:tc>
      </w:tr>
      <w:tr w:rsidR="001F22C6" w:rsidRPr="007213A1" w14:paraId="29722816" w14:textId="77777777" w:rsidTr="00F0775A">
        <w:tc>
          <w:tcPr>
            <w:tcW w:w="2434" w:type="dxa"/>
          </w:tcPr>
          <w:p w14:paraId="7ED10E05" w14:textId="77777777" w:rsidR="001F22C6" w:rsidRPr="002228BD" w:rsidRDefault="001F22C6" w:rsidP="00003BBF">
            <w:pPr>
              <w:jc w:val="both"/>
              <w:rPr>
                <w:b/>
                <w:sz w:val="20"/>
                <w:szCs w:val="20"/>
              </w:rPr>
            </w:pPr>
            <w:r w:rsidRPr="002228BD">
              <w:rPr>
                <w:b/>
                <w:sz w:val="20"/>
                <w:szCs w:val="20"/>
              </w:rPr>
              <w:t>Total</w:t>
            </w:r>
          </w:p>
        </w:tc>
        <w:tc>
          <w:tcPr>
            <w:tcW w:w="2434" w:type="dxa"/>
          </w:tcPr>
          <w:p w14:paraId="3513C2FD" w14:textId="5E884608" w:rsidR="001F22C6" w:rsidRPr="00A61C89" w:rsidRDefault="001019AD" w:rsidP="00003BBF">
            <w:pPr>
              <w:widowControl w:val="0"/>
              <w:jc w:val="center"/>
              <w:rPr>
                <w:b/>
                <w:bCs/>
                <w:sz w:val="20"/>
                <w:szCs w:val="20"/>
                <w:lang w:val="es-ES"/>
              </w:rPr>
            </w:pPr>
            <w:r w:rsidRPr="00A61C89">
              <w:rPr>
                <w:bCs/>
                <w:iCs/>
                <w:color w:val="000000"/>
                <w:sz w:val="20"/>
                <w:szCs w:val="20"/>
                <w:lang w:val="es-ES"/>
              </w:rPr>
              <w:t>1.670</w:t>
            </w:r>
          </w:p>
        </w:tc>
        <w:tc>
          <w:tcPr>
            <w:tcW w:w="2434" w:type="dxa"/>
          </w:tcPr>
          <w:p w14:paraId="522C3069" w14:textId="2CF37A72" w:rsidR="001F22C6" w:rsidRPr="00A61C89" w:rsidRDefault="001019AD" w:rsidP="00003BBF">
            <w:pPr>
              <w:widowControl w:val="0"/>
              <w:jc w:val="center"/>
              <w:rPr>
                <w:b/>
                <w:bCs/>
                <w:sz w:val="20"/>
                <w:szCs w:val="20"/>
              </w:rPr>
            </w:pPr>
            <w:r w:rsidRPr="00A61C89">
              <w:rPr>
                <w:bCs/>
                <w:iCs/>
                <w:color w:val="000000"/>
                <w:sz w:val="20"/>
                <w:szCs w:val="20"/>
                <w:lang w:val="es-ES"/>
              </w:rPr>
              <w:t>1.613</w:t>
            </w:r>
          </w:p>
        </w:tc>
        <w:tc>
          <w:tcPr>
            <w:tcW w:w="2434" w:type="dxa"/>
          </w:tcPr>
          <w:p w14:paraId="044A1772" w14:textId="13AD4394" w:rsidR="001F22C6" w:rsidRPr="00A61C89" w:rsidRDefault="001019AD" w:rsidP="00003BBF">
            <w:pPr>
              <w:widowControl w:val="0"/>
              <w:jc w:val="center"/>
              <w:rPr>
                <w:b/>
                <w:bCs/>
                <w:sz w:val="20"/>
                <w:szCs w:val="20"/>
              </w:rPr>
            </w:pPr>
            <w:r w:rsidRPr="00A61C89">
              <w:rPr>
                <w:bCs/>
                <w:iCs/>
                <w:color w:val="000000"/>
                <w:sz w:val="20"/>
                <w:szCs w:val="20"/>
                <w:lang w:val="es-ES"/>
              </w:rPr>
              <w:t>1.481</w:t>
            </w:r>
          </w:p>
        </w:tc>
      </w:tr>
    </w:tbl>
    <w:p w14:paraId="1B78AC43" w14:textId="77777777" w:rsidR="001F22C6" w:rsidRPr="00112B9F" w:rsidRDefault="001F22C6" w:rsidP="001F22C6">
      <w:pPr>
        <w:widowControl w:val="0"/>
        <w:jc w:val="both"/>
        <w:rPr>
          <w:b/>
          <w:sz w:val="20"/>
          <w:szCs w:val="20"/>
        </w:rPr>
      </w:pPr>
    </w:p>
    <w:p w14:paraId="7F7538C3" w14:textId="77777777" w:rsidR="001F22C6" w:rsidRPr="007213A1" w:rsidRDefault="001F22C6" w:rsidP="001F22C6">
      <w:pPr>
        <w:widowControl w:val="0"/>
        <w:jc w:val="both"/>
        <w:rPr>
          <w:bCs/>
          <w:sz w:val="20"/>
          <w:szCs w:val="20"/>
        </w:rPr>
      </w:pPr>
    </w:p>
    <w:p w14:paraId="4F0F9A68" w14:textId="79064846" w:rsidR="001F22C6" w:rsidRPr="00A61C89" w:rsidRDefault="001F22C6" w:rsidP="001F22C6">
      <w:pPr>
        <w:jc w:val="both"/>
        <w:rPr>
          <w:color w:val="000000"/>
          <w:sz w:val="20"/>
          <w:szCs w:val="20"/>
          <w:lang w:val="es-AR"/>
        </w:rPr>
      </w:pPr>
      <w:r w:rsidRPr="00A61C89">
        <w:rPr>
          <w:color w:val="000000"/>
          <w:sz w:val="20"/>
          <w:szCs w:val="20"/>
          <w:lang w:val="es-AR"/>
        </w:rPr>
        <w:t>En el marco legal vigente no hay afiliación sindical ya que los empleados no están representados por ningún sindicato. Tampoco entre los empleados e INVAP hay vigente ningún Convenio Colectivo de trabajo.</w:t>
      </w:r>
    </w:p>
    <w:p w14:paraId="24A37481" w14:textId="77777777" w:rsidR="001F22C6" w:rsidRPr="00A61C89" w:rsidRDefault="001F22C6" w:rsidP="001F22C6">
      <w:pPr>
        <w:jc w:val="both"/>
        <w:rPr>
          <w:color w:val="000000"/>
          <w:sz w:val="20"/>
          <w:szCs w:val="20"/>
          <w:lang w:val="es-AR"/>
        </w:rPr>
      </w:pPr>
    </w:p>
    <w:p w14:paraId="2DB941D8" w14:textId="77777777" w:rsidR="001F22C6" w:rsidRPr="00A61C89" w:rsidRDefault="001F22C6" w:rsidP="001F22C6">
      <w:pPr>
        <w:jc w:val="both"/>
        <w:rPr>
          <w:color w:val="000000"/>
          <w:sz w:val="20"/>
          <w:szCs w:val="20"/>
          <w:lang w:val="es-AR"/>
        </w:rPr>
      </w:pPr>
      <w:r w:rsidRPr="00A61C89">
        <w:rPr>
          <w:color w:val="000000"/>
          <w:sz w:val="20"/>
          <w:szCs w:val="20"/>
          <w:lang w:val="es-AR"/>
        </w:rPr>
        <w:t>No obstante cabe destacar que en Noviembre de 1985 se creó la Asociación de Tenedores de Bonos de Participación de INVAP (“</w:t>
      </w:r>
      <w:r w:rsidRPr="00A61C89">
        <w:rPr>
          <w:color w:val="000000"/>
          <w:sz w:val="20"/>
          <w:szCs w:val="20"/>
          <w:u w:val="single"/>
          <w:lang w:val="es-AR"/>
        </w:rPr>
        <w:t>ATB</w:t>
      </w:r>
      <w:r w:rsidRPr="00A61C89">
        <w:rPr>
          <w:color w:val="000000"/>
          <w:sz w:val="20"/>
          <w:szCs w:val="20"/>
          <w:lang w:val="es-AR"/>
        </w:rPr>
        <w:t>”), que es una Asociación sin fines de lucro cuyo propósito principal es promover la elevación de las condiciones humanas, sociales y económicas de los empleados de INVAP, constituir una herramienta organizativa del tipo mutual, actuar como mecanismo de representación ante las autoridades de INVAP o ante organismos nacionales o provinciales, en todas aquellas circunstancias en que sea necesario actuar en defensa de la conservación de la fuente de trabajo y en resguardo de las condiciones laborales y brindar un ámbito de participación efectiva para que sus asociados puedan seguir el desenvolvimiento de la Empresa e incidir en las decisiones empresarias a partir de opiniones fundamentadas. Según lo establecido en el Estatuto Social se designa un Director por el personal, para que sea el nexo entre la ATB y el Directorio de la Sociedad.</w:t>
      </w:r>
    </w:p>
    <w:p w14:paraId="371FD229" w14:textId="77777777" w:rsidR="001F22C6" w:rsidRPr="00A61C89" w:rsidRDefault="001F22C6" w:rsidP="001F22C6">
      <w:pPr>
        <w:jc w:val="both"/>
        <w:rPr>
          <w:color w:val="000000"/>
          <w:sz w:val="20"/>
          <w:szCs w:val="20"/>
          <w:lang w:val="es-AR"/>
        </w:rPr>
      </w:pPr>
    </w:p>
    <w:p w14:paraId="2F324E4C" w14:textId="4E5B0028" w:rsidR="001019AD" w:rsidRPr="007213A1" w:rsidRDefault="001F22C6" w:rsidP="001F22C6">
      <w:pPr>
        <w:pStyle w:val="TextoIndependiente0"/>
        <w:widowControl w:val="0"/>
        <w:rPr>
          <w:color w:val="000000"/>
          <w:lang w:val="es-AR" w:eastAsia="en-US"/>
        </w:rPr>
      </w:pPr>
      <w:r w:rsidRPr="00A61C89">
        <w:rPr>
          <w:color w:val="000000"/>
          <w:lang w:val="es-AR" w:eastAsia="en-US"/>
        </w:rPr>
        <w:t xml:space="preserve">INVAP tiene una política de recursos humanos que busca brindar a sus empleados posibilidades de desarrollo y realización humana y socio-económica. Asimismo, continuará con su política de seguimiento de las condiciones laborales y salariales vigentes de forma tal de mantener su competitividad. </w:t>
      </w:r>
    </w:p>
    <w:p w14:paraId="37B1FB7F" w14:textId="77777777" w:rsidR="001F22C6" w:rsidRPr="007213A1" w:rsidRDefault="001F22C6" w:rsidP="001F22C6">
      <w:pPr>
        <w:jc w:val="both"/>
        <w:rPr>
          <w:sz w:val="20"/>
          <w:szCs w:val="20"/>
          <w:lang w:val="es-MX"/>
        </w:rPr>
      </w:pPr>
    </w:p>
    <w:p w14:paraId="4209F5A1" w14:textId="77777777" w:rsidR="001F22C6" w:rsidRPr="007213A1" w:rsidRDefault="001F22C6" w:rsidP="001F22C6">
      <w:pPr>
        <w:widowControl w:val="0"/>
        <w:jc w:val="both"/>
        <w:outlineLvl w:val="1"/>
        <w:rPr>
          <w:b/>
          <w:color w:val="000000"/>
          <w:sz w:val="20"/>
          <w:szCs w:val="20"/>
          <w:lang w:val="es-ES"/>
        </w:rPr>
      </w:pPr>
      <w:bookmarkStart w:id="23" w:name="_Toc321731531"/>
      <w:bookmarkStart w:id="24" w:name="_Toc320007417"/>
      <w:bookmarkStart w:id="25" w:name="_Toc355347947"/>
      <w:bookmarkStart w:id="26" w:name="_Toc360795965"/>
      <w:bookmarkStart w:id="27" w:name="_Toc363658937"/>
      <w:r w:rsidRPr="007213A1">
        <w:rPr>
          <w:b/>
          <w:color w:val="000000"/>
          <w:sz w:val="20"/>
          <w:szCs w:val="20"/>
          <w:lang w:val="es-ES"/>
        </w:rPr>
        <w:t>Asesores</w:t>
      </w:r>
      <w:bookmarkEnd w:id="23"/>
      <w:bookmarkEnd w:id="24"/>
      <w:bookmarkEnd w:id="25"/>
      <w:bookmarkEnd w:id="26"/>
      <w:bookmarkEnd w:id="27"/>
    </w:p>
    <w:p w14:paraId="1320E7B3" w14:textId="77777777" w:rsidR="001F22C6" w:rsidRPr="007213A1" w:rsidRDefault="001F22C6" w:rsidP="001F22C6">
      <w:pPr>
        <w:widowControl w:val="0"/>
        <w:jc w:val="both"/>
        <w:rPr>
          <w:bCs/>
          <w:color w:val="000000"/>
          <w:sz w:val="20"/>
          <w:szCs w:val="20"/>
          <w:lang w:val="es-ES"/>
        </w:rPr>
      </w:pPr>
    </w:p>
    <w:p w14:paraId="4AA557C7" w14:textId="24A3C020" w:rsidR="001019AD" w:rsidRPr="009D0D02" w:rsidRDefault="001019AD" w:rsidP="001019AD">
      <w:pPr>
        <w:widowControl w:val="0"/>
        <w:autoSpaceDE w:val="0"/>
        <w:autoSpaceDN w:val="0"/>
        <w:adjustRightInd w:val="0"/>
        <w:jc w:val="both"/>
        <w:rPr>
          <w:color w:val="000000"/>
          <w:sz w:val="20"/>
          <w:szCs w:val="20"/>
          <w:lang w:val="es-AR"/>
        </w:rPr>
      </w:pPr>
      <w:r w:rsidRPr="009D0D02">
        <w:rPr>
          <w:color w:val="000000"/>
          <w:sz w:val="20"/>
          <w:szCs w:val="20"/>
          <w:lang w:val="es-AR"/>
        </w:rPr>
        <w:t>El asesor contable de la Emisora es la firma Cánepa, Kopec y Asociados, miembro de Crowe Internacional, con domicilio en Av. Pte. Roque Sáenz Peña 788, Piso 9º, de la Ciudad Autónoma de Buenos Aires.</w:t>
      </w:r>
    </w:p>
    <w:p w14:paraId="442552D2" w14:textId="77777777" w:rsidR="001019AD" w:rsidRPr="009D0D02" w:rsidRDefault="001019AD" w:rsidP="001019AD">
      <w:pPr>
        <w:widowControl w:val="0"/>
        <w:autoSpaceDE w:val="0"/>
        <w:autoSpaceDN w:val="0"/>
        <w:adjustRightInd w:val="0"/>
        <w:jc w:val="both"/>
        <w:rPr>
          <w:color w:val="000000"/>
          <w:sz w:val="20"/>
          <w:szCs w:val="20"/>
          <w:lang w:val="es-AR"/>
        </w:rPr>
      </w:pPr>
    </w:p>
    <w:p w14:paraId="29834E40" w14:textId="27F059D4" w:rsidR="00554317" w:rsidRDefault="00554317" w:rsidP="00554317">
      <w:pPr>
        <w:widowControl w:val="0"/>
        <w:jc w:val="both"/>
        <w:rPr>
          <w:sz w:val="20"/>
          <w:szCs w:val="20"/>
          <w:lang w:val="es-ES"/>
        </w:rPr>
      </w:pPr>
      <w:r>
        <w:rPr>
          <w:sz w:val="20"/>
          <w:szCs w:val="20"/>
          <w:lang w:val="es-ES"/>
        </w:rPr>
        <w:t xml:space="preserve">El Estudio </w:t>
      </w:r>
      <w:r w:rsidRPr="007213A1">
        <w:rPr>
          <w:sz w:val="20"/>
          <w:szCs w:val="20"/>
          <w:lang w:val="es-ES"/>
        </w:rPr>
        <w:t>Beccar Varela, con domicilio en Tucumán 1, Piso 3º (C1049AAA), Ciudad Autónoma de Buenos Aires es asesor legal de la Sociedad respecto del Programa</w:t>
      </w:r>
      <w:r>
        <w:rPr>
          <w:sz w:val="20"/>
          <w:szCs w:val="20"/>
          <w:lang w:val="es-ES"/>
        </w:rPr>
        <w:t xml:space="preserve">. Asimismo provee asesoramiento en temas corporativos </w:t>
      </w:r>
      <w:r w:rsidR="00915760">
        <w:rPr>
          <w:sz w:val="20"/>
          <w:szCs w:val="20"/>
          <w:lang w:val="es-ES"/>
        </w:rPr>
        <w:t>de</w:t>
      </w:r>
      <w:r>
        <w:rPr>
          <w:sz w:val="20"/>
          <w:szCs w:val="20"/>
          <w:lang w:val="es-ES"/>
        </w:rPr>
        <w:t xml:space="preserve"> distintas ramas del derecho</w:t>
      </w:r>
      <w:r w:rsidR="00915760">
        <w:rPr>
          <w:sz w:val="20"/>
          <w:szCs w:val="20"/>
          <w:lang w:val="es-ES"/>
        </w:rPr>
        <w:t>.</w:t>
      </w:r>
    </w:p>
    <w:p w14:paraId="01FB8754" w14:textId="77777777" w:rsidR="00554317" w:rsidRDefault="00554317" w:rsidP="001019AD">
      <w:pPr>
        <w:widowControl w:val="0"/>
        <w:jc w:val="both"/>
        <w:rPr>
          <w:sz w:val="20"/>
          <w:szCs w:val="20"/>
          <w:lang w:val="es-ES"/>
        </w:rPr>
      </w:pPr>
    </w:p>
    <w:p w14:paraId="127D5D67" w14:textId="77777777" w:rsidR="00554317" w:rsidRDefault="001019AD" w:rsidP="001019AD">
      <w:pPr>
        <w:widowControl w:val="0"/>
        <w:jc w:val="both"/>
        <w:rPr>
          <w:sz w:val="20"/>
          <w:szCs w:val="20"/>
          <w:lang w:val="es-ES"/>
        </w:rPr>
      </w:pPr>
      <w:r>
        <w:rPr>
          <w:sz w:val="20"/>
          <w:szCs w:val="20"/>
          <w:lang w:val="es-ES"/>
        </w:rPr>
        <w:t>En enero de 2018, dependiendo directamente de Gerencia General, se crea internamente el área de Legales.</w:t>
      </w:r>
    </w:p>
    <w:p w14:paraId="0188DDB0" w14:textId="4E086CD1" w:rsidR="002228BD" w:rsidRDefault="00AA3F9A" w:rsidP="001019AD">
      <w:pPr>
        <w:widowControl w:val="0"/>
        <w:jc w:val="both"/>
        <w:rPr>
          <w:sz w:val="20"/>
          <w:szCs w:val="20"/>
          <w:lang w:val="es-ES"/>
        </w:rPr>
      </w:pPr>
      <w:r>
        <w:rPr>
          <w:sz w:val="20"/>
          <w:szCs w:val="20"/>
          <w:lang w:val="es-ES"/>
        </w:rPr>
        <w:t xml:space="preserve">Adicionalmente, </w:t>
      </w:r>
      <w:r w:rsidR="00554317">
        <w:rPr>
          <w:sz w:val="20"/>
          <w:szCs w:val="20"/>
          <w:lang w:val="es-ES"/>
        </w:rPr>
        <w:t xml:space="preserve">INVAP </w:t>
      </w:r>
      <w:r>
        <w:rPr>
          <w:sz w:val="20"/>
          <w:szCs w:val="20"/>
          <w:lang w:val="es-ES"/>
        </w:rPr>
        <w:t xml:space="preserve">cuenta con el asesoramiento externo, en aspectos de índole administrativo-laboral </w:t>
      </w:r>
      <w:r w:rsidR="00915760">
        <w:rPr>
          <w:sz w:val="20"/>
          <w:szCs w:val="20"/>
          <w:lang w:val="es-ES"/>
        </w:rPr>
        <w:t xml:space="preserve">del </w:t>
      </w:r>
      <w:r>
        <w:rPr>
          <w:sz w:val="20"/>
          <w:szCs w:val="20"/>
          <w:lang w:val="es-ES"/>
        </w:rPr>
        <w:t>Dr.</w:t>
      </w:r>
      <w:r w:rsidR="00915760">
        <w:rPr>
          <w:sz w:val="20"/>
          <w:szCs w:val="20"/>
          <w:lang w:val="es-ES"/>
        </w:rPr>
        <w:t xml:space="preserve"> </w:t>
      </w:r>
      <w:r>
        <w:rPr>
          <w:sz w:val="20"/>
          <w:szCs w:val="20"/>
          <w:lang w:val="es-ES"/>
        </w:rPr>
        <w:t>Pablo Devoto, con domicilio en Cumbai 642, de la ciudad de San Carlos de Bariloche.</w:t>
      </w:r>
    </w:p>
    <w:p w14:paraId="686E784A" w14:textId="77777777" w:rsidR="002228BD" w:rsidRDefault="002228BD" w:rsidP="001019AD">
      <w:pPr>
        <w:widowControl w:val="0"/>
        <w:jc w:val="both"/>
        <w:rPr>
          <w:sz w:val="20"/>
          <w:szCs w:val="20"/>
          <w:lang w:val="es-ES"/>
        </w:rPr>
      </w:pPr>
    </w:p>
    <w:p w14:paraId="482F220B" w14:textId="6DC9D504" w:rsidR="001F22C6" w:rsidRPr="007213A1" w:rsidRDefault="001F22C6" w:rsidP="001F22C6">
      <w:pPr>
        <w:widowControl w:val="0"/>
        <w:jc w:val="both"/>
        <w:outlineLvl w:val="1"/>
        <w:rPr>
          <w:b/>
          <w:bCs/>
          <w:sz w:val="20"/>
          <w:szCs w:val="20"/>
          <w:lang w:val="es-ES"/>
        </w:rPr>
      </w:pPr>
      <w:bookmarkStart w:id="28" w:name="_Toc254870518"/>
      <w:bookmarkStart w:id="29" w:name="_Toc254870751"/>
      <w:bookmarkStart w:id="30" w:name="_Toc254871168"/>
      <w:bookmarkStart w:id="31" w:name="_Toc257031274"/>
      <w:bookmarkStart w:id="32" w:name="_Toc258264033"/>
      <w:bookmarkStart w:id="33" w:name="_Toc272256916"/>
      <w:bookmarkStart w:id="34" w:name="_Toc272498753"/>
      <w:bookmarkStart w:id="35" w:name="_Toc272498856"/>
      <w:bookmarkStart w:id="36" w:name="_Toc272499087"/>
      <w:bookmarkStart w:id="37" w:name="_Toc272855997"/>
      <w:bookmarkStart w:id="38" w:name="_Toc272953629"/>
      <w:bookmarkStart w:id="39" w:name="_Toc273706031"/>
      <w:bookmarkStart w:id="40" w:name="_Toc274818743"/>
      <w:bookmarkStart w:id="41" w:name="_Toc280124683"/>
      <w:bookmarkStart w:id="42" w:name="_Toc286320625"/>
      <w:bookmarkStart w:id="43" w:name="_Toc360795966"/>
      <w:bookmarkStart w:id="44" w:name="_Toc363658938"/>
      <w:r w:rsidRPr="001622AF">
        <w:rPr>
          <w:b/>
          <w:bCs/>
          <w:sz w:val="20"/>
          <w:szCs w:val="20"/>
          <w:lang w:val="es-ES"/>
        </w:rPr>
        <w:t>Auditores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EA6900" w:rsidRPr="001622AF">
        <w:rPr>
          <w:b/>
          <w:bCs/>
          <w:sz w:val="20"/>
          <w:szCs w:val="20"/>
          <w:lang w:val="es-ES"/>
        </w:rPr>
        <w:t xml:space="preserve"> </w:t>
      </w:r>
    </w:p>
    <w:p w14:paraId="5339E513" w14:textId="77777777" w:rsidR="001F22C6" w:rsidRPr="007213A1" w:rsidRDefault="001F22C6" w:rsidP="001F22C6">
      <w:pPr>
        <w:widowControl w:val="0"/>
        <w:jc w:val="both"/>
        <w:rPr>
          <w:sz w:val="20"/>
          <w:szCs w:val="20"/>
          <w:lang w:val="es-ES"/>
        </w:rPr>
      </w:pPr>
    </w:p>
    <w:p w14:paraId="6F15E503" w14:textId="19B9D2D3" w:rsidR="001F22C6" w:rsidRPr="007213A1" w:rsidRDefault="001F22C6" w:rsidP="001F22C6">
      <w:pPr>
        <w:widowControl w:val="0"/>
        <w:jc w:val="both"/>
        <w:rPr>
          <w:b/>
          <w:sz w:val="20"/>
          <w:szCs w:val="20"/>
          <w:lang w:val="es-ES"/>
        </w:rPr>
      </w:pPr>
      <w:r w:rsidRPr="007213A1">
        <w:rPr>
          <w:sz w:val="20"/>
          <w:szCs w:val="20"/>
          <w:lang w:val="es-MX"/>
        </w:rPr>
        <w:t xml:space="preserve">Para el ejercicio finalizado el 30 de junio de 2019, </w:t>
      </w:r>
      <w:r w:rsidR="001019AD" w:rsidRPr="007213A1">
        <w:rPr>
          <w:sz w:val="20"/>
          <w:szCs w:val="20"/>
          <w:lang w:val="es-MX"/>
        </w:rPr>
        <w:t xml:space="preserve">el contador certificante fue </w:t>
      </w:r>
      <w:r w:rsidR="001019AD" w:rsidRPr="007213A1">
        <w:rPr>
          <w:sz w:val="20"/>
          <w:szCs w:val="20"/>
          <w:lang w:val="es-ES"/>
        </w:rPr>
        <w:t xml:space="preserve">el Cdor. </w:t>
      </w:r>
      <w:r w:rsidR="001019AD">
        <w:rPr>
          <w:sz w:val="20"/>
          <w:szCs w:val="20"/>
          <w:lang w:val="es-ES"/>
        </w:rPr>
        <w:t>Esteban Rubén Basile</w:t>
      </w:r>
      <w:r w:rsidR="001019AD" w:rsidRPr="007213A1">
        <w:rPr>
          <w:sz w:val="20"/>
          <w:szCs w:val="20"/>
          <w:lang w:val="es-ES"/>
        </w:rPr>
        <w:t>, T° VIII, F°</w:t>
      </w:r>
      <w:r w:rsidR="001019AD">
        <w:rPr>
          <w:sz w:val="20"/>
          <w:szCs w:val="20"/>
          <w:lang w:val="es-ES"/>
        </w:rPr>
        <w:t>38</w:t>
      </w:r>
      <w:r w:rsidR="001019AD" w:rsidRPr="007213A1">
        <w:rPr>
          <w:sz w:val="20"/>
          <w:szCs w:val="20"/>
          <w:lang w:val="es-ES"/>
        </w:rPr>
        <w:t xml:space="preserve">, socio de auditoría de </w:t>
      </w:r>
      <w:r w:rsidR="001019AD">
        <w:rPr>
          <w:sz w:val="20"/>
          <w:szCs w:val="20"/>
          <w:lang w:val="es-ES"/>
        </w:rPr>
        <w:t>C</w:t>
      </w:r>
      <w:r w:rsidR="002228BD">
        <w:rPr>
          <w:sz w:val="20"/>
          <w:szCs w:val="20"/>
          <w:lang w:val="es-ES"/>
        </w:rPr>
        <w:t>á</w:t>
      </w:r>
      <w:r w:rsidR="001019AD">
        <w:rPr>
          <w:sz w:val="20"/>
          <w:szCs w:val="20"/>
          <w:lang w:val="es-ES"/>
        </w:rPr>
        <w:t>nepa, Kopec y Asociados</w:t>
      </w:r>
      <w:r w:rsidR="001019AD" w:rsidRPr="007213A1">
        <w:rPr>
          <w:sz w:val="20"/>
          <w:szCs w:val="20"/>
          <w:lang w:val="es-ES"/>
        </w:rPr>
        <w:t xml:space="preserve">, </w:t>
      </w:r>
      <w:r w:rsidR="00C1661F">
        <w:rPr>
          <w:sz w:val="20"/>
          <w:szCs w:val="20"/>
          <w:lang w:val="es-ES"/>
        </w:rPr>
        <w:t xml:space="preserve">miembro de Crowe </w:t>
      </w:r>
      <w:r w:rsidR="005448F4">
        <w:rPr>
          <w:sz w:val="20"/>
          <w:szCs w:val="20"/>
          <w:lang w:val="es-ES"/>
        </w:rPr>
        <w:t>Global</w:t>
      </w:r>
      <w:r w:rsidR="00C1661F">
        <w:rPr>
          <w:sz w:val="20"/>
          <w:szCs w:val="20"/>
          <w:lang w:val="es-ES"/>
        </w:rPr>
        <w:t>, CUIT 30-52965489-4.</w:t>
      </w:r>
    </w:p>
    <w:p w14:paraId="35FF9F7F" w14:textId="77777777" w:rsidR="001F22C6" w:rsidRPr="007213A1" w:rsidRDefault="001F22C6" w:rsidP="001F22C6">
      <w:pPr>
        <w:widowControl w:val="0"/>
        <w:jc w:val="both"/>
        <w:rPr>
          <w:sz w:val="20"/>
          <w:szCs w:val="20"/>
          <w:lang w:val="es-ES"/>
        </w:rPr>
      </w:pPr>
    </w:p>
    <w:p w14:paraId="2A96AB45" w14:textId="21F950A0" w:rsidR="001F22C6" w:rsidRPr="007213A1" w:rsidRDefault="001F22C6" w:rsidP="001F22C6">
      <w:pPr>
        <w:widowControl w:val="0"/>
        <w:jc w:val="both"/>
        <w:rPr>
          <w:b/>
          <w:sz w:val="20"/>
          <w:szCs w:val="20"/>
          <w:lang w:val="es-ES"/>
        </w:rPr>
      </w:pPr>
      <w:r w:rsidRPr="007213A1">
        <w:rPr>
          <w:sz w:val="20"/>
          <w:szCs w:val="20"/>
          <w:lang w:val="es-MX"/>
        </w:rPr>
        <w:t xml:space="preserve">Para el ejercicio finalizado el 30 de junio de 2018, el contador certificante fue </w:t>
      </w:r>
      <w:r w:rsidRPr="007213A1">
        <w:rPr>
          <w:sz w:val="20"/>
          <w:szCs w:val="20"/>
          <w:lang w:val="es-ES"/>
        </w:rPr>
        <w:t xml:space="preserve">el Cdor. </w:t>
      </w:r>
      <w:r w:rsidR="005A1ECC">
        <w:rPr>
          <w:sz w:val="20"/>
          <w:szCs w:val="20"/>
          <w:lang w:val="es-ES"/>
        </w:rPr>
        <w:t xml:space="preserve">Esteban </w:t>
      </w:r>
      <w:r w:rsidR="007F7411">
        <w:rPr>
          <w:sz w:val="20"/>
          <w:szCs w:val="20"/>
          <w:lang w:val="es-ES"/>
        </w:rPr>
        <w:t>Rubén</w:t>
      </w:r>
      <w:r w:rsidR="005A1ECC">
        <w:rPr>
          <w:sz w:val="20"/>
          <w:szCs w:val="20"/>
          <w:lang w:val="es-ES"/>
        </w:rPr>
        <w:t xml:space="preserve"> Basile</w:t>
      </w:r>
      <w:r w:rsidR="005A1ECC" w:rsidRPr="007213A1">
        <w:rPr>
          <w:sz w:val="20"/>
          <w:szCs w:val="20"/>
          <w:lang w:val="es-ES"/>
        </w:rPr>
        <w:t xml:space="preserve">, </w:t>
      </w:r>
      <w:r w:rsidR="007F7411" w:rsidRPr="007213A1">
        <w:rPr>
          <w:sz w:val="20"/>
          <w:szCs w:val="20"/>
          <w:lang w:val="es-ES"/>
        </w:rPr>
        <w:t>T° VIII</w:t>
      </w:r>
      <w:r w:rsidR="005A1ECC" w:rsidRPr="007213A1">
        <w:rPr>
          <w:sz w:val="20"/>
          <w:szCs w:val="20"/>
          <w:lang w:val="es-ES"/>
        </w:rPr>
        <w:t xml:space="preserve">, </w:t>
      </w:r>
      <w:r w:rsidRPr="007213A1">
        <w:rPr>
          <w:sz w:val="20"/>
          <w:szCs w:val="20"/>
          <w:lang w:val="es-ES"/>
        </w:rPr>
        <w:t>F</w:t>
      </w:r>
      <w:r w:rsidR="005A1ECC" w:rsidRPr="007213A1">
        <w:rPr>
          <w:sz w:val="20"/>
          <w:szCs w:val="20"/>
          <w:lang w:val="es-ES"/>
        </w:rPr>
        <w:t>°</w:t>
      </w:r>
      <w:r w:rsidR="005A1ECC">
        <w:rPr>
          <w:sz w:val="20"/>
          <w:szCs w:val="20"/>
          <w:lang w:val="es-ES"/>
        </w:rPr>
        <w:t>38</w:t>
      </w:r>
      <w:r w:rsidR="005A1ECC" w:rsidRPr="007213A1">
        <w:rPr>
          <w:sz w:val="20"/>
          <w:szCs w:val="20"/>
          <w:lang w:val="es-ES"/>
        </w:rPr>
        <w:t xml:space="preserve">, </w:t>
      </w:r>
      <w:r w:rsidRPr="007213A1">
        <w:rPr>
          <w:sz w:val="20"/>
          <w:szCs w:val="20"/>
          <w:lang w:val="es-ES"/>
        </w:rPr>
        <w:t xml:space="preserve">socio de auditoría de </w:t>
      </w:r>
      <w:r w:rsidR="005A1ECC">
        <w:rPr>
          <w:sz w:val="20"/>
          <w:szCs w:val="20"/>
          <w:lang w:val="es-ES"/>
        </w:rPr>
        <w:t>Canepa, Kopec y Asociados</w:t>
      </w:r>
      <w:r w:rsidR="005A1ECC" w:rsidRPr="007213A1">
        <w:rPr>
          <w:sz w:val="20"/>
          <w:szCs w:val="20"/>
          <w:lang w:val="es-ES"/>
        </w:rPr>
        <w:t xml:space="preserve">, </w:t>
      </w:r>
      <w:r w:rsidR="00C1661F">
        <w:rPr>
          <w:sz w:val="20"/>
          <w:szCs w:val="20"/>
          <w:lang w:val="es-ES"/>
        </w:rPr>
        <w:t xml:space="preserve">miembro de Crowe </w:t>
      </w:r>
      <w:r w:rsidR="005448F4">
        <w:rPr>
          <w:sz w:val="20"/>
          <w:szCs w:val="20"/>
          <w:lang w:val="es-ES"/>
        </w:rPr>
        <w:t>Global</w:t>
      </w:r>
      <w:r w:rsidR="00C1661F">
        <w:rPr>
          <w:sz w:val="20"/>
          <w:szCs w:val="20"/>
          <w:lang w:val="es-ES"/>
        </w:rPr>
        <w:t>, CUIT 30-52965489-4.</w:t>
      </w:r>
    </w:p>
    <w:p w14:paraId="713551A0" w14:textId="77777777" w:rsidR="001F22C6" w:rsidRPr="007213A1" w:rsidRDefault="001F22C6" w:rsidP="001F22C6">
      <w:pPr>
        <w:widowControl w:val="0"/>
        <w:jc w:val="both"/>
        <w:rPr>
          <w:sz w:val="20"/>
          <w:szCs w:val="20"/>
          <w:lang w:val="es-ES"/>
        </w:rPr>
      </w:pPr>
    </w:p>
    <w:p w14:paraId="258965FB" w14:textId="572540E8" w:rsidR="001F22C6" w:rsidRPr="007213A1" w:rsidRDefault="001F22C6" w:rsidP="001F22C6">
      <w:pPr>
        <w:widowControl w:val="0"/>
        <w:jc w:val="both"/>
        <w:rPr>
          <w:b/>
          <w:sz w:val="20"/>
          <w:szCs w:val="20"/>
          <w:lang w:val="es-ES"/>
        </w:rPr>
      </w:pPr>
      <w:r w:rsidRPr="007213A1">
        <w:rPr>
          <w:sz w:val="20"/>
          <w:szCs w:val="20"/>
          <w:lang w:val="es-MX"/>
        </w:rPr>
        <w:t xml:space="preserve">Para el ejercicio finalizado el 30 de junio de 2017, </w:t>
      </w:r>
      <w:r w:rsidR="005A1ECC" w:rsidRPr="007213A1">
        <w:rPr>
          <w:sz w:val="20"/>
          <w:szCs w:val="20"/>
          <w:lang w:val="es-MX"/>
        </w:rPr>
        <w:t xml:space="preserve">el contador certificante fue </w:t>
      </w:r>
      <w:r w:rsidR="005A1ECC" w:rsidRPr="007213A1">
        <w:rPr>
          <w:sz w:val="20"/>
          <w:szCs w:val="20"/>
          <w:lang w:val="es-ES"/>
        </w:rPr>
        <w:t xml:space="preserve">el Cdor. </w:t>
      </w:r>
      <w:r w:rsidR="005A1ECC">
        <w:rPr>
          <w:sz w:val="20"/>
          <w:szCs w:val="20"/>
          <w:lang w:val="es-ES"/>
        </w:rPr>
        <w:t xml:space="preserve">Esteban </w:t>
      </w:r>
      <w:r w:rsidR="007F7411">
        <w:rPr>
          <w:sz w:val="20"/>
          <w:szCs w:val="20"/>
          <w:lang w:val="es-ES"/>
        </w:rPr>
        <w:t>Rubén</w:t>
      </w:r>
      <w:r w:rsidR="005A1ECC">
        <w:rPr>
          <w:sz w:val="20"/>
          <w:szCs w:val="20"/>
          <w:lang w:val="es-ES"/>
        </w:rPr>
        <w:t xml:space="preserve"> Basile</w:t>
      </w:r>
      <w:r w:rsidR="005A1ECC" w:rsidRPr="007213A1">
        <w:rPr>
          <w:sz w:val="20"/>
          <w:szCs w:val="20"/>
          <w:lang w:val="es-ES"/>
        </w:rPr>
        <w:t xml:space="preserve">, </w:t>
      </w:r>
      <w:r w:rsidR="007F7411" w:rsidRPr="007213A1">
        <w:rPr>
          <w:sz w:val="20"/>
          <w:szCs w:val="20"/>
          <w:lang w:val="es-ES"/>
        </w:rPr>
        <w:t>T°</w:t>
      </w:r>
      <w:r w:rsidR="007F7411">
        <w:rPr>
          <w:sz w:val="20"/>
          <w:szCs w:val="20"/>
          <w:lang w:val="es-ES"/>
        </w:rPr>
        <w:t xml:space="preserve"> VIII</w:t>
      </w:r>
      <w:r w:rsidR="005A1ECC" w:rsidRPr="007213A1">
        <w:rPr>
          <w:sz w:val="20"/>
          <w:szCs w:val="20"/>
          <w:lang w:val="es-ES"/>
        </w:rPr>
        <w:t>, F°</w:t>
      </w:r>
      <w:r w:rsidR="005A1ECC">
        <w:rPr>
          <w:sz w:val="20"/>
          <w:szCs w:val="20"/>
          <w:lang w:val="es-ES"/>
        </w:rPr>
        <w:t>38</w:t>
      </w:r>
      <w:r w:rsidR="005A1ECC" w:rsidRPr="007213A1">
        <w:rPr>
          <w:sz w:val="20"/>
          <w:szCs w:val="20"/>
          <w:lang w:val="es-ES"/>
        </w:rPr>
        <w:t xml:space="preserve">, socio de auditoría de </w:t>
      </w:r>
      <w:r w:rsidR="005A1ECC">
        <w:rPr>
          <w:sz w:val="20"/>
          <w:szCs w:val="20"/>
          <w:lang w:val="es-ES"/>
        </w:rPr>
        <w:t>Canepa, Kopec y Asociados</w:t>
      </w:r>
      <w:r w:rsidR="005A1ECC" w:rsidRPr="007213A1">
        <w:rPr>
          <w:sz w:val="20"/>
          <w:szCs w:val="20"/>
          <w:lang w:val="es-ES"/>
        </w:rPr>
        <w:t xml:space="preserve">, </w:t>
      </w:r>
      <w:r w:rsidR="00C1661F">
        <w:rPr>
          <w:sz w:val="20"/>
          <w:szCs w:val="20"/>
          <w:lang w:val="es-ES"/>
        </w:rPr>
        <w:t>miembro de Crowe</w:t>
      </w:r>
      <w:r w:rsidR="00EE5940">
        <w:rPr>
          <w:sz w:val="20"/>
          <w:szCs w:val="20"/>
          <w:lang w:val="es-ES"/>
        </w:rPr>
        <w:t xml:space="preserve"> </w:t>
      </w:r>
      <w:r w:rsidR="005448F4">
        <w:rPr>
          <w:sz w:val="20"/>
          <w:szCs w:val="20"/>
          <w:lang w:val="es-ES"/>
        </w:rPr>
        <w:t>Global</w:t>
      </w:r>
      <w:r w:rsidR="00C1661F">
        <w:rPr>
          <w:sz w:val="20"/>
          <w:szCs w:val="20"/>
          <w:lang w:val="es-ES"/>
        </w:rPr>
        <w:t>, CUIT 30-52965489-4.</w:t>
      </w:r>
    </w:p>
    <w:p w14:paraId="231A1598" w14:textId="77777777" w:rsidR="001F22C6" w:rsidRPr="007213A1" w:rsidRDefault="001F22C6" w:rsidP="001F22C6">
      <w:pPr>
        <w:widowControl w:val="0"/>
        <w:jc w:val="both"/>
        <w:rPr>
          <w:sz w:val="20"/>
          <w:szCs w:val="20"/>
          <w:lang w:val="es-ES"/>
        </w:rPr>
      </w:pPr>
    </w:p>
    <w:p w14:paraId="3ABB1FAB" w14:textId="77777777" w:rsidR="00317271" w:rsidRPr="007213A1" w:rsidRDefault="00317271">
      <w:pPr>
        <w:rPr>
          <w:bCs/>
          <w:sz w:val="20"/>
          <w:szCs w:val="20"/>
          <w:lang w:val="es-MX" w:eastAsia="es-ES"/>
        </w:rPr>
      </w:pPr>
      <w:r w:rsidRPr="007213A1">
        <w:rPr>
          <w:bCs/>
          <w:sz w:val="20"/>
          <w:szCs w:val="20"/>
          <w:lang w:val="es-MX" w:eastAsia="es-ES"/>
        </w:rPr>
        <w:br w:type="page"/>
      </w:r>
    </w:p>
    <w:p w14:paraId="37BAA67C" w14:textId="567BED1C" w:rsidR="00317271" w:rsidRPr="007213A1" w:rsidRDefault="00317271" w:rsidP="00317271">
      <w:pPr>
        <w:jc w:val="center"/>
        <w:rPr>
          <w:b/>
          <w:bCs/>
          <w:sz w:val="20"/>
          <w:szCs w:val="20"/>
          <w:lang w:val="es-ES"/>
        </w:rPr>
      </w:pPr>
      <w:r w:rsidRPr="007213A1">
        <w:rPr>
          <w:b/>
          <w:bCs/>
          <w:sz w:val="20"/>
          <w:szCs w:val="20"/>
          <w:lang w:val="es-ES"/>
        </w:rPr>
        <w:t>VI</w:t>
      </w:r>
      <w:r w:rsidR="00A227AF">
        <w:rPr>
          <w:b/>
          <w:bCs/>
          <w:sz w:val="20"/>
          <w:szCs w:val="20"/>
          <w:lang w:val="es-ES"/>
        </w:rPr>
        <w:t>.</w:t>
      </w:r>
      <w:r w:rsidRPr="007213A1">
        <w:rPr>
          <w:b/>
          <w:bCs/>
          <w:sz w:val="20"/>
          <w:szCs w:val="20"/>
          <w:lang w:val="es-ES"/>
        </w:rPr>
        <w:tab/>
        <w:t>ESTRUCTURA DE LA EMISORA, ACCIONISTAS O SOCIOS Y PARTES RELACIONADAS</w:t>
      </w:r>
    </w:p>
    <w:p w14:paraId="0E91A1D7" w14:textId="77777777" w:rsidR="00317271" w:rsidRPr="007213A1" w:rsidRDefault="00317271" w:rsidP="00317271">
      <w:pPr>
        <w:jc w:val="center"/>
        <w:rPr>
          <w:b/>
          <w:bCs/>
          <w:sz w:val="20"/>
          <w:szCs w:val="20"/>
          <w:lang w:val="es-ES"/>
        </w:rPr>
      </w:pPr>
    </w:p>
    <w:p w14:paraId="1F4A6491" w14:textId="77777777" w:rsidR="001C2EC6" w:rsidRPr="007E6F03" w:rsidRDefault="001C2EC6" w:rsidP="001C2EC6">
      <w:pPr>
        <w:pStyle w:val="Prrafodelista"/>
        <w:numPr>
          <w:ilvl w:val="0"/>
          <w:numId w:val="39"/>
        </w:numPr>
        <w:ind w:left="426"/>
        <w:rPr>
          <w:rFonts w:ascii="Times New Roman" w:hAnsi="Times New Roman"/>
          <w:b/>
          <w:sz w:val="20"/>
          <w:szCs w:val="20"/>
          <w:lang w:val="es-ES"/>
        </w:rPr>
      </w:pPr>
      <w:r w:rsidRPr="007E6F03">
        <w:rPr>
          <w:rFonts w:ascii="Times New Roman" w:hAnsi="Times New Roman"/>
          <w:b/>
          <w:sz w:val="20"/>
          <w:szCs w:val="20"/>
          <w:lang w:val="es-ES"/>
        </w:rPr>
        <w:t>Estructura de la Emisora y su grupo económico</w:t>
      </w:r>
    </w:p>
    <w:p w14:paraId="0400C108" w14:textId="77777777" w:rsidR="001C2EC6" w:rsidRPr="007E6F03" w:rsidRDefault="001C2EC6" w:rsidP="001C2EC6">
      <w:pPr>
        <w:jc w:val="both"/>
        <w:rPr>
          <w:b/>
          <w:sz w:val="20"/>
          <w:szCs w:val="20"/>
          <w:lang w:val="es-ES"/>
        </w:rPr>
      </w:pPr>
    </w:p>
    <w:p w14:paraId="2BFA1148" w14:textId="682A6E13" w:rsidR="001C2EC6" w:rsidRPr="007E6F03" w:rsidRDefault="001C2EC6" w:rsidP="001C2EC6">
      <w:pPr>
        <w:pStyle w:val="Text"/>
        <w:widowControl w:val="0"/>
        <w:spacing w:after="0"/>
        <w:ind w:firstLine="0"/>
        <w:jc w:val="both"/>
        <w:rPr>
          <w:color w:val="000000"/>
          <w:sz w:val="20"/>
          <w:szCs w:val="20"/>
          <w:lang w:val="es-AR"/>
        </w:rPr>
      </w:pPr>
      <w:r w:rsidRPr="007E6F03">
        <w:rPr>
          <w:color w:val="000000"/>
          <w:sz w:val="20"/>
          <w:szCs w:val="20"/>
          <w:lang w:val="es-AR"/>
        </w:rPr>
        <w:t>La Emisora es controlada por la Provincia de Río Negro, la cual es titular de la totalidad de las acciones. A su vez, la Emisora es accionista de Black River Technology Inc., INVAP do Brasil Ltda., INVAP Sydney Pty. Ltd., INVAP Ingeniería S.A., Eólica Rionegrina S.A., Fronte</w:t>
      </w:r>
      <w:r>
        <w:rPr>
          <w:color w:val="000000"/>
          <w:sz w:val="20"/>
          <w:szCs w:val="20"/>
          <w:lang w:val="es-AR"/>
        </w:rPr>
        <w:t xml:space="preserve">c S.A.U., INVAP Nederland B.V., Veng S.A., </w:t>
      </w:r>
      <w:r w:rsidRPr="007E6F03">
        <w:rPr>
          <w:color w:val="000000"/>
          <w:sz w:val="20"/>
          <w:szCs w:val="20"/>
          <w:lang w:val="es-AR"/>
        </w:rPr>
        <w:t>Centro de Ensayos de Alta Tecnología S.A. (CEATSA), ICHOS B.V., GSATCOM Uzay Teknolojileri Anonim Şirketi y ha constituido seis sucursales en el exterior</w:t>
      </w:r>
      <w:r w:rsidR="00F85F93">
        <w:rPr>
          <w:color w:val="000000"/>
          <w:sz w:val="20"/>
          <w:szCs w:val="20"/>
          <w:lang w:val="es-AR"/>
        </w:rPr>
        <w:t>,</w:t>
      </w:r>
      <w:r w:rsidRPr="007E6F03">
        <w:rPr>
          <w:color w:val="000000"/>
          <w:sz w:val="20"/>
          <w:szCs w:val="20"/>
          <w:lang w:val="es-AR"/>
        </w:rPr>
        <w:t xml:space="preserve"> en Egipto, Australia, Venezuela, Argelia, Bolivia e India.</w:t>
      </w:r>
    </w:p>
    <w:p w14:paraId="3375D049" w14:textId="77777777" w:rsidR="001C2EC6" w:rsidRDefault="001C2EC6" w:rsidP="001C2EC6">
      <w:pPr>
        <w:pStyle w:val="NormalWeb"/>
        <w:widowControl w:val="0"/>
        <w:spacing w:before="0" w:after="0"/>
        <w:jc w:val="both"/>
        <w:rPr>
          <w:rFonts w:ascii="Times New Roman" w:eastAsia="Times New Roman" w:hAnsi="Times New Roman"/>
          <w:color w:val="000000"/>
          <w:sz w:val="20"/>
          <w:lang w:val="es-AR" w:eastAsia="en-US"/>
        </w:rPr>
      </w:pPr>
    </w:p>
    <w:p w14:paraId="0A45FA22" w14:textId="77777777" w:rsidR="001C2EC6" w:rsidRPr="00BB3B47" w:rsidRDefault="001C2EC6" w:rsidP="001C2EC6">
      <w:pPr>
        <w:widowControl w:val="0"/>
        <w:tabs>
          <w:tab w:val="left" w:pos="664"/>
          <w:tab w:val="left" w:pos="993"/>
          <w:tab w:val="left" w:pos="1701"/>
        </w:tabs>
        <w:jc w:val="both"/>
        <w:rPr>
          <w:b/>
          <w:color w:val="000000"/>
          <w:sz w:val="20"/>
          <w:szCs w:val="20"/>
          <w:u w:val="single"/>
          <w:lang w:val="es-AR"/>
        </w:rPr>
      </w:pPr>
      <w:r w:rsidRPr="00BB3B47">
        <w:rPr>
          <w:b/>
          <w:color w:val="000000"/>
          <w:sz w:val="20"/>
          <w:szCs w:val="20"/>
          <w:u w:val="single"/>
          <w:lang w:val="es-AR"/>
        </w:rPr>
        <w:t>Sociedades Controladas, Sucursales del Exterior y Otras Sociedades</w:t>
      </w:r>
    </w:p>
    <w:p w14:paraId="39998E9E" w14:textId="77777777" w:rsidR="001C2EC6" w:rsidRDefault="001C2EC6" w:rsidP="001C2EC6">
      <w:pPr>
        <w:pStyle w:val="NormalWeb"/>
        <w:widowControl w:val="0"/>
        <w:spacing w:before="0" w:after="0"/>
        <w:rPr>
          <w:rFonts w:ascii="Times New Roman" w:eastAsia="Times New Roman" w:hAnsi="Times New Roman"/>
          <w:color w:val="000000"/>
          <w:sz w:val="20"/>
          <w:lang w:val="es-AR" w:eastAsia="en-US"/>
        </w:rPr>
      </w:pPr>
    </w:p>
    <w:tbl>
      <w:tblPr>
        <w:tblStyle w:val="Tablaconcuadrcula"/>
        <w:tblW w:w="8647" w:type="dxa"/>
        <w:tblInd w:w="108" w:type="dxa"/>
        <w:tblLayout w:type="fixed"/>
        <w:tblLook w:val="0000" w:firstRow="0" w:lastRow="0" w:firstColumn="0" w:lastColumn="0" w:noHBand="0" w:noVBand="0"/>
      </w:tblPr>
      <w:tblGrid>
        <w:gridCol w:w="2552"/>
        <w:gridCol w:w="2551"/>
        <w:gridCol w:w="1560"/>
        <w:gridCol w:w="1134"/>
        <w:gridCol w:w="850"/>
      </w:tblGrid>
      <w:tr w:rsidR="001C2EC6" w:rsidRPr="007E6F03" w14:paraId="571CBC9C" w14:textId="77777777" w:rsidTr="00BA304B">
        <w:trPr>
          <w:trHeight w:val="20"/>
        </w:trPr>
        <w:tc>
          <w:tcPr>
            <w:tcW w:w="2552" w:type="dxa"/>
            <w:shd w:val="pct12" w:color="auto" w:fill="auto"/>
          </w:tcPr>
          <w:p w14:paraId="6C4D0485" w14:textId="77777777" w:rsidR="001C2EC6" w:rsidRPr="007E6F03" w:rsidRDefault="001C2EC6" w:rsidP="00D718D8">
            <w:pPr>
              <w:widowControl w:val="0"/>
              <w:jc w:val="center"/>
              <w:rPr>
                <w:b/>
                <w:bCs/>
                <w:color w:val="000000"/>
                <w:sz w:val="20"/>
                <w:szCs w:val="20"/>
                <w:lang w:val="es-AR"/>
              </w:rPr>
            </w:pPr>
            <w:r w:rsidRPr="007E6F03">
              <w:rPr>
                <w:b/>
                <w:bCs/>
                <w:color w:val="000000"/>
                <w:sz w:val="20"/>
                <w:szCs w:val="20"/>
                <w:lang w:val="es-AR"/>
              </w:rPr>
              <w:t>Denominación</w:t>
            </w:r>
          </w:p>
        </w:tc>
        <w:tc>
          <w:tcPr>
            <w:tcW w:w="2551" w:type="dxa"/>
            <w:shd w:val="pct12" w:color="auto" w:fill="auto"/>
          </w:tcPr>
          <w:p w14:paraId="61B35794" w14:textId="77777777" w:rsidR="001C2EC6" w:rsidRPr="007E6F03" w:rsidRDefault="001C2EC6" w:rsidP="00D718D8">
            <w:pPr>
              <w:widowControl w:val="0"/>
              <w:jc w:val="center"/>
              <w:rPr>
                <w:b/>
                <w:bCs/>
                <w:color w:val="000000"/>
                <w:sz w:val="20"/>
                <w:szCs w:val="20"/>
                <w:lang w:val="es-AR"/>
              </w:rPr>
            </w:pPr>
            <w:r w:rsidRPr="007E6F03">
              <w:rPr>
                <w:b/>
                <w:bCs/>
                <w:color w:val="000000"/>
                <w:sz w:val="20"/>
                <w:szCs w:val="20"/>
                <w:lang w:val="es-AR"/>
              </w:rPr>
              <w:t>Domicilio</w:t>
            </w:r>
          </w:p>
        </w:tc>
        <w:tc>
          <w:tcPr>
            <w:tcW w:w="1560" w:type="dxa"/>
            <w:shd w:val="pct12" w:color="auto" w:fill="auto"/>
          </w:tcPr>
          <w:p w14:paraId="3833ACF2" w14:textId="77777777" w:rsidR="001C2EC6" w:rsidRPr="007E6F03" w:rsidRDefault="001C2EC6" w:rsidP="00D718D8">
            <w:pPr>
              <w:widowControl w:val="0"/>
              <w:jc w:val="center"/>
              <w:rPr>
                <w:b/>
                <w:bCs/>
                <w:color w:val="000000"/>
                <w:sz w:val="20"/>
                <w:szCs w:val="20"/>
                <w:lang w:val="es-AR"/>
              </w:rPr>
            </w:pPr>
            <w:r w:rsidRPr="007E6F03">
              <w:rPr>
                <w:b/>
                <w:bCs/>
                <w:color w:val="000000"/>
                <w:sz w:val="20"/>
                <w:szCs w:val="20"/>
                <w:lang w:val="es-AR"/>
              </w:rPr>
              <w:t>Capital</w:t>
            </w:r>
          </w:p>
        </w:tc>
        <w:tc>
          <w:tcPr>
            <w:tcW w:w="1134" w:type="dxa"/>
            <w:shd w:val="pct12" w:color="auto" w:fill="auto"/>
          </w:tcPr>
          <w:p w14:paraId="317E9422" w14:textId="77777777" w:rsidR="001C2EC6" w:rsidRPr="007E6F03" w:rsidRDefault="001C2EC6" w:rsidP="00D718D8">
            <w:pPr>
              <w:widowControl w:val="0"/>
              <w:jc w:val="center"/>
              <w:rPr>
                <w:b/>
                <w:color w:val="000000"/>
                <w:sz w:val="20"/>
                <w:szCs w:val="20"/>
                <w:lang w:val="es-AR"/>
              </w:rPr>
            </w:pPr>
            <w:r w:rsidRPr="007E6F03">
              <w:rPr>
                <w:b/>
                <w:bCs/>
                <w:color w:val="000000"/>
                <w:sz w:val="20"/>
                <w:szCs w:val="20"/>
                <w:lang w:val="es-AR"/>
              </w:rPr>
              <w:t>Tenencia</w:t>
            </w:r>
          </w:p>
        </w:tc>
        <w:tc>
          <w:tcPr>
            <w:tcW w:w="850" w:type="dxa"/>
            <w:shd w:val="pct12" w:color="auto" w:fill="auto"/>
          </w:tcPr>
          <w:p w14:paraId="6005BC7C" w14:textId="77777777" w:rsidR="001C2EC6" w:rsidRPr="007E6F03" w:rsidRDefault="001C2EC6" w:rsidP="00D718D8">
            <w:pPr>
              <w:widowControl w:val="0"/>
              <w:jc w:val="center"/>
              <w:rPr>
                <w:b/>
                <w:bCs/>
                <w:color w:val="000000"/>
                <w:sz w:val="20"/>
                <w:szCs w:val="20"/>
                <w:lang w:val="es-AR"/>
              </w:rPr>
            </w:pPr>
            <w:r w:rsidRPr="007E6F03">
              <w:rPr>
                <w:b/>
                <w:bCs/>
                <w:color w:val="000000"/>
                <w:sz w:val="20"/>
                <w:szCs w:val="20"/>
                <w:lang w:val="es-AR"/>
              </w:rPr>
              <w:t>Votos</w:t>
            </w:r>
          </w:p>
        </w:tc>
      </w:tr>
      <w:tr w:rsidR="001C2EC6" w:rsidRPr="007E6F03" w14:paraId="380D6397" w14:textId="77777777" w:rsidTr="00BA304B">
        <w:trPr>
          <w:trHeight w:val="20"/>
        </w:trPr>
        <w:tc>
          <w:tcPr>
            <w:tcW w:w="8647" w:type="dxa"/>
            <w:gridSpan w:val="5"/>
            <w:shd w:val="pct5" w:color="auto" w:fill="auto"/>
          </w:tcPr>
          <w:p w14:paraId="047C852B"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Sociedades Controladas</w:t>
            </w:r>
          </w:p>
        </w:tc>
      </w:tr>
      <w:tr w:rsidR="001C2EC6" w:rsidRPr="007E6F03" w14:paraId="0FEE84D6" w14:textId="77777777" w:rsidTr="00BA304B">
        <w:trPr>
          <w:trHeight w:val="20"/>
        </w:trPr>
        <w:tc>
          <w:tcPr>
            <w:tcW w:w="2552" w:type="dxa"/>
          </w:tcPr>
          <w:p w14:paraId="74B26EB2"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Black River Technology Inc.</w:t>
            </w:r>
          </w:p>
        </w:tc>
        <w:tc>
          <w:tcPr>
            <w:tcW w:w="2551" w:type="dxa"/>
          </w:tcPr>
          <w:p w14:paraId="7C4D9081" w14:textId="77777777" w:rsidR="001C2EC6" w:rsidRPr="007E6F03" w:rsidRDefault="001C2EC6" w:rsidP="00D718D8">
            <w:pPr>
              <w:widowControl w:val="0"/>
              <w:ind w:hanging="10"/>
              <w:rPr>
                <w:bCs/>
                <w:color w:val="000000"/>
                <w:sz w:val="20"/>
                <w:szCs w:val="20"/>
              </w:rPr>
            </w:pPr>
            <w:r w:rsidRPr="007E6F03">
              <w:rPr>
                <w:bCs/>
                <w:color w:val="000000"/>
                <w:sz w:val="20"/>
                <w:szCs w:val="20"/>
              </w:rPr>
              <w:t>Illinois, Estados Unidos</w:t>
            </w:r>
          </w:p>
        </w:tc>
        <w:tc>
          <w:tcPr>
            <w:tcW w:w="1560" w:type="dxa"/>
          </w:tcPr>
          <w:p w14:paraId="46ADB028" w14:textId="01095FD6"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USD 25.000</w:t>
            </w:r>
          </w:p>
        </w:tc>
        <w:tc>
          <w:tcPr>
            <w:tcW w:w="1134" w:type="dxa"/>
          </w:tcPr>
          <w:p w14:paraId="104BBBC9"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100%</w:t>
            </w:r>
          </w:p>
        </w:tc>
        <w:tc>
          <w:tcPr>
            <w:tcW w:w="850" w:type="dxa"/>
          </w:tcPr>
          <w:p w14:paraId="446FCBE9"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100%</w:t>
            </w:r>
          </w:p>
        </w:tc>
      </w:tr>
      <w:tr w:rsidR="001C2EC6" w:rsidRPr="007E6F03" w14:paraId="4BD42223" w14:textId="77777777" w:rsidTr="00BA304B">
        <w:trPr>
          <w:trHeight w:val="20"/>
        </w:trPr>
        <w:tc>
          <w:tcPr>
            <w:tcW w:w="2552" w:type="dxa"/>
          </w:tcPr>
          <w:p w14:paraId="4C6ABB64"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INVAP do Brasil Ltda.</w:t>
            </w:r>
          </w:p>
        </w:tc>
        <w:tc>
          <w:tcPr>
            <w:tcW w:w="2551" w:type="dxa"/>
          </w:tcPr>
          <w:p w14:paraId="35A3C744"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San Pablo, Brasil</w:t>
            </w:r>
          </w:p>
        </w:tc>
        <w:tc>
          <w:tcPr>
            <w:tcW w:w="1560" w:type="dxa"/>
          </w:tcPr>
          <w:p w14:paraId="672050AB" w14:textId="77777777" w:rsidR="001C2EC6" w:rsidRPr="007E6F03" w:rsidRDefault="001C2EC6" w:rsidP="00D718D8">
            <w:pPr>
              <w:widowControl w:val="0"/>
              <w:ind w:hanging="10"/>
              <w:jc w:val="center"/>
              <w:rPr>
                <w:bCs/>
                <w:color w:val="000000"/>
                <w:sz w:val="20"/>
                <w:szCs w:val="20"/>
                <w:lang w:val="es-AR"/>
              </w:rPr>
            </w:pPr>
            <w:r>
              <w:rPr>
                <w:bCs/>
                <w:color w:val="000000"/>
                <w:sz w:val="20"/>
                <w:szCs w:val="20"/>
                <w:lang w:val="es-AR"/>
              </w:rPr>
              <w:t>BRL</w:t>
            </w:r>
            <w:r w:rsidRPr="007E6F03">
              <w:rPr>
                <w:bCs/>
                <w:color w:val="000000"/>
                <w:sz w:val="20"/>
                <w:szCs w:val="20"/>
                <w:lang w:val="es-AR"/>
              </w:rPr>
              <w:t xml:space="preserve"> </w:t>
            </w:r>
            <w:r>
              <w:rPr>
                <w:bCs/>
                <w:color w:val="000000"/>
                <w:sz w:val="20"/>
                <w:szCs w:val="20"/>
                <w:lang w:val="es-AR"/>
              </w:rPr>
              <w:t>900</w:t>
            </w:r>
            <w:r w:rsidRPr="007E6F03">
              <w:rPr>
                <w:bCs/>
                <w:color w:val="000000"/>
                <w:sz w:val="20"/>
                <w:szCs w:val="20"/>
                <w:lang w:val="es-AR"/>
              </w:rPr>
              <w:t>.000</w:t>
            </w:r>
          </w:p>
        </w:tc>
        <w:tc>
          <w:tcPr>
            <w:tcW w:w="1134" w:type="dxa"/>
          </w:tcPr>
          <w:p w14:paraId="5DC3AF93"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99,99%</w:t>
            </w:r>
          </w:p>
        </w:tc>
        <w:tc>
          <w:tcPr>
            <w:tcW w:w="850" w:type="dxa"/>
          </w:tcPr>
          <w:p w14:paraId="3733731E"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99,99%</w:t>
            </w:r>
          </w:p>
        </w:tc>
      </w:tr>
      <w:tr w:rsidR="001C2EC6" w:rsidRPr="007E6F03" w14:paraId="691F9684" w14:textId="77777777" w:rsidTr="00BA304B">
        <w:trPr>
          <w:trHeight w:val="20"/>
        </w:trPr>
        <w:tc>
          <w:tcPr>
            <w:tcW w:w="2552" w:type="dxa"/>
          </w:tcPr>
          <w:p w14:paraId="242E6332" w14:textId="77777777" w:rsidR="001C2EC6" w:rsidRPr="00196976" w:rsidRDefault="001C2EC6" w:rsidP="00D718D8">
            <w:pPr>
              <w:widowControl w:val="0"/>
              <w:ind w:hanging="10"/>
              <w:rPr>
                <w:bCs/>
                <w:color w:val="000000"/>
                <w:sz w:val="20"/>
                <w:szCs w:val="20"/>
              </w:rPr>
            </w:pPr>
            <w:r w:rsidRPr="00196976">
              <w:rPr>
                <w:bCs/>
                <w:color w:val="000000"/>
                <w:sz w:val="20"/>
                <w:szCs w:val="20"/>
              </w:rPr>
              <w:t>INVAP Sydney Pty. Ltd. (Inactiva)</w:t>
            </w:r>
          </w:p>
        </w:tc>
        <w:tc>
          <w:tcPr>
            <w:tcW w:w="2551" w:type="dxa"/>
          </w:tcPr>
          <w:p w14:paraId="22A03DC6"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Sydney, Australia</w:t>
            </w:r>
          </w:p>
        </w:tc>
        <w:tc>
          <w:tcPr>
            <w:tcW w:w="1560" w:type="dxa"/>
          </w:tcPr>
          <w:p w14:paraId="786E88C7"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Sin capital</w:t>
            </w:r>
          </w:p>
        </w:tc>
        <w:tc>
          <w:tcPr>
            <w:tcW w:w="1134" w:type="dxa"/>
          </w:tcPr>
          <w:p w14:paraId="43822ECE"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100%</w:t>
            </w:r>
          </w:p>
        </w:tc>
        <w:tc>
          <w:tcPr>
            <w:tcW w:w="850" w:type="dxa"/>
          </w:tcPr>
          <w:p w14:paraId="744A800E"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100%</w:t>
            </w:r>
          </w:p>
        </w:tc>
      </w:tr>
      <w:tr w:rsidR="001C2EC6" w:rsidRPr="007E6F03" w14:paraId="054C810E" w14:textId="77777777" w:rsidTr="00BA304B">
        <w:trPr>
          <w:trHeight w:val="20"/>
        </w:trPr>
        <w:tc>
          <w:tcPr>
            <w:tcW w:w="2552" w:type="dxa"/>
          </w:tcPr>
          <w:p w14:paraId="7BDE227C"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INVAP Ingeniería S.A.</w:t>
            </w:r>
          </w:p>
        </w:tc>
        <w:tc>
          <w:tcPr>
            <w:tcW w:w="2551" w:type="dxa"/>
          </w:tcPr>
          <w:p w14:paraId="13DDFBC4"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San Carlos de Bariloche, Argentina</w:t>
            </w:r>
          </w:p>
        </w:tc>
        <w:tc>
          <w:tcPr>
            <w:tcW w:w="1560" w:type="dxa"/>
          </w:tcPr>
          <w:p w14:paraId="46104679" w14:textId="77777777" w:rsidR="001C2EC6" w:rsidRPr="007E6F03" w:rsidRDefault="001C2EC6" w:rsidP="00D718D8">
            <w:pPr>
              <w:widowControl w:val="0"/>
              <w:ind w:hanging="10"/>
              <w:jc w:val="center"/>
              <w:rPr>
                <w:bCs/>
                <w:color w:val="000000"/>
                <w:sz w:val="20"/>
                <w:szCs w:val="20"/>
                <w:lang w:val="es-AR"/>
              </w:rPr>
            </w:pPr>
            <w:r>
              <w:rPr>
                <w:bCs/>
                <w:color w:val="000000"/>
                <w:sz w:val="20"/>
                <w:szCs w:val="20"/>
                <w:lang w:val="es-AR"/>
              </w:rPr>
              <w:t xml:space="preserve">ARS </w:t>
            </w:r>
            <w:r w:rsidRPr="007E6F03">
              <w:rPr>
                <w:bCs/>
                <w:color w:val="000000"/>
                <w:sz w:val="20"/>
                <w:szCs w:val="20"/>
                <w:lang w:val="es-AR"/>
              </w:rPr>
              <w:t>18.932.622</w:t>
            </w:r>
          </w:p>
        </w:tc>
        <w:tc>
          <w:tcPr>
            <w:tcW w:w="1134" w:type="dxa"/>
          </w:tcPr>
          <w:p w14:paraId="796C799A"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80%</w:t>
            </w:r>
          </w:p>
        </w:tc>
        <w:tc>
          <w:tcPr>
            <w:tcW w:w="850" w:type="dxa"/>
          </w:tcPr>
          <w:p w14:paraId="51820D7E"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80%</w:t>
            </w:r>
          </w:p>
        </w:tc>
      </w:tr>
      <w:tr w:rsidR="001C2EC6" w:rsidRPr="007E6F03" w14:paraId="500F9538" w14:textId="77777777" w:rsidTr="00BA304B">
        <w:trPr>
          <w:trHeight w:val="20"/>
        </w:trPr>
        <w:tc>
          <w:tcPr>
            <w:tcW w:w="2552" w:type="dxa"/>
          </w:tcPr>
          <w:p w14:paraId="62FFA73D"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Eólica Rionegrina S.A.</w:t>
            </w:r>
          </w:p>
        </w:tc>
        <w:tc>
          <w:tcPr>
            <w:tcW w:w="2551" w:type="dxa"/>
          </w:tcPr>
          <w:p w14:paraId="04BFAEFF"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San Carlos de Bariloche, Argentina</w:t>
            </w:r>
          </w:p>
        </w:tc>
        <w:tc>
          <w:tcPr>
            <w:tcW w:w="1560" w:type="dxa"/>
          </w:tcPr>
          <w:p w14:paraId="48A92C53" w14:textId="77777777" w:rsidR="001C2EC6" w:rsidRPr="007E6F03" w:rsidRDefault="001C2EC6" w:rsidP="00D718D8">
            <w:pPr>
              <w:widowControl w:val="0"/>
              <w:ind w:hanging="10"/>
              <w:jc w:val="center"/>
              <w:rPr>
                <w:bCs/>
                <w:color w:val="000000"/>
                <w:sz w:val="20"/>
                <w:szCs w:val="20"/>
                <w:lang w:val="es-AR"/>
              </w:rPr>
            </w:pPr>
            <w:r>
              <w:rPr>
                <w:bCs/>
                <w:color w:val="000000"/>
                <w:sz w:val="20"/>
                <w:szCs w:val="20"/>
                <w:lang w:val="es-AR"/>
              </w:rPr>
              <w:t>ARS</w:t>
            </w:r>
            <w:r w:rsidRPr="007E6F03">
              <w:rPr>
                <w:bCs/>
                <w:color w:val="000000"/>
                <w:sz w:val="20"/>
                <w:szCs w:val="20"/>
                <w:lang w:val="es-AR"/>
              </w:rPr>
              <w:t xml:space="preserve"> 18.000.000</w:t>
            </w:r>
          </w:p>
        </w:tc>
        <w:tc>
          <w:tcPr>
            <w:tcW w:w="1134" w:type="dxa"/>
          </w:tcPr>
          <w:p w14:paraId="1D165521"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60%</w:t>
            </w:r>
          </w:p>
        </w:tc>
        <w:tc>
          <w:tcPr>
            <w:tcW w:w="850" w:type="dxa"/>
          </w:tcPr>
          <w:p w14:paraId="7CCC98D1"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76,14%</w:t>
            </w:r>
          </w:p>
        </w:tc>
      </w:tr>
      <w:tr w:rsidR="001C2EC6" w:rsidRPr="007E6F03" w14:paraId="3C53BD85" w14:textId="77777777" w:rsidTr="00BA304B">
        <w:trPr>
          <w:trHeight w:val="20"/>
        </w:trPr>
        <w:tc>
          <w:tcPr>
            <w:tcW w:w="2552" w:type="dxa"/>
          </w:tcPr>
          <w:p w14:paraId="00DC5299"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Frontec S.A.U.</w:t>
            </w:r>
          </w:p>
        </w:tc>
        <w:tc>
          <w:tcPr>
            <w:tcW w:w="2551" w:type="dxa"/>
          </w:tcPr>
          <w:p w14:paraId="1F59757A"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San Carlos de Bariloche, Argentina</w:t>
            </w:r>
          </w:p>
        </w:tc>
        <w:tc>
          <w:tcPr>
            <w:tcW w:w="1560" w:type="dxa"/>
          </w:tcPr>
          <w:p w14:paraId="45FC7E25" w14:textId="77777777" w:rsidR="001C2EC6" w:rsidRPr="007E6F03" w:rsidRDefault="001C2EC6" w:rsidP="00D718D8">
            <w:pPr>
              <w:widowControl w:val="0"/>
              <w:ind w:hanging="10"/>
              <w:jc w:val="center"/>
              <w:rPr>
                <w:bCs/>
                <w:color w:val="000000"/>
                <w:sz w:val="20"/>
                <w:szCs w:val="20"/>
                <w:lang w:val="es-AR"/>
              </w:rPr>
            </w:pPr>
            <w:r>
              <w:rPr>
                <w:bCs/>
                <w:color w:val="000000"/>
                <w:sz w:val="20"/>
                <w:szCs w:val="20"/>
                <w:lang w:val="es-AR"/>
              </w:rPr>
              <w:t>ARS</w:t>
            </w:r>
            <w:r w:rsidRPr="007E6F03">
              <w:rPr>
                <w:bCs/>
                <w:color w:val="000000"/>
                <w:sz w:val="20"/>
                <w:szCs w:val="20"/>
                <w:lang w:val="es-AR"/>
              </w:rPr>
              <w:t xml:space="preserve"> 47.379.000</w:t>
            </w:r>
          </w:p>
        </w:tc>
        <w:tc>
          <w:tcPr>
            <w:tcW w:w="1134" w:type="dxa"/>
          </w:tcPr>
          <w:p w14:paraId="028038F5"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100%</w:t>
            </w:r>
          </w:p>
        </w:tc>
        <w:tc>
          <w:tcPr>
            <w:tcW w:w="850" w:type="dxa"/>
          </w:tcPr>
          <w:p w14:paraId="0C15D331"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100%</w:t>
            </w:r>
          </w:p>
        </w:tc>
      </w:tr>
      <w:tr w:rsidR="001C2EC6" w:rsidRPr="007E6F03" w14:paraId="6F967BFA" w14:textId="77777777" w:rsidTr="00BA304B">
        <w:trPr>
          <w:trHeight w:val="20"/>
        </w:trPr>
        <w:tc>
          <w:tcPr>
            <w:tcW w:w="2552" w:type="dxa"/>
          </w:tcPr>
          <w:p w14:paraId="739A630F"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INVAP Nederland B.V.</w:t>
            </w:r>
          </w:p>
        </w:tc>
        <w:tc>
          <w:tcPr>
            <w:tcW w:w="2551" w:type="dxa"/>
          </w:tcPr>
          <w:p w14:paraId="04D71982" w14:textId="77777777" w:rsidR="001C2EC6" w:rsidRPr="007E6F03" w:rsidRDefault="001C2EC6" w:rsidP="00D718D8">
            <w:pPr>
              <w:autoSpaceDE w:val="0"/>
              <w:autoSpaceDN w:val="0"/>
              <w:adjustRightInd w:val="0"/>
              <w:rPr>
                <w:bCs/>
                <w:color w:val="000000"/>
                <w:sz w:val="20"/>
                <w:szCs w:val="20"/>
                <w:lang w:val="es-AR"/>
              </w:rPr>
            </w:pPr>
            <w:r w:rsidRPr="007E6F03">
              <w:rPr>
                <w:bCs/>
                <w:color w:val="000000"/>
                <w:sz w:val="20"/>
                <w:szCs w:val="20"/>
                <w:lang w:val="es-AR"/>
              </w:rPr>
              <w:t>Alkmaar, Holanda</w:t>
            </w:r>
          </w:p>
        </w:tc>
        <w:tc>
          <w:tcPr>
            <w:tcW w:w="1560" w:type="dxa"/>
          </w:tcPr>
          <w:p w14:paraId="4AFA48CC"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EUR 1.000</w:t>
            </w:r>
          </w:p>
        </w:tc>
        <w:tc>
          <w:tcPr>
            <w:tcW w:w="1134" w:type="dxa"/>
          </w:tcPr>
          <w:p w14:paraId="7EC79944"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100%</w:t>
            </w:r>
          </w:p>
        </w:tc>
        <w:tc>
          <w:tcPr>
            <w:tcW w:w="850" w:type="dxa"/>
          </w:tcPr>
          <w:p w14:paraId="4A4FB9C4"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100%</w:t>
            </w:r>
          </w:p>
        </w:tc>
      </w:tr>
      <w:tr w:rsidR="001C2EC6" w:rsidRPr="007E6F03" w14:paraId="728D022C" w14:textId="77777777" w:rsidTr="00BA304B">
        <w:trPr>
          <w:trHeight w:val="20"/>
        </w:trPr>
        <w:tc>
          <w:tcPr>
            <w:tcW w:w="8647" w:type="dxa"/>
            <w:gridSpan w:val="5"/>
            <w:shd w:val="pct5" w:color="auto" w:fill="auto"/>
          </w:tcPr>
          <w:p w14:paraId="7B1F159C"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Sucursales del Exterior</w:t>
            </w:r>
          </w:p>
        </w:tc>
      </w:tr>
      <w:tr w:rsidR="001C2EC6" w:rsidRPr="007E6F03" w14:paraId="21D85204" w14:textId="77777777" w:rsidTr="00BA304B">
        <w:trPr>
          <w:trHeight w:val="20"/>
        </w:trPr>
        <w:tc>
          <w:tcPr>
            <w:tcW w:w="2552" w:type="dxa"/>
          </w:tcPr>
          <w:p w14:paraId="26993F9B"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Egypt Branch (Egipto)</w:t>
            </w:r>
          </w:p>
        </w:tc>
        <w:tc>
          <w:tcPr>
            <w:tcW w:w="2551" w:type="dxa"/>
          </w:tcPr>
          <w:p w14:paraId="6029ED41"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El Cairo, Egipto</w:t>
            </w:r>
          </w:p>
        </w:tc>
        <w:tc>
          <w:tcPr>
            <w:tcW w:w="1560" w:type="dxa"/>
          </w:tcPr>
          <w:p w14:paraId="437FCF8C" w14:textId="77777777" w:rsidR="001C2EC6" w:rsidRPr="007E6F03" w:rsidRDefault="001C2EC6" w:rsidP="00D718D8">
            <w:pPr>
              <w:widowControl w:val="0"/>
              <w:ind w:hanging="10"/>
              <w:jc w:val="center"/>
              <w:rPr>
                <w:bCs/>
                <w:color w:val="000000"/>
                <w:sz w:val="20"/>
                <w:szCs w:val="20"/>
                <w:lang w:val="es-AR"/>
              </w:rPr>
            </w:pPr>
            <w:r>
              <w:rPr>
                <w:bCs/>
                <w:color w:val="000000"/>
                <w:sz w:val="20"/>
                <w:szCs w:val="20"/>
                <w:lang w:val="es-AR"/>
              </w:rPr>
              <w:t>EGP 10.901,01</w:t>
            </w:r>
          </w:p>
        </w:tc>
        <w:tc>
          <w:tcPr>
            <w:tcW w:w="1134" w:type="dxa"/>
          </w:tcPr>
          <w:p w14:paraId="194A0E25"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Sucursal</w:t>
            </w:r>
          </w:p>
        </w:tc>
        <w:tc>
          <w:tcPr>
            <w:tcW w:w="850" w:type="dxa"/>
          </w:tcPr>
          <w:p w14:paraId="490D6494"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w:t>
            </w:r>
          </w:p>
        </w:tc>
      </w:tr>
      <w:tr w:rsidR="001C2EC6" w:rsidRPr="007E6F03" w14:paraId="13F9D30C" w14:textId="77777777" w:rsidTr="00BA304B">
        <w:trPr>
          <w:trHeight w:val="20"/>
        </w:trPr>
        <w:tc>
          <w:tcPr>
            <w:tcW w:w="2552" w:type="dxa"/>
          </w:tcPr>
          <w:p w14:paraId="02CF2B8A"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Sydney Branch (Australia)</w:t>
            </w:r>
          </w:p>
        </w:tc>
        <w:tc>
          <w:tcPr>
            <w:tcW w:w="2551" w:type="dxa"/>
          </w:tcPr>
          <w:p w14:paraId="60C5F691"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Sydney, Australia</w:t>
            </w:r>
          </w:p>
        </w:tc>
        <w:tc>
          <w:tcPr>
            <w:tcW w:w="1560" w:type="dxa"/>
          </w:tcPr>
          <w:p w14:paraId="259103AD"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Sin capital</w:t>
            </w:r>
          </w:p>
        </w:tc>
        <w:tc>
          <w:tcPr>
            <w:tcW w:w="1134" w:type="dxa"/>
          </w:tcPr>
          <w:p w14:paraId="4746DD03"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Sucursal</w:t>
            </w:r>
          </w:p>
        </w:tc>
        <w:tc>
          <w:tcPr>
            <w:tcW w:w="850" w:type="dxa"/>
          </w:tcPr>
          <w:p w14:paraId="04999BC7"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w:t>
            </w:r>
          </w:p>
        </w:tc>
      </w:tr>
      <w:tr w:rsidR="001C2EC6" w:rsidRPr="007E6F03" w14:paraId="1A2D3C57" w14:textId="77777777" w:rsidTr="00BA304B">
        <w:trPr>
          <w:trHeight w:val="20"/>
        </w:trPr>
        <w:tc>
          <w:tcPr>
            <w:tcW w:w="2552" w:type="dxa"/>
          </w:tcPr>
          <w:p w14:paraId="72223E36"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INVAP Argentina (Venezuela)</w:t>
            </w:r>
          </w:p>
        </w:tc>
        <w:tc>
          <w:tcPr>
            <w:tcW w:w="2551" w:type="dxa"/>
          </w:tcPr>
          <w:p w14:paraId="26B98911"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Caracas, Venezuela</w:t>
            </w:r>
          </w:p>
        </w:tc>
        <w:tc>
          <w:tcPr>
            <w:tcW w:w="1560" w:type="dxa"/>
          </w:tcPr>
          <w:p w14:paraId="36CC16EF" w14:textId="77777777" w:rsidR="001C2EC6" w:rsidRPr="007E6F03" w:rsidRDefault="001C2EC6" w:rsidP="00D718D8">
            <w:pPr>
              <w:widowControl w:val="0"/>
              <w:ind w:hanging="10"/>
              <w:jc w:val="center"/>
              <w:rPr>
                <w:bCs/>
                <w:color w:val="000000"/>
                <w:sz w:val="20"/>
                <w:szCs w:val="20"/>
                <w:lang w:val="es-AR"/>
              </w:rPr>
            </w:pPr>
            <w:r>
              <w:rPr>
                <w:bCs/>
                <w:color w:val="000000"/>
                <w:sz w:val="20"/>
                <w:szCs w:val="20"/>
                <w:lang w:val="es-AR"/>
              </w:rPr>
              <w:t xml:space="preserve">BES </w:t>
            </w:r>
            <w:r w:rsidRPr="007E6F03">
              <w:rPr>
                <w:bCs/>
                <w:color w:val="000000"/>
                <w:sz w:val="20"/>
                <w:szCs w:val="20"/>
                <w:lang w:val="es-AR"/>
              </w:rPr>
              <w:t>0,11</w:t>
            </w:r>
          </w:p>
        </w:tc>
        <w:tc>
          <w:tcPr>
            <w:tcW w:w="1134" w:type="dxa"/>
          </w:tcPr>
          <w:p w14:paraId="4E98ACC9"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Sucursal</w:t>
            </w:r>
          </w:p>
        </w:tc>
        <w:tc>
          <w:tcPr>
            <w:tcW w:w="850" w:type="dxa"/>
          </w:tcPr>
          <w:p w14:paraId="52296C51"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w:t>
            </w:r>
          </w:p>
        </w:tc>
      </w:tr>
      <w:tr w:rsidR="001C2EC6" w:rsidRPr="007E6F03" w14:paraId="0DB2101D" w14:textId="77777777" w:rsidTr="00BA304B">
        <w:trPr>
          <w:trHeight w:val="20"/>
        </w:trPr>
        <w:tc>
          <w:tcPr>
            <w:tcW w:w="2552" w:type="dxa"/>
          </w:tcPr>
          <w:p w14:paraId="54709212"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Algerie Branch (Argelia)</w:t>
            </w:r>
          </w:p>
        </w:tc>
        <w:tc>
          <w:tcPr>
            <w:tcW w:w="2551" w:type="dxa"/>
          </w:tcPr>
          <w:p w14:paraId="7DA0ACC7"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 xml:space="preserve">Argel, Argelia </w:t>
            </w:r>
          </w:p>
        </w:tc>
        <w:tc>
          <w:tcPr>
            <w:tcW w:w="1560" w:type="dxa"/>
          </w:tcPr>
          <w:p w14:paraId="1811523F"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Sin Capital</w:t>
            </w:r>
          </w:p>
        </w:tc>
        <w:tc>
          <w:tcPr>
            <w:tcW w:w="1134" w:type="dxa"/>
          </w:tcPr>
          <w:p w14:paraId="6B8CE96A"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Sucursal</w:t>
            </w:r>
          </w:p>
        </w:tc>
        <w:tc>
          <w:tcPr>
            <w:tcW w:w="850" w:type="dxa"/>
          </w:tcPr>
          <w:p w14:paraId="17E37FFF"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w:t>
            </w:r>
          </w:p>
        </w:tc>
      </w:tr>
      <w:tr w:rsidR="001C2EC6" w:rsidRPr="007E6F03" w14:paraId="129DE2B1" w14:textId="77777777" w:rsidTr="00BA304B">
        <w:trPr>
          <w:trHeight w:val="20"/>
        </w:trPr>
        <w:tc>
          <w:tcPr>
            <w:tcW w:w="2552" w:type="dxa"/>
          </w:tcPr>
          <w:p w14:paraId="0320DE0A"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INVAP Bolivia (Bolivia)</w:t>
            </w:r>
          </w:p>
        </w:tc>
        <w:tc>
          <w:tcPr>
            <w:tcW w:w="2551" w:type="dxa"/>
          </w:tcPr>
          <w:p w14:paraId="1EF2CD46"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La Paz, Bolivia</w:t>
            </w:r>
          </w:p>
        </w:tc>
        <w:tc>
          <w:tcPr>
            <w:tcW w:w="1560" w:type="dxa"/>
          </w:tcPr>
          <w:p w14:paraId="63B9AD47" w14:textId="7CA0A574" w:rsidR="001C2EC6" w:rsidRPr="007E6F03" w:rsidRDefault="001C2EC6" w:rsidP="00BA304B">
            <w:pPr>
              <w:widowControl w:val="0"/>
              <w:ind w:hanging="10"/>
              <w:jc w:val="center"/>
              <w:rPr>
                <w:bCs/>
                <w:color w:val="000000"/>
                <w:sz w:val="20"/>
                <w:szCs w:val="20"/>
                <w:lang w:val="es-AR"/>
              </w:rPr>
            </w:pPr>
            <w:r w:rsidRPr="007E6F03">
              <w:rPr>
                <w:bCs/>
                <w:color w:val="000000"/>
                <w:sz w:val="20"/>
                <w:szCs w:val="20"/>
                <w:lang w:val="es-AR"/>
              </w:rPr>
              <w:t>BOB 70.000</w:t>
            </w:r>
          </w:p>
        </w:tc>
        <w:tc>
          <w:tcPr>
            <w:tcW w:w="1134" w:type="dxa"/>
          </w:tcPr>
          <w:p w14:paraId="65396C22"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Sucursal</w:t>
            </w:r>
          </w:p>
        </w:tc>
        <w:tc>
          <w:tcPr>
            <w:tcW w:w="850" w:type="dxa"/>
          </w:tcPr>
          <w:p w14:paraId="66F65168"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w:t>
            </w:r>
          </w:p>
        </w:tc>
      </w:tr>
      <w:tr w:rsidR="001C2EC6" w:rsidRPr="007E6F03" w14:paraId="04AA904A" w14:textId="77777777" w:rsidTr="00BA304B">
        <w:trPr>
          <w:trHeight w:val="20"/>
        </w:trPr>
        <w:tc>
          <w:tcPr>
            <w:tcW w:w="2552" w:type="dxa"/>
            <w:tcBorders>
              <w:bottom w:val="single" w:sz="4" w:space="0" w:color="auto"/>
            </w:tcBorders>
          </w:tcPr>
          <w:p w14:paraId="4E0E66F5"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Oficina de India (India)</w:t>
            </w:r>
          </w:p>
        </w:tc>
        <w:tc>
          <w:tcPr>
            <w:tcW w:w="2551" w:type="dxa"/>
            <w:tcBorders>
              <w:bottom w:val="single" w:sz="4" w:space="0" w:color="auto"/>
            </w:tcBorders>
          </w:tcPr>
          <w:p w14:paraId="1990A9DC"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Mumbai, India</w:t>
            </w:r>
          </w:p>
        </w:tc>
        <w:tc>
          <w:tcPr>
            <w:tcW w:w="1560" w:type="dxa"/>
            <w:tcBorders>
              <w:bottom w:val="single" w:sz="4" w:space="0" w:color="auto"/>
            </w:tcBorders>
          </w:tcPr>
          <w:p w14:paraId="5DD12321"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Sin Capital</w:t>
            </w:r>
          </w:p>
        </w:tc>
        <w:tc>
          <w:tcPr>
            <w:tcW w:w="1134" w:type="dxa"/>
            <w:tcBorders>
              <w:bottom w:val="single" w:sz="4" w:space="0" w:color="auto"/>
            </w:tcBorders>
          </w:tcPr>
          <w:p w14:paraId="3B3D8A65"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Sucursal</w:t>
            </w:r>
          </w:p>
        </w:tc>
        <w:tc>
          <w:tcPr>
            <w:tcW w:w="850" w:type="dxa"/>
            <w:tcBorders>
              <w:bottom w:val="single" w:sz="4" w:space="0" w:color="auto"/>
            </w:tcBorders>
          </w:tcPr>
          <w:p w14:paraId="42F323A0" w14:textId="77777777" w:rsidR="001C2EC6" w:rsidRPr="007E6F03" w:rsidRDefault="001C2EC6" w:rsidP="00D718D8">
            <w:pPr>
              <w:widowControl w:val="0"/>
              <w:ind w:hanging="10"/>
              <w:jc w:val="center"/>
              <w:rPr>
                <w:bCs/>
                <w:color w:val="000000"/>
                <w:sz w:val="20"/>
                <w:szCs w:val="20"/>
                <w:lang w:val="es-AR"/>
              </w:rPr>
            </w:pPr>
            <w:r>
              <w:rPr>
                <w:bCs/>
                <w:color w:val="000000"/>
                <w:sz w:val="20"/>
                <w:szCs w:val="20"/>
                <w:lang w:val="es-AR"/>
              </w:rPr>
              <w:t>-</w:t>
            </w:r>
          </w:p>
        </w:tc>
      </w:tr>
      <w:tr w:rsidR="001C2EC6" w:rsidRPr="007E6F03" w14:paraId="7F24620A" w14:textId="77777777" w:rsidTr="00BA304B">
        <w:trPr>
          <w:trHeight w:val="20"/>
        </w:trPr>
        <w:tc>
          <w:tcPr>
            <w:tcW w:w="8647" w:type="dxa"/>
            <w:gridSpan w:val="5"/>
            <w:shd w:val="pct5" w:color="auto" w:fill="auto"/>
          </w:tcPr>
          <w:p w14:paraId="1E6E0E39" w14:textId="77777777" w:rsidR="001C2EC6" w:rsidRPr="007E6F03" w:rsidRDefault="001C2EC6" w:rsidP="00D718D8">
            <w:pPr>
              <w:widowControl w:val="0"/>
              <w:ind w:hanging="10"/>
              <w:jc w:val="center"/>
              <w:rPr>
                <w:bCs/>
                <w:color w:val="000000"/>
                <w:sz w:val="20"/>
                <w:szCs w:val="20"/>
                <w:highlight w:val="yellow"/>
                <w:lang w:val="es-AR"/>
              </w:rPr>
            </w:pPr>
            <w:r w:rsidRPr="007E6F03">
              <w:rPr>
                <w:bCs/>
                <w:color w:val="000000"/>
                <w:sz w:val="20"/>
                <w:szCs w:val="20"/>
                <w:lang w:val="es-AR"/>
              </w:rPr>
              <w:t>Otras Sociedades</w:t>
            </w:r>
          </w:p>
        </w:tc>
      </w:tr>
      <w:tr w:rsidR="001C2EC6" w:rsidRPr="007E6F03" w14:paraId="43D024C7" w14:textId="77777777" w:rsidTr="00BA304B">
        <w:trPr>
          <w:trHeight w:val="20"/>
        </w:trPr>
        <w:tc>
          <w:tcPr>
            <w:tcW w:w="2552" w:type="dxa"/>
          </w:tcPr>
          <w:p w14:paraId="31D228D2"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Veng S.A.</w:t>
            </w:r>
          </w:p>
        </w:tc>
        <w:tc>
          <w:tcPr>
            <w:tcW w:w="2551" w:type="dxa"/>
          </w:tcPr>
          <w:p w14:paraId="6674DE9F"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Ciudad Autónoma de Buenos Aires, Argentina</w:t>
            </w:r>
          </w:p>
        </w:tc>
        <w:tc>
          <w:tcPr>
            <w:tcW w:w="1560" w:type="dxa"/>
          </w:tcPr>
          <w:p w14:paraId="2C8D6DE7" w14:textId="77777777" w:rsidR="001C2EC6" w:rsidRPr="007E6F03" w:rsidRDefault="001C2EC6" w:rsidP="00D718D8">
            <w:pPr>
              <w:widowControl w:val="0"/>
              <w:ind w:hanging="10"/>
              <w:jc w:val="center"/>
              <w:rPr>
                <w:bCs/>
                <w:color w:val="000000"/>
                <w:sz w:val="20"/>
                <w:szCs w:val="20"/>
                <w:lang w:val="es-AR"/>
              </w:rPr>
            </w:pPr>
            <w:r>
              <w:rPr>
                <w:bCs/>
                <w:color w:val="000000"/>
                <w:sz w:val="20"/>
                <w:szCs w:val="20"/>
                <w:lang w:val="es-AR"/>
              </w:rPr>
              <w:t xml:space="preserve">ARS </w:t>
            </w:r>
            <w:r w:rsidRPr="007E6F03">
              <w:rPr>
                <w:bCs/>
                <w:color w:val="000000"/>
                <w:sz w:val="20"/>
                <w:szCs w:val="20"/>
                <w:lang w:val="es-AR"/>
              </w:rPr>
              <w:t>12.598.000</w:t>
            </w:r>
          </w:p>
        </w:tc>
        <w:tc>
          <w:tcPr>
            <w:tcW w:w="1134" w:type="dxa"/>
          </w:tcPr>
          <w:p w14:paraId="48BDFF39"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2,70%</w:t>
            </w:r>
          </w:p>
        </w:tc>
        <w:tc>
          <w:tcPr>
            <w:tcW w:w="850" w:type="dxa"/>
          </w:tcPr>
          <w:p w14:paraId="3BF51269"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2,70%</w:t>
            </w:r>
          </w:p>
        </w:tc>
      </w:tr>
      <w:tr w:rsidR="001C2EC6" w:rsidRPr="007E6F03" w14:paraId="183EF1E5" w14:textId="77777777" w:rsidTr="00BA304B">
        <w:trPr>
          <w:trHeight w:val="20"/>
        </w:trPr>
        <w:tc>
          <w:tcPr>
            <w:tcW w:w="2552" w:type="dxa"/>
          </w:tcPr>
          <w:p w14:paraId="231FCFF2"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C.E.A.T. S.A.</w:t>
            </w:r>
          </w:p>
        </w:tc>
        <w:tc>
          <w:tcPr>
            <w:tcW w:w="2551" w:type="dxa"/>
          </w:tcPr>
          <w:p w14:paraId="16792EBD"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San Carlos de Bariloche, Argentina</w:t>
            </w:r>
          </w:p>
        </w:tc>
        <w:tc>
          <w:tcPr>
            <w:tcW w:w="1560" w:type="dxa"/>
          </w:tcPr>
          <w:p w14:paraId="4202C880" w14:textId="77777777" w:rsidR="001C2EC6" w:rsidRPr="007E6F03" w:rsidRDefault="001C2EC6" w:rsidP="00D718D8">
            <w:pPr>
              <w:widowControl w:val="0"/>
              <w:ind w:hanging="10"/>
              <w:jc w:val="center"/>
              <w:rPr>
                <w:bCs/>
                <w:color w:val="000000"/>
                <w:sz w:val="20"/>
                <w:szCs w:val="20"/>
                <w:lang w:val="es-AR"/>
              </w:rPr>
            </w:pPr>
            <w:r>
              <w:rPr>
                <w:bCs/>
                <w:color w:val="000000"/>
                <w:sz w:val="20"/>
                <w:szCs w:val="20"/>
                <w:lang w:val="es-AR"/>
              </w:rPr>
              <w:t xml:space="preserve">ARS </w:t>
            </w:r>
            <w:r w:rsidRPr="007E6F03">
              <w:rPr>
                <w:bCs/>
                <w:color w:val="000000"/>
                <w:sz w:val="20"/>
                <w:szCs w:val="20"/>
                <w:lang w:val="es-AR"/>
              </w:rPr>
              <w:t>3.114.000</w:t>
            </w:r>
          </w:p>
        </w:tc>
        <w:tc>
          <w:tcPr>
            <w:tcW w:w="1134" w:type="dxa"/>
          </w:tcPr>
          <w:p w14:paraId="7FD2A70B"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10,5%</w:t>
            </w:r>
          </w:p>
        </w:tc>
        <w:tc>
          <w:tcPr>
            <w:tcW w:w="850" w:type="dxa"/>
          </w:tcPr>
          <w:p w14:paraId="4F5F5B50"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10,5%</w:t>
            </w:r>
          </w:p>
        </w:tc>
      </w:tr>
      <w:tr w:rsidR="001C2EC6" w:rsidRPr="007E6F03" w14:paraId="16BE4485" w14:textId="77777777" w:rsidTr="00BA304B">
        <w:trPr>
          <w:trHeight w:val="20"/>
        </w:trPr>
        <w:tc>
          <w:tcPr>
            <w:tcW w:w="2552" w:type="dxa"/>
          </w:tcPr>
          <w:p w14:paraId="41D28BE6"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ICHOS B.V.</w:t>
            </w:r>
          </w:p>
        </w:tc>
        <w:tc>
          <w:tcPr>
            <w:tcW w:w="2551" w:type="dxa"/>
          </w:tcPr>
          <w:p w14:paraId="454DC8C0"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Rotterdam, Holanda</w:t>
            </w:r>
          </w:p>
        </w:tc>
        <w:tc>
          <w:tcPr>
            <w:tcW w:w="1560" w:type="dxa"/>
          </w:tcPr>
          <w:p w14:paraId="541B518E"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EUR 1.000</w:t>
            </w:r>
          </w:p>
        </w:tc>
        <w:tc>
          <w:tcPr>
            <w:tcW w:w="1134" w:type="dxa"/>
          </w:tcPr>
          <w:p w14:paraId="37148C54"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50%</w:t>
            </w:r>
          </w:p>
        </w:tc>
        <w:tc>
          <w:tcPr>
            <w:tcW w:w="850" w:type="dxa"/>
          </w:tcPr>
          <w:p w14:paraId="2A5840E4"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50%</w:t>
            </w:r>
          </w:p>
        </w:tc>
      </w:tr>
      <w:tr w:rsidR="001C2EC6" w:rsidRPr="007E6F03" w14:paraId="76E02CA2" w14:textId="77777777" w:rsidTr="00BA304B">
        <w:trPr>
          <w:trHeight w:val="495"/>
        </w:trPr>
        <w:tc>
          <w:tcPr>
            <w:tcW w:w="2552" w:type="dxa"/>
          </w:tcPr>
          <w:p w14:paraId="1C57660E" w14:textId="77777777" w:rsidR="001C2EC6" w:rsidRPr="007E6F03" w:rsidRDefault="001C2EC6" w:rsidP="00D718D8">
            <w:pPr>
              <w:widowControl w:val="0"/>
              <w:ind w:hanging="10"/>
              <w:rPr>
                <w:bCs/>
                <w:color w:val="000000"/>
                <w:sz w:val="20"/>
                <w:szCs w:val="20"/>
              </w:rPr>
            </w:pPr>
            <w:r w:rsidRPr="00455DA9">
              <w:rPr>
                <w:bCs/>
                <w:color w:val="000000"/>
                <w:sz w:val="20"/>
                <w:szCs w:val="20"/>
              </w:rPr>
              <w:t>GSATCOM Uzay Teknolo</w:t>
            </w:r>
            <w:r w:rsidRPr="007E6F03">
              <w:rPr>
                <w:bCs/>
                <w:color w:val="000000"/>
                <w:sz w:val="20"/>
                <w:szCs w:val="20"/>
              </w:rPr>
              <w:t>jileri Anonim Şirketi</w:t>
            </w:r>
          </w:p>
        </w:tc>
        <w:tc>
          <w:tcPr>
            <w:tcW w:w="2551" w:type="dxa"/>
          </w:tcPr>
          <w:p w14:paraId="5FF2E25A" w14:textId="77777777" w:rsidR="001C2EC6" w:rsidRPr="007E6F03" w:rsidRDefault="001C2EC6" w:rsidP="00D718D8">
            <w:pPr>
              <w:widowControl w:val="0"/>
              <w:ind w:hanging="10"/>
              <w:rPr>
                <w:bCs/>
                <w:color w:val="000000"/>
                <w:sz w:val="20"/>
                <w:szCs w:val="20"/>
                <w:lang w:val="es-AR"/>
              </w:rPr>
            </w:pPr>
            <w:r w:rsidRPr="007E6F03">
              <w:rPr>
                <w:bCs/>
                <w:color w:val="000000"/>
                <w:sz w:val="20"/>
                <w:szCs w:val="20"/>
                <w:lang w:val="es-AR"/>
              </w:rPr>
              <w:t>Ankara, Turquía</w:t>
            </w:r>
          </w:p>
        </w:tc>
        <w:tc>
          <w:tcPr>
            <w:tcW w:w="1560" w:type="dxa"/>
          </w:tcPr>
          <w:p w14:paraId="03E28A8A"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TRY 50.000</w:t>
            </w:r>
          </w:p>
        </w:tc>
        <w:tc>
          <w:tcPr>
            <w:tcW w:w="1134" w:type="dxa"/>
          </w:tcPr>
          <w:p w14:paraId="24E97C91"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50%</w:t>
            </w:r>
          </w:p>
        </w:tc>
        <w:tc>
          <w:tcPr>
            <w:tcW w:w="850" w:type="dxa"/>
          </w:tcPr>
          <w:p w14:paraId="2C5C9580" w14:textId="77777777" w:rsidR="001C2EC6" w:rsidRPr="007E6F03" w:rsidRDefault="001C2EC6" w:rsidP="00D718D8">
            <w:pPr>
              <w:widowControl w:val="0"/>
              <w:ind w:hanging="10"/>
              <w:jc w:val="center"/>
              <w:rPr>
                <w:bCs/>
                <w:color w:val="000000"/>
                <w:sz w:val="20"/>
                <w:szCs w:val="20"/>
                <w:lang w:val="es-AR"/>
              </w:rPr>
            </w:pPr>
            <w:r w:rsidRPr="007E6F03">
              <w:rPr>
                <w:bCs/>
                <w:color w:val="000000"/>
                <w:sz w:val="20"/>
                <w:szCs w:val="20"/>
                <w:lang w:val="es-AR"/>
              </w:rPr>
              <w:t>50%</w:t>
            </w:r>
          </w:p>
        </w:tc>
      </w:tr>
    </w:tbl>
    <w:p w14:paraId="111D3A97" w14:textId="77777777" w:rsidR="001C2EC6" w:rsidRDefault="001C2EC6" w:rsidP="001C2EC6">
      <w:pPr>
        <w:pStyle w:val="NormalWeb"/>
        <w:widowControl w:val="0"/>
        <w:spacing w:before="0" w:after="0"/>
        <w:rPr>
          <w:rFonts w:ascii="Times New Roman" w:eastAsia="Times New Roman" w:hAnsi="Times New Roman"/>
          <w:color w:val="000000"/>
          <w:sz w:val="20"/>
          <w:lang w:val="es-AR" w:eastAsia="en-US"/>
        </w:rPr>
      </w:pPr>
    </w:p>
    <w:p w14:paraId="295D7086" w14:textId="77777777" w:rsidR="001C2EC6" w:rsidRPr="00BB3B47" w:rsidRDefault="001C2EC6" w:rsidP="001C2EC6">
      <w:pPr>
        <w:pStyle w:val="NormalWeb"/>
        <w:widowControl w:val="0"/>
        <w:spacing w:before="0" w:after="0"/>
        <w:rPr>
          <w:rFonts w:ascii="Times New Roman" w:eastAsia="Times New Roman" w:hAnsi="Times New Roman"/>
          <w:color w:val="000000"/>
          <w:sz w:val="20"/>
          <w:u w:val="single"/>
          <w:lang w:val="es-AR" w:eastAsia="en-US"/>
        </w:rPr>
      </w:pPr>
      <w:r w:rsidRPr="00BB3B47">
        <w:rPr>
          <w:rFonts w:ascii="Times New Roman" w:eastAsia="Times New Roman" w:hAnsi="Times New Roman"/>
          <w:color w:val="000000"/>
          <w:sz w:val="20"/>
          <w:u w:val="single"/>
          <w:lang w:val="es-AR" w:eastAsia="en-US"/>
        </w:rPr>
        <w:t>Referencias:</w:t>
      </w:r>
    </w:p>
    <w:p w14:paraId="00B28AF7" w14:textId="77777777" w:rsidR="001C2EC6" w:rsidRPr="007E6F03" w:rsidRDefault="001C2EC6" w:rsidP="001C2EC6">
      <w:pPr>
        <w:pStyle w:val="NormalWeb"/>
        <w:widowControl w:val="0"/>
        <w:spacing w:before="0" w:after="0"/>
        <w:rPr>
          <w:rFonts w:ascii="Times New Roman" w:eastAsia="Times New Roman" w:hAnsi="Times New Roman"/>
          <w:color w:val="000000"/>
          <w:sz w:val="20"/>
          <w:lang w:val="es-AR" w:eastAsia="en-US"/>
        </w:rPr>
      </w:pPr>
    </w:p>
    <w:p w14:paraId="5C89E7BE" w14:textId="77777777" w:rsidR="001C2EC6" w:rsidRPr="007E6F03" w:rsidRDefault="001C2EC6" w:rsidP="001C2EC6">
      <w:pPr>
        <w:pStyle w:val="NormalWeb"/>
        <w:widowControl w:val="0"/>
        <w:spacing w:before="0" w:after="0"/>
        <w:rPr>
          <w:rFonts w:ascii="Times New Roman" w:eastAsia="Times New Roman" w:hAnsi="Times New Roman"/>
          <w:color w:val="000000"/>
          <w:sz w:val="20"/>
          <w:lang w:val="es-AR" w:eastAsia="en-US"/>
        </w:rPr>
      </w:pPr>
      <w:r>
        <w:rPr>
          <w:rFonts w:ascii="Times New Roman" w:eastAsia="Times New Roman" w:hAnsi="Times New Roman"/>
          <w:color w:val="000000"/>
          <w:sz w:val="20"/>
          <w:lang w:val="es-AR" w:eastAsia="en-US"/>
        </w:rPr>
        <w:t>USD (Dólares Estadounidenses)</w:t>
      </w:r>
    </w:p>
    <w:p w14:paraId="318C3ED7" w14:textId="77777777" w:rsidR="001C2EC6" w:rsidRDefault="001C2EC6" w:rsidP="001C2EC6">
      <w:pPr>
        <w:pStyle w:val="NormalWeb"/>
        <w:widowControl w:val="0"/>
        <w:spacing w:before="0" w:after="0"/>
        <w:rPr>
          <w:rFonts w:ascii="Times New Roman" w:eastAsia="Times New Roman" w:hAnsi="Times New Roman"/>
          <w:color w:val="000000"/>
          <w:sz w:val="20"/>
          <w:lang w:val="es-AR" w:eastAsia="en-US"/>
        </w:rPr>
      </w:pPr>
      <w:r>
        <w:rPr>
          <w:rFonts w:ascii="Times New Roman" w:eastAsia="Times New Roman" w:hAnsi="Times New Roman"/>
          <w:color w:val="000000"/>
          <w:sz w:val="20"/>
          <w:lang w:val="es-AR" w:eastAsia="en-US"/>
        </w:rPr>
        <w:t>BRL (Real Brasileño)</w:t>
      </w:r>
    </w:p>
    <w:p w14:paraId="6C5382BD" w14:textId="77777777" w:rsidR="001C2EC6" w:rsidRDefault="001C2EC6" w:rsidP="001C2EC6">
      <w:pPr>
        <w:pStyle w:val="NormalWeb"/>
        <w:widowControl w:val="0"/>
        <w:spacing w:before="0" w:after="0"/>
        <w:rPr>
          <w:rFonts w:ascii="Times New Roman" w:eastAsia="Times New Roman" w:hAnsi="Times New Roman"/>
          <w:color w:val="000000"/>
          <w:sz w:val="20"/>
          <w:lang w:val="es-AR" w:eastAsia="en-US"/>
        </w:rPr>
      </w:pPr>
      <w:r>
        <w:rPr>
          <w:rFonts w:ascii="Times New Roman" w:eastAsia="Times New Roman" w:hAnsi="Times New Roman"/>
          <w:color w:val="000000"/>
          <w:sz w:val="20"/>
          <w:lang w:val="es-AR" w:eastAsia="en-US"/>
        </w:rPr>
        <w:t>ARS (Pesos Argentinos)</w:t>
      </w:r>
    </w:p>
    <w:p w14:paraId="5ACB752F" w14:textId="77777777" w:rsidR="001C2EC6" w:rsidRDefault="001C2EC6" w:rsidP="001C2EC6">
      <w:pPr>
        <w:pStyle w:val="NormalWeb"/>
        <w:widowControl w:val="0"/>
        <w:spacing w:before="0" w:after="0"/>
        <w:rPr>
          <w:rFonts w:ascii="Times New Roman" w:eastAsia="Times New Roman" w:hAnsi="Times New Roman"/>
          <w:color w:val="000000"/>
          <w:sz w:val="20"/>
          <w:lang w:val="es-AR" w:eastAsia="en-US"/>
        </w:rPr>
      </w:pPr>
      <w:r>
        <w:rPr>
          <w:rFonts w:ascii="Times New Roman" w:eastAsia="Times New Roman" w:hAnsi="Times New Roman"/>
          <w:color w:val="000000"/>
          <w:sz w:val="20"/>
          <w:lang w:val="es-AR" w:eastAsia="en-US"/>
        </w:rPr>
        <w:t>EUR (Euros)</w:t>
      </w:r>
    </w:p>
    <w:p w14:paraId="4A5B74E6" w14:textId="77777777" w:rsidR="001C2EC6" w:rsidRDefault="001C2EC6" w:rsidP="001C2EC6">
      <w:pPr>
        <w:pStyle w:val="NormalWeb"/>
        <w:widowControl w:val="0"/>
        <w:spacing w:before="0" w:after="0"/>
        <w:rPr>
          <w:rFonts w:ascii="Times New Roman" w:eastAsia="Times New Roman" w:hAnsi="Times New Roman"/>
          <w:color w:val="000000"/>
          <w:sz w:val="20"/>
          <w:lang w:val="es-AR" w:eastAsia="en-US"/>
        </w:rPr>
      </w:pPr>
      <w:r>
        <w:rPr>
          <w:rFonts w:ascii="Times New Roman" w:eastAsia="Times New Roman" w:hAnsi="Times New Roman"/>
          <w:color w:val="000000"/>
          <w:sz w:val="20"/>
          <w:lang w:val="es-AR" w:eastAsia="en-US"/>
        </w:rPr>
        <w:t>EGP (Libras Egipcias)</w:t>
      </w:r>
    </w:p>
    <w:p w14:paraId="31A079D1" w14:textId="77777777" w:rsidR="001C2EC6" w:rsidRDefault="001C2EC6" w:rsidP="001C2EC6">
      <w:pPr>
        <w:pStyle w:val="NormalWeb"/>
        <w:widowControl w:val="0"/>
        <w:spacing w:before="0" w:after="0"/>
        <w:rPr>
          <w:rFonts w:ascii="Times New Roman" w:eastAsia="Times New Roman" w:hAnsi="Times New Roman"/>
          <w:color w:val="000000"/>
          <w:sz w:val="20"/>
          <w:lang w:val="es-AR" w:eastAsia="en-US"/>
        </w:rPr>
      </w:pPr>
      <w:r>
        <w:rPr>
          <w:rFonts w:ascii="Times New Roman" w:eastAsia="Times New Roman" w:hAnsi="Times New Roman"/>
          <w:color w:val="000000"/>
          <w:sz w:val="20"/>
          <w:lang w:val="es-AR" w:eastAsia="en-US"/>
        </w:rPr>
        <w:t>BES (Bolívares Soberanos)</w:t>
      </w:r>
    </w:p>
    <w:p w14:paraId="746E0DBB" w14:textId="77777777" w:rsidR="001C2EC6" w:rsidRDefault="001C2EC6" w:rsidP="001C2EC6">
      <w:pPr>
        <w:pStyle w:val="NormalWeb"/>
        <w:widowControl w:val="0"/>
        <w:spacing w:before="0" w:after="0"/>
        <w:rPr>
          <w:rFonts w:ascii="Times New Roman" w:eastAsia="Times New Roman" w:hAnsi="Times New Roman"/>
          <w:color w:val="000000"/>
          <w:sz w:val="20"/>
          <w:lang w:val="es-AR" w:eastAsia="en-US"/>
        </w:rPr>
      </w:pPr>
      <w:r>
        <w:rPr>
          <w:rFonts w:ascii="Times New Roman" w:eastAsia="Times New Roman" w:hAnsi="Times New Roman"/>
          <w:color w:val="000000"/>
          <w:sz w:val="20"/>
          <w:lang w:val="es-AR" w:eastAsia="en-US"/>
        </w:rPr>
        <w:t>BOB (Bolivianos)</w:t>
      </w:r>
    </w:p>
    <w:p w14:paraId="3D11B1B9" w14:textId="77777777" w:rsidR="001C2EC6" w:rsidRDefault="001C2EC6" w:rsidP="001C2EC6">
      <w:pPr>
        <w:pStyle w:val="NormalWeb"/>
        <w:widowControl w:val="0"/>
        <w:spacing w:before="0" w:after="0"/>
        <w:rPr>
          <w:rFonts w:ascii="Times New Roman" w:eastAsia="Times New Roman" w:hAnsi="Times New Roman"/>
          <w:color w:val="000000"/>
          <w:sz w:val="20"/>
          <w:lang w:val="es-AR" w:eastAsia="en-US"/>
        </w:rPr>
      </w:pPr>
      <w:r>
        <w:rPr>
          <w:rFonts w:ascii="Times New Roman" w:eastAsia="Times New Roman" w:hAnsi="Times New Roman"/>
          <w:color w:val="000000"/>
          <w:sz w:val="20"/>
          <w:lang w:val="es-AR" w:eastAsia="en-US"/>
        </w:rPr>
        <w:t>TRY (Lira Turca)</w:t>
      </w:r>
    </w:p>
    <w:p w14:paraId="6ADBEA89" w14:textId="77777777" w:rsidR="001C2EC6" w:rsidRDefault="001C2EC6" w:rsidP="001C2EC6">
      <w:pPr>
        <w:pStyle w:val="NormalWeb"/>
        <w:widowControl w:val="0"/>
        <w:spacing w:before="0" w:after="0"/>
        <w:rPr>
          <w:rFonts w:ascii="Times New Roman" w:eastAsia="Times New Roman" w:hAnsi="Times New Roman"/>
          <w:color w:val="000000"/>
          <w:sz w:val="20"/>
          <w:lang w:val="es-AR" w:eastAsia="en-US"/>
        </w:rPr>
      </w:pPr>
    </w:p>
    <w:p w14:paraId="44563B23" w14:textId="77777777" w:rsidR="001C2EC6" w:rsidRPr="00BB3B47" w:rsidRDefault="001C2EC6" w:rsidP="001C2EC6">
      <w:pPr>
        <w:rPr>
          <w:b/>
          <w:sz w:val="20"/>
          <w:szCs w:val="20"/>
          <w:u w:val="single"/>
          <w:lang w:val="es-AR"/>
        </w:rPr>
      </w:pPr>
      <w:r w:rsidRPr="00BB3B47">
        <w:rPr>
          <w:b/>
          <w:sz w:val="20"/>
          <w:szCs w:val="20"/>
          <w:u w:val="single"/>
          <w:lang w:val="es-AR"/>
        </w:rPr>
        <w:t>Sociedades Controladas</w:t>
      </w:r>
    </w:p>
    <w:p w14:paraId="78FDA7EF" w14:textId="77777777" w:rsidR="001C2EC6" w:rsidRDefault="001C2EC6" w:rsidP="001C2EC6">
      <w:pPr>
        <w:widowControl w:val="0"/>
        <w:tabs>
          <w:tab w:val="left" w:pos="664"/>
          <w:tab w:val="left" w:pos="993"/>
          <w:tab w:val="left" w:pos="1701"/>
        </w:tabs>
        <w:jc w:val="both"/>
        <w:rPr>
          <w:b/>
          <w:i/>
          <w:iCs/>
          <w:color w:val="000000"/>
          <w:sz w:val="20"/>
          <w:szCs w:val="20"/>
          <w:lang w:val="es-AR"/>
        </w:rPr>
      </w:pPr>
    </w:p>
    <w:p w14:paraId="3620676C" w14:textId="77777777" w:rsidR="001C2EC6" w:rsidRPr="007E6F03" w:rsidRDefault="001C2EC6" w:rsidP="001C2EC6">
      <w:pPr>
        <w:widowControl w:val="0"/>
        <w:tabs>
          <w:tab w:val="left" w:pos="664"/>
          <w:tab w:val="left" w:pos="993"/>
          <w:tab w:val="left" w:pos="1701"/>
        </w:tabs>
        <w:jc w:val="both"/>
        <w:rPr>
          <w:b/>
          <w:i/>
          <w:iCs/>
          <w:color w:val="000000"/>
          <w:sz w:val="20"/>
          <w:szCs w:val="20"/>
          <w:lang w:val="es-AR"/>
        </w:rPr>
      </w:pPr>
      <w:r w:rsidRPr="007E6F03">
        <w:rPr>
          <w:b/>
          <w:i/>
          <w:iCs/>
          <w:color w:val="000000"/>
          <w:sz w:val="20"/>
          <w:szCs w:val="20"/>
          <w:lang w:val="es-AR"/>
        </w:rPr>
        <w:t>Black River Technology Inc.</w:t>
      </w:r>
    </w:p>
    <w:p w14:paraId="142C6DC8" w14:textId="77777777" w:rsidR="001C2EC6" w:rsidRPr="007E6F03" w:rsidRDefault="001C2EC6" w:rsidP="001C2EC6">
      <w:pPr>
        <w:widowControl w:val="0"/>
        <w:tabs>
          <w:tab w:val="left" w:pos="664"/>
          <w:tab w:val="left" w:pos="993"/>
          <w:tab w:val="left" w:pos="1701"/>
        </w:tabs>
        <w:jc w:val="both"/>
        <w:rPr>
          <w:color w:val="000000"/>
          <w:sz w:val="20"/>
          <w:szCs w:val="20"/>
          <w:lang w:val="es-AR"/>
        </w:rPr>
      </w:pPr>
    </w:p>
    <w:p w14:paraId="077C5971" w14:textId="39D02379" w:rsidR="001C2EC6" w:rsidRPr="007E6F03" w:rsidRDefault="001C2EC6" w:rsidP="001C2EC6">
      <w:pPr>
        <w:pStyle w:val="Text"/>
        <w:widowControl w:val="0"/>
        <w:spacing w:after="0"/>
        <w:ind w:firstLine="0"/>
        <w:jc w:val="both"/>
        <w:rPr>
          <w:i/>
          <w:iCs/>
          <w:color w:val="000000"/>
          <w:sz w:val="20"/>
          <w:szCs w:val="20"/>
          <w:lang w:val="es-AR"/>
        </w:rPr>
      </w:pPr>
      <w:r w:rsidRPr="007E6F03">
        <w:rPr>
          <w:color w:val="000000"/>
          <w:sz w:val="20"/>
          <w:szCs w:val="20"/>
          <w:lang w:val="es-AR"/>
        </w:rPr>
        <w:t xml:space="preserve">Es una empresa creada y controlada por INVAP S.E., en la cual tiene el </w:t>
      </w:r>
      <w:r>
        <w:rPr>
          <w:color w:val="000000"/>
          <w:sz w:val="20"/>
          <w:szCs w:val="20"/>
          <w:lang w:val="es-AR"/>
        </w:rPr>
        <w:t>100</w:t>
      </w:r>
      <w:r w:rsidRPr="007E6F03">
        <w:rPr>
          <w:color w:val="000000"/>
          <w:sz w:val="20"/>
          <w:szCs w:val="20"/>
          <w:lang w:val="es-AR"/>
        </w:rPr>
        <w:t>% de las acciones</w:t>
      </w:r>
      <w:r>
        <w:rPr>
          <w:color w:val="000000"/>
          <w:sz w:val="20"/>
          <w:szCs w:val="20"/>
          <w:lang w:val="es-AR"/>
        </w:rPr>
        <w:t xml:space="preserve">. </w:t>
      </w:r>
      <w:r w:rsidRPr="007E6F03">
        <w:rPr>
          <w:color w:val="000000"/>
          <w:sz w:val="20"/>
          <w:szCs w:val="20"/>
          <w:lang w:val="es-AR"/>
        </w:rPr>
        <w:t xml:space="preserve">Esta empresa se encarga de la adquisición de suministros, en especial electrónicos, como así también de otros servicios de ingeniería y productos, prestando eficazmente servicios de compras a </w:t>
      </w:r>
      <w:r w:rsidRPr="0069659A">
        <w:rPr>
          <w:color w:val="000000"/>
          <w:sz w:val="20"/>
          <w:szCs w:val="20"/>
          <w:lang w:val="es-AR"/>
        </w:rPr>
        <w:t xml:space="preserve">la </w:t>
      </w:r>
      <w:r w:rsidRPr="00C94179">
        <w:rPr>
          <w:color w:val="000000"/>
          <w:sz w:val="20"/>
          <w:szCs w:val="20"/>
          <w:lang w:val="es-AR"/>
        </w:rPr>
        <w:t>Gerencia de</w:t>
      </w:r>
      <w:r w:rsidRPr="00084CF5">
        <w:rPr>
          <w:color w:val="000000"/>
          <w:sz w:val="20"/>
          <w:szCs w:val="20"/>
          <w:lang w:val="es-AR"/>
        </w:rPr>
        <w:t xml:space="preserve"> Abastecimiento y</w:t>
      </w:r>
      <w:r>
        <w:rPr>
          <w:color w:val="000000"/>
          <w:sz w:val="20"/>
          <w:szCs w:val="20"/>
          <w:lang w:val="es-AR"/>
        </w:rPr>
        <w:t xml:space="preserve"> Comercio Internacional</w:t>
      </w:r>
      <w:r w:rsidRPr="007E6F03">
        <w:rPr>
          <w:color w:val="000000"/>
          <w:sz w:val="20"/>
          <w:szCs w:val="20"/>
          <w:lang w:val="es-AR"/>
        </w:rPr>
        <w:t>. Los resultados de sus actividades se encuentran consolidados en los Estados Financieros, según las normas vigentes</w:t>
      </w:r>
      <w:r w:rsidR="00F85F93">
        <w:rPr>
          <w:color w:val="000000"/>
          <w:sz w:val="20"/>
          <w:szCs w:val="20"/>
          <w:lang w:val="es-AR"/>
        </w:rPr>
        <w:t>.</w:t>
      </w:r>
    </w:p>
    <w:p w14:paraId="487FF7FA" w14:textId="77777777" w:rsidR="001C2EC6" w:rsidRPr="007E6F03" w:rsidRDefault="001C2EC6" w:rsidP="001C2EC6">
      <w:pPr>
        <w:pStyle w:val="Text"/>
        <w:widowControl w:val="0"/>
        <w:spacing w:after="0"/>
        <w:ind w:firstLine="0"/>
        <w:jc w:val="both"/>
        <w:rPr>
          <w:i/>
          <w:iCs/>
          <w:color w:val="000000"/>
          <w:sz w:val="20"/>
          <w:szCs w:val="20"/>
          <w:lang w:val="es-AR"/>
        </w:rPr>
      </w:pPr>
    </w:p>
    <w:p w14:paraId="226C0C37" w14:textId="77777777" w:rsidR="001C2EC6" w:rsidRPr="007E6F03" w:rsidRDefault="001C2EC6" w:rsidP="001C2EC6">
      <w:pPr>
        <w:widowControl w:val="0"/>
        <w:tabs>
          <w:tab w:val="left" w:pos="664"/>
          <w:tab w:val="left" w:pos="993"/>
          <w:tab w:val="left" w:pos="1701"/>
        </w:tabs>
        <w:jc w:val="both"/>
        <w:rPr>
          <w:b/>
          <w:i/>
          <w:iCs/>
          <w:color w:val="000000"/>
          <w:sz w:val="20"/>
          <w:szCs w:val="20"/>
          <w:lang w:val="es-AR"/>
        </w:rPr>
      </w:pPr>
      <w:r w:rsidRPr="007E6F03">
        <w:rPr>
          <w:b/>
          <w:i/>
          <w:iCs/>
          <w:color w:val="000000"/>
          <w:sz w:val="20"/>
          <w:szCs w:val="20"/>
          <w:lang w:val="es-AR"/>
        </w:rPr>
        <w:t>INVAP do BRASIL Ltda.</w:t>
      </w:r>
    </w:p>
    <w:p w14:paraId="261D6A88" w14:textId="77777777" w:rsidR="001C2EC6" w:rsidRPr="007E6F03" w:rsidRDefault="001C2EC6" w:rsidP="001C2EC6">
      <w:pPr>
        <w:widowControl w:val="0"/>
        <w:tabs>
          <w:tab w:val="left" w:pos="664"/>
          <w:tab w:val="left" w:pos="993"/>
          <w:tab w:val="left" w:pos="1701"/>
        </w:tabs>
        <w:jc w:val="both"/>
        <w:rPr>
          <w:i/>
          <w:iCs/>
          <w:color w:val="000000"/>
          <w:sz w:val="20"/>
          <w:szCs w:val="20"/>
          <w:lang w:val="es-AR"/>
        </w:rPr>
      </w:pPr>
    </w:p>
    <w:p w14:paraId="518CA0FF" w14:textId="77777777" w:rsidR="001C2EC6" w:rsidRPr="007E6F03" w:rsidRDefault="001C2EC6" w:rsidP="001C2EC6">
      <w:pPr>
        <w:pStyle w:val="Text"/>
        <w:widowControl w:val="0"/>
        <w:spacing w:after="0"/>
        <w:ind w:firstLine="0"/>
        <w:jc w:val="both"/>
        <w:rPr>
          <w:color w:val="000000"/>
          <w:sz w:val="20"/>
          <w:szCs w:val="20"/>
          <w:lang w:val="es-AR"/>
        </w:rPr>
      </w:pPr>
      <w:r w:rsidRPr="007E6F03">
        <w:rPr>
          <w:color w:val="000000"/>
          <w:sz w:val="20"/>
          <w:szCs w:val="20"/>
          <w:lang w:val="es-AR"/>
        </w:rPr>
        <w:t>Es una empresa de la cual INVAP</w:t>
      </w:r>
      <w:r>
        <w:rPr>
          <w:color w:val="000000"/>
          <w:sz w:val="20"/>
          <w:szCs w:val="20"/>
          <w:lang w:val="es-AR"/>
        </w:rPr>
        <w:t xml:space="preserve"> S.E.</w:t>
      </w:r>
      <w:r w:rsidRPr="007E6F03">
        <w:rPr>
          <w:color w:val="000000"/>
          <w:sz w:val="20"/>
          <w:szCs w:val="20"/>
          <w:lang w:val="es-AR"/>
        </w:rPr>
        <w:t xml:space="preserve"> tiene el 99</w:t>
      </w:r>
      <w:r>
        <w:rPr>
          <w:color w:val="000000"/>
          <w:sz w:val="20"/>
          <w:szCs w:val="20"/>
          <w:lang w:val="es-AR"/>
        </w:rPr>
        <w:t>,99</w:t>
      </w:r>
      <w:r w:rsidRPr="007E6F03">
        <w:rPr>
          <w:color w:val="000000"/>
          <w:sz w:val="20"/>
          <w:szCs w:val="20"/>
          <w:lang w:val="es-AR"/>
        </w:rPr>
        <w:t xml:space="preserve">% de las acciones. </w:t>
      </w:r>
      <w:r>
        <w:rPr>
          <w:color w:val="000000"/>
          <w:sz w:val="20"/>
          <w:szCs w:val="20"/>
          <w:lang w:val="es-AR"/>
        </w:rPr>
        <w:t xml:space="preserve">Esta </w:t>
      </w:r>
      <w:r w:rsidRPr="007E6F03">
        <w:rPr>
          <w:color w:val="000000"/>
          <w:sz w:val="20"/>
          <w:szCs w:val="20"/>
          <w:lang w:val="es-AR"/>
        </w:rPr>
        <w:t>representa una presencia estratégica de INVAP S.E. en el Mercosur. Los resultados de sus actividades se encuentran consolidados en los Estados Financieros, según las normas vigentes, dado que se trata de una sociedad controlada por INVAP S.E.</w:t>
      </w:r>
    </w:p>
    <w:p w14:paraId="4C5BB58F" w14:textId="77777777" w:rsidR="001C2EC6" w:rsidRPr="007E6F03" w:rsidRDefault="001C2EC6" w:rsidP="001C2EC6">
      <w:pPr>
        <w:pStyle w:val="Text"/>
        <w:widowControl w:val="0"/>
        <w:spacing w:after="0"/>
        <w:ind w:firstLine="0"/>
        <w:jc w:val="both"/>
        <w:rPr>
          <w:color w:val="000000"/>
          <w:sz w:val="20"/>
          <w:szCs w:val="20"/>
          <w:lang w:val="es-AR"/>
        </w:rPr>
      </w:pPr>
    </w:p>
    <w:p w14:paraId="75510962" w14:textId="77777777" w:rsidR="001C2EC6" w:rsidRPr="007E6F03" w:rsidRDefault="001C2EC6" w:rsidP="001C2EC6">
      <w:pPr>
        <w:widowControl w:val="0"/>
        <w:tabs>
          <w:tab w:val="left" w:pos="664"/>
          <w:tab w:val="left" w:pos="993"/>
          <w:tab w:val="left" w:pos="1701"/>
        </w:tabs>
        <w:jc w:val="both"/>
        <w:rPr>
          <w:b/>
          <w:i/>
          <w:iCs/>
          <w:color w:val="000000"/>
          <w:sz w:val="20"/>
          <w:szCs w:val="20"/>
        </w:rPr>
      </w:pPr>
      <w:r w:rsidRPr="007E6F03">
        <w:rPr>
          <w:b/>
          <w:i/>
          <w:iCs/>
          <w:color w:val="000000"/>
          <w:sz w:val="20"/>
          <w:szCs w:val="20"/>
        </w:rPr>
        <w:t>INVAP Sydney Pty. Ltd. (Australia)</w:t>
      </w:r>
    </w:p>
    <w:p w14:paraId="40E1FE05" w14:textId="77777777" w:rsidR="001C2EC6" w:rsidRPr="007E6F03" w:rsidRDefault="001C2EC6" w:rsidP="001C2EC6">
      <w:pPr>
        <w:widowControl w:val="0"/>
        <w:tabs>
          <w:tab w:val="left" w:pos="664"/>
          <w:tab w:val="left" w:pos="993"/>
          <w:tab w:val="left" w:pos="1701"/>
        </w:tabs>
        <w:jc w:val="both"/>
        <w:rPr>
          <w:i/>
          <w:iCs/>
          <w:color w:val="000000"/>
          <w:sz w:val="20"/>
          <w:szCs w:val="20"/>
        </w:rPr>
      </w:pPr>
    </w:p>
    <w:p w14:paraId="38DAE4C0" w14:textId="77777777" w:rsidR="001C2EC6" w:rsidRPr="007E6F03" w:rsidRDefault="001C2EC6" w:rsidP="001C2EC6">
      <w:pPr>
        <w:widowControl w:val="0"/>
        <w:tabs>
          <w:tab w:val="left" w:pos="664"/>
          <w:tab w:val="left" w:pos="993"/>
          <w:tab w:val="left" w:pos="1701"/>
        </w:tabs>
        <w:jc w:val="both"/>
        <w:rPr>
          <w:color w:val="000000"/>
          <w:sz w:val="20"/>
          <w:szCs w:val="20"/>
          <w:lang w:val="es-AR"/>
        </w:rPr>
      </w:pPr>
      <w:r w:rsidRPr="007E6F03">
        <w:rPr>
          <w:color w:val="000000"/>
          <w:sz w:val="20"/>
          <w:szCs w:val="20"/>
          <w:lang w:val="es-AR"/>
        </w:rPr>
        <w:t>La sociedad se encuentra en estado inactivo de acuerdo a la legislación australiana.</w:t>
      </w:r>
    </w:p>
    <w:p w14:paraId="408678E9" w14:textId="77777777" w:rsidR="001C2EC6" w:rsidRPr="00512442" w:rsidRDefault="001C2EC6" w:rsidP="00512442">
      <w:pPr>
        <w:widowControl w:val="0"/>
        <w:tabs>
          <w:tab w:val="left" w:pos="664"/>
          <w:tab w:val="left" w:pos="993"/>
          <w:tab w:val="left" w:pos="1701"/>
        </w:tabs>
        <w:jc w:val="both"/>
        <w:rPr>
          <w:color w:val="000000"/>
          <w:sz w:val="20"/>
          <w:lang w:val="es-AR"/>
        </w:rPr>
      </w:pPr>
    </w:p>
    <w:p w14:paraId="08EC27AC" w14:textId="77777777" w:rsidR="001C2EC6" w:rsidRPr="007E6F03" w:rsidRDefault="001C2EC6" w:rsidP="001C2EC6">
      <w:pPr>
        <w:pStyle w:val="Text"/>
        <w:widowControl w:val="0"/>
        <w:spacing w:after="0"/>
        <w:ind w:firstLine="0"/>
        <w:jc w:val="both"/>
        <w:rPr>
          <w:b/>
          <w:i/>
          <w:iCs/>
          <w:color w:val="000000"/>
          <w:sz w:val="20"/>
          <w:szCs w:val="20"/>
          <w:lang w:val="es-AR"/>
        </w:rPr>
      </w:pPr>
      <w:r w:rsidRPr="007E6F03">
        <w:rPr>
          <w:b/>
          <w:i/>
          <w:iCs/>
          <w:color w:val="000000"/>
          <w:sz w:val="20"/>
          <w:szCs w:val="20"/>
          <w:lang w:val="es-AR"/>
        </w:rPr>
        <w:t>INVAP Ingeniería S.A.</w:t>
      </w:r>
    </w:p>
    <w:p w14:paraId="66BAB3F2" w14:textId="77777777" w:rsidR="001C2EC6" w:rsidRPr="007E6F03" w:rsidRDefault="001C2EC6" w:rsidP="001C2EC6">
      <w:pPr>
        <w:pStyle w:val="Text"/>
        <w:widowControl w:val="0"/>
        <w:spacing w:after="0"/>
        <w:ind w:firstLine="0"/>
        <w:jc w:val="both"/>
        <w:rPr>
          <w:i/>
          <w:iCs/>
          <w:color w:val="000000"/>
          <w:sz w:val="20"/>
          <w:szCs w:val="20"/>
          <w:lang w:val="es-AR"/>
        </w:rPr>
      </w:pPr>
    </w:p>
    <w:p w14:paraId="7B7DD287" w14:textId="4B37F533" w:rsidR="00F85F93" w:rsidRPr="007E6F03" w:rsidRDefault="00F85F93" w:rsidP="00F85F93">
      <w:pPr>
        <w:pStyle w:val="Text"/>
        <w:widowControl w:val="0"/>
        <w:spacing w:after="0"/>
        <w:ind w:firstLine="0"/>
        <w:jc w:val="both"/>
        <w:rPr>
          <w:color w:val="000000"/>
          <w:sz w:val="20"/>
          <w:szCs w:val="20"/>
          <w:lang w:val="es-AR"/>
        </w:rPr>
      </w:pPr>
      <w:r w:rsidRPr="007E6F03">
        <w:rPr>
          <w:color w:val="000000"/>
          <w:sz w:val="20"/>
          <w:szCs w:val="20"/>
          <w:lang w:val="es-AR"/>
        </w:rPr>
        <w:t xml:space="preserve">Es una empresa creada y controlada por INVAP S.E., en la cual tiene el 80% de las acciones. </w:t>
      </w:r>
      <w:r>
        <w:rPr>
          <w:color w:val="000000"/>
          <w:sz w:val="20"/>
          <w:szCs w:val="20"/>
          <w:lang w:val="es-AR"/>
        </w:rPr>
        <w:t xml:space="preserve">Sus actividades se concentran actualmente en servicios de </w:t>
      </w:r>
      <w:r w:rsidRPr="004A4330">
        <w:rPr>
          <w:color w:val="000000"/>
          <w:sz w:val="20"/>
          <w:szCs w:val="20"/>
          <w:lang w:val="es-AR"/>
        </w:rPr>
        <w:t>ingeniería para proyectos de Petróleo, auditorías de equipos MWD, integridad estructural, verificaciones técnicas de quipos de la industria petrolera, diagnóstico de fallas, inspecciones de torres e inspecciones y certificaciones de puentes grúa.</w:t>
      </w:r>
      <w:r>
        <w:rPr>
          <w:color w:val="000000"/>
          <w:sz w:val="20"/>
          <w:szCs w:val="20"/>
          <w:lang w:val="es-AR"/>
        </w:rPr>
        <w:t xml:space="preserve"> Asimismo, cuenta con capacidad para desarrollar</w:t>
      </w:r>
      <w:r w:rsidRPr="007E6F03">
        <w:rPr>
          <w:color w:val="000000"/>
          <w:sz w:val="20"/>
          <w:szCs w:val="20"/>
          <w:lang w:val="es-AR"/>
        </w:rPr>
        <w:t xml:space="preserve"> equipos de avanzada para la industria del petróleo y del gas</w:t>
      </w:r>
      <w:r>
        <w:rPr>
          <w:color w:val="000000"/>
          <w:sz w:val="20"/>
          <w:szCs w:val="20"/>
          <w:lang w:val="es-AR"/>
        </w:rPr>
        <w:t xml:space="preserve"> y </w:t>
      </w:r>
      <w:r w:rsidRPr="007E6F03">
        <w:rPr>
          <w:color w:val="000000"/>
          <w:sz w:val="20"/>
          <w:szCs w:val="20"/>
          <w:lang w:val="es-AR"/>
        </w:rPr>
        <w:t xml:space="preserve">equipamiento para la automatización industrial y para plantas químicas. </w:t>
      </w:r>
      <w:r>
        <w:rPr>
          <w:color w:val="000000"/>
          <w:sz w:val="20"/>
          <w:szCs w:val="20"/>
          <w:lang w:val="es-AR"/>
        </w:rPr>
        <w:t>Adicionalmente, fabrica</w:t>
      </w:r>
      <w:r w:rsidRPr="007E6F03">
        <w:rPr>
          <w:color w:val="000000"/>
          <w:sz w:val="20"/>
          <w:szCs w:val="20"/>
          <w:lang w:val="es-AR"/>
        </w:rPr>
        <w:t xml:space="preserve"> equipamiento eólico de baja potencia. Los resultados de sus actividades se encuentran consolidados en los Estados Financieros, según las normas vigentes.</w:t>
      </w:r>
    </w:p>
    <w:p w14:paraId="6BBA6834" w14:textId="77777777" w:rsidR="001C2EC6" w:rsidRPr="007E6F03" w:rsidRDefault="001C2EC6" w:rsidP="001C2EC6">
      <w:pPr>
        <w:pStyle w:val="Text"/>
        <w:widowControl w:val="0"/>
        <w:spacing w:after="0"/>
        <w:ind w:firstLine="0"/>
        <w:jc w:val="both"/>
        <w:rPr>
          <w:color w:val="000000"/>
          <w:sz w:val="20"/>
          <w:szCs w:val="20"/>
          <w:lang w:val="es-AR"/>
        </w:rPr>
      </w:pPr>
    </w:p>
    <w:p w14:paraId="693C73D8" w14:textId="77777777" w:rsidR="001C2EC6" w:rsidRPr="007E6F03" w:rsidRDefault="001C2EC6" w:rsidP="001C2EC6">
      <w:pPr>
        <w:pStyle w:val="Text"/>
        <w:widowControl w:val="0"/>
        <w:spacing w:after="0"/>
        <w:ind w:firstLine="0"/>
        <w:jc w:val="both"/>
        <w:rPr>
          <w:b/>
          <w:i/>
          <w:iCs/>
          <w:color w:val="000000"/>
          <w:sz w:val="20"/>
          <w:szCs w:val="20"/>
          <w:lang w:val="es-AR"/>
        </w:rPr>
      </w:pPr>
      <w:r w:rsidRPr="007E6F03">
        <w:rPr>
          <w:b/>
          <w:i/>
          <w:iCs/>
          <w:color w:val="000000"/>
          <w:sz w:val="20"/>
          <w:szCs w:val="20"/>
          <w:lang w:val="es-AR"/>
        </w:rPr>
        <w:t>Eólica Rionegrina S.A.</w:t>
      </w:r>
    </w:p>
    <w:p w14:paraId="4F352778" w14:textId="77777777" w:rsidR="001C2EC6" w:rsidRPr="007E6F03" w:rsidRDefault="001C2EC6" w:rsidP="001C2EC6">
      <w:pPr>
        <w:pStyle w:val="Text"/>
        <w:widowControl w:val="0"/>
        <w:spacing w:after="0"/>
        <w:ind w:firstLine="0"/>
        <w:jc w:val="both"/>
        <w:rPr>
          <w:i/>
          <w:iCs/>
          <w:color w:val="000000"/>
          <w:sz w:val="20"/>
          <w:szCs w:val="20"/>
          <w:lang w:val="es-AR"/>
        </w:rPr>
      </w:pPr>
    </w:p>
    <w:p w14:paraId="4538060D" w14:textId="2317690A" w:rsidR="001C2EC6" w:rsidRPr="007E6F03" w:rsidRDefault="001C2EC6" w:rsidP="001C2EC6">
      <w:pPr>
        <w:pStyle w:val="Text"/>
        <w:widowControl w:val="0"/>
        <w:spacing w:after="0"/>
        <w:ind w:firstLine="0"/>
        <w:jc w:val="both"/>
        <w:rPr>
          <w:color w:val="000000"/>
          <w:sz w:val="20"/>
          <w:szCs w:val="20"/>
          <w:lang w:val="es-AR"/>
        </w:rPr>
      </w:pPr>
      <w:r w:rsidRPr="007E6F03">
        <w:rPr>
          <w:color w:val="000000"/>
          <w:sz w:val="20"/>
          <w:szCs w:val="20"/>
          <w:lang w:val="es-AR"/>
        </w:rPr>
        <w:t>Es una empresa creada y controlada por INVAP S.E., en la cual tiene el 60% de las acciones. Desarrolla actividades vinculadas con la energía eléctrica basada en energías convencionales no renovables y renovables, excluyendo la de origen nuclear. Adicionalmente, se dedica a la explotación, operación, diseño, construcción, puesta en marcha y desarrollo de parques eólicos. Los resultados de sus actividades se encuentran consolidados en los Estados Financieros, según las normas vigentes</w:t>
      </w:r>
      <w:r w:rsidR="00F85F93">
        <w:rPr>
          <w:color w:val="000000"/>
          <w:sz w:val="20"/>
          <w:szCs w:val="20"/>
          <w:lang w:val="es-AR"/>
        </w:rPr>
        <w:t>.</w:t>
      </w:r>
    </w:p>
    <w:p w14:paraId="5390DCD3" w14:textId="77777777" w:rsidR="001C2EC6" w:rsidRPr="007E6F03" w:rsidRDefault="001C2EC6" w:rsidP="001C2EC6">
      <w:pPr>
        <w:pStyle w:val="Text"/>
        <w:widowControl w:val="0"/>
        <w:spacing w:after="0"/>
        <w:ind w:firstLine="0"/>
        <w:jc w:val="both"/>
        <w:rPr>
          <w:i/>
          <w:iCs/>
          <w:color w:val="000000"/>
          <w:sz w:val="20"/>
          <w:szCs w:val="20"/>
          <w:lang w:val="es-AR"/>
        </w:rPr>
      </w:pPr>
    </w:p>
    <w:p w14:paraId="777474F9" w14:textId="77777777" w:rsidR="001C2EC6" w:rsidRPr="00455DA9" w:rsidRDefault="001C2EC6" w:rsidP="001C2EC6">
      <w:pPr>
        <w:pStyle w:val="Text"/>
        <w:widowControl w:val="0"/>
        <w:spacing w:after="0"/>
        <w:ind w:firstLine="0"/>
        <w:jc w:val="both"/>
        <w:rPr>
          <w:b/>
          <w:i/>
          <w:iCs/>
          <w:color w:val="000000"/>
          <w:sz w:val="20"/>
          <w:szCs w:val="20"/>
          <w:lang w:val="es-AR"/>
        </w:rPr>
      </w:pPr>
      <w:r w:rsidRPr="00455DA9">
        <w:rPr>
          <w:b/>
          <w:i/>
          <w:iCs/>
          <w:color w:val="000000"/>
          <w:sz w:val="20"/>
          <w:szCs w:val="20"/>
          <w:lang w:val="es-AR"/>
        </w:rPr>
        <w:t>Frontec S.A.U.</w:t>
      </w:r>
    </w:p>
    <w:p w14:paraId="49B86AFE" w14:textId="77777777" w:rsidR="001C2EC6" w:rsidRPr="007E6F03" w:rsidRDefault="001C2EC6" w:rsidP="001C2EC6">
      <w:pPr>
        <w:pStyle w:val="Text"/>
        <w:widowControl w:val="0"/>
        <w:spacing w:after="0"/>
        <w:ind w:firstLine="0"/>
        <w:jc w:val="both"/>
        <w:rPr>
          <w:i/>
          <w:iCs/>
          <w:color w:val="000000"/>
          <w:sz w:val="20"/>
          <w:szCs w:val="20"/>
          <w:lang w:val="es-AR"/>
        </w:rPr>
      </w:pPr>
    </w:p>
    <w:p w14:paraId="42ED79E6" w14:textId="77777777" w:rsidR="001C2EC6" w:rsidRPr="007E6F03" w:rsidRDefault="001C2EC6" w:rsidP="001C2EC6">
      <w:pPr>
        <w:pStyle w:val="Text"/>
        <w:widowControl w:val="0"/>
        <w:spacing w:after="0"/>
        <w:ind w:firstLine="0"/>
        <w:jc w:val="both"/>
        <w:rPr>
          <w:color w:val="000000"/>
          <w:sz w:val="20"/>
          <w:szCs w:val="20"/>
          <w:lang w:val="es-AR"/>
        </w:rPr>
      </w:pPr>
      <w:r w:rsidRPr="007E6F03">
        <w:rPr>
          <w:color w:val="000000"/>
          <w:sz w:val="20"/>
          <w:szCs w:val="20"/>
          <w:lang w:val="es-AR"/>
        </w:rPr>
        <w:t>Frontec S.A.U. es una sociedad 100% de INVAP S.E. dedicada a la prestación de servicios de información a terceros vinculada con la agricultura digital inteligente y de precisión. Los resultados de sus actividades se encuentran consolidados en los Estados Financieros, según las normas vigentes, dado que se trata de una sociedad controlada por INVAP S.E.</w:t>
      </w:r>
    </w:p>
    <w:p w14:paraId="284EF487" w14:textId="77777777" w:rsidR="001C2EC6" w:rsidRPr="007E6F03" w:rsidRDefault="001C2EC6" w:rsidP="001C2EC6">
      <w:pPr>
        <w:pStyle w:val="Text"/>
        <w:widowControl w:val="0"/>
        <w:spacing w:after="0"/>
        <w:ind w:firstLine="0"/>
        <w:jc w:val="both"/>
        <w:rPr>
          <w:color w:val="000000"/>
          <w:sz w:val="20"/>
          <w:szCs w:val="20"/>
          <w:lang w:val="es-AR"/>
        </w:rPr>
      </w:pPr>
    </w:p>
    <w:p w14:paraId="7807A579" w14:textId="77777777" w:rsidR="001C2EC6" w:rsidRPr="00455DA9" w:rsidRDefault="001C2EC6" w:rsidP="001C2EC6">
      <w:pPr>
        <w:pStyle w:val="Text"/>
        <w:widowControl w:val="0"/>
        <w:spacing w:after="0"/>
        <w:ind w:firstLine="0"/>
        <w:jc w:val="both"/>
        <w:rPr>
          <w:b/>
          <w:i/>
          <w:iCs/>
          <w:color w:val="000000"/>
          <w:sz w:val="20"/>
          <w:szCs w:val="20"/>
          <w:lang w:val="es-AR"/>
        </w:rPr>
      </w:pPr>
      <w:r w:rsidRPr="00455DA9">
        <w:rPr>
          <w:b/>
          <w:i/>
          <w:iCs/>
          <w:color w:val="000000"/>
          <w:sz w:val="20"/>
          <w:szCs w:val="20"/>
          <w:lang w:val="es-AR"/>
        </w:rPr>
        <w:t>INVAP Nederland B.V.</w:t>
      </w:r>
    </w:p>
    <w:p w14:paraId="58640945" w14:textId="77777777" w:rsidR="001C2EC6" w:rsidRPr="00455DA9" w:rsidRDefault="001C2EC6" w:rsidP="001C2EC6">
      <w:pPr>
        <w:pStyle w:val="Text"/>
        <w:widowControl w:val="0"/>
        <w:spacing w:after="0"/>
        <w:ind w:firstLine="0"/>
        <w:jc w:val="both"/>
        <w:rPr>
          <w:color w:val="000000"/>
          <w:sz w:val="20"/>
          <w:szCs w:val="20"/>
          <w:lang w:val="es-AR"/>
        </w:rPr>
      </w:pPr>
    </w:p>
    <w:p w14:paraId="10C46EB7" w14:textId="77777777" w:rsidR="001C2EC6" w:rsidRDefault="001C2EC6" w:rsidP="001C2EC6">
      <w:pPr>
        <w:pStyle w:val="Text"/>
        <w:widowControl w:val="0"/>
        <w:spacing w:after="0"/>
        <w:ind w:firstLine="0"/>
        <w:jc w:val="both"/>
        <w:rPr>
          <w:color w:val="000000"/>
          <w:sz w:val="20"/>
          <w:szCs w:val="20"/>
          <w:lang w:val="es-AR"/>
        </w:rPr>
      </w:pPr>
      <w:r w:rsidRPr="007E6F03">
        <w:rPr>
          <w:color w:val="000000"/>
          <w:sz w:val="20"/>
          <w:szCs w:val="20"/>
          <w:lang w:val="es-AR"/>
        </w:rPr>
        <w:t>INVAP Nederland B.V. es una sociedad 100% de INVAP S.E. La actividad de la empresa se relaciona directamente con la ejecución del contrato del Reactor Pallas en Países Bajos. Los resultados de sus actividades se encuentran consolidados en los Estados Financieros, según las normas vigentes, dado que se trata de una sociedad controlada por INVAP S.E.</w:t>
      </w:r>
    </w:p>
    <w:p w14:paraId="5AD8235E" w14:textId="77777777" w:rsidR="001C2EC6" w:rsidRPr="00196976" w:rsidRDefault="001C2EC6" w:rsidP="001C2EC6">
      <w:pPr>
        <w:pStyle w:val="Text"/>
        <w:widowControl w:val="0"/>
        <w:spacing w:after="0"/>
        <w:ind w:firstLine="0"/>
        <w:jc w:val="both"/>
        <w:rPr>
          <w:color w:val="000000"/>
          <w:sz w:val="20"/>
          <w:szCs w:val="20"/>
          <w:lang w:val="es-AR"/>
        </w:rPr>
      </w:pPr>
    </w:p>
    <w:p w14:paraId="30D1B287" w14:textId="77777777" w:rsidR="001C2EC6" w:rsidRPr="00BB3B47" w:rsidRDefault="001C2EC6" w:rsidP="001C2EC6">
      <w:pPr>
        <w:pStyle w:val="Text"/>
        <w:widowControl w:val="0"/>
        <w:spacing w:after="0"/>
        <w:ind w:firstLine="0"/>
        <w:jc w:val="both"/>
        <w:rPr>
          <w:b/>
          <w:color w:val="000000"/>
          <w:sz w:val="20"/>
          <w:szCs w:val="20"/>
          <w:u w:val="single"/>
          <w:lang w:val="es-AR"/>
        </w:rPr>
      </w:pPr>
      <w:r w:rsidRPr="00BB3B47">
        <w:rPr>
          <w:b/>
          <w:color w:val="000000"/>
          <w:sz w:val="20"/>
          <w:szCs w:val="20"/>
          <w:u w:val="single"/>
          <w:lang w:val="es-AR"/>
        </w:rPr>
        <w:t>Sucursales del Exterior</w:t>
      </w:r>
    </w:p>
    <w:p w14:paraId="50D825AE" w14:textId="77777777" w:rsidR="001C2EC6" w:rsidRPr="007E6F03" w:rsidRDefault="001C2EC6" w:rsidP="001C2EC6">
      <w:pPr>
        <w:pStyle w:val="Text"/>
        <w:widowControl w:val="0"/>
        <w:spacing w:after="0"/>
        <w:ind w:firstLine="0"/>
        <w:jc w:val="both"/>
        <w:rPr>
          <w:color w:val="000000"/>
          <w:sz w:val="20"/>
          <w:szCs w:val="20"/>
          <w:lang w:val="es-AR"/>
        </w:rPr>
      </w:pPr>
    </w:p>
    <w:p w14:paraId="0F2A65D9" w14:textId="77777777" w:rsidR="001C2EC6" w:rsidRPr="007E6F03" w:rsidRDefault="001C2EC6" w:rsidP="001C2EC6">
      <w:pPr>
        <w:widowControl w:val="0"/>
        <w:tabs>
          <w:tab w:val="left" w:pos="664"/>
          <w:tab w:val="left" w:pos="993"/>
          <w:tab w:val="left" w:pos="1701"/>
        </w:tabs>
        <w:jc w:val="both"/>
        <w:rPr>
          <w:b/>
          <w:i/>
          <w:iCs/>
          <w:color w:val="000000"/>
          <w:sz w:val="20"/>
          <w:szCs w:val="20"/>
          <w:lang w:val="es-AR"/>
        </w:rPr>
      </w:pPr>
      <w:r w:rsidRPr="007E6F03">
        <w:rPr>
          <w:b/>
          <w:i/>
          <w:iCs/>
          <w:color w:val="000000"/>
          <w:sz w:val="20"/>
          <w:szCs w:val="20"/>
          <w:lang w:val="es-AR"/>
        </w:rPr>
        <w:t>Egypt Branch (Egipto)</w:t>
      </w:r>
    </w:p>
    <w:p w14:paraId="6891DCF1" w14:textId="77777777" w:rsidR="001C2EC6" w:rsidRPr="007E6F03" w:rsidRDefault="001C2EC6" w:rsidP="001C2EC6">
      <w:pPr>
        <w:autoSpaceDE w:val="0"/>
        <w:autoSpaceDN w:val="0"/>
        <w:adjustRightInd w:val="0"/>
        <w:jc w:val="both"/>
        <w:rPr>
          <w:color w:val="000000"/>
          <w:sz w:val="20"/>
          <w:szCs w:val="20"/>
          <w:lang w:val="es-AR"/>
        </w:rPr>
      </w:pPr>
    </w:p>
    <w:p w14:paraId="3ED602B6" w14:textId="77777777" w:rsidR="001C2EC6" w:rsidRPr="007E6F03" w:rsidRDefault="001C2EC6" w:rsidP="001C2EC6">
      <w:pPr>
        <w:autoSpaceDE w:val="0"/>
        <w:autoSpaceDN w:val="0"/>
        <w:adjustRightInd w:val="0"/>
        <w:jc w:val="both"/>
        <w:rPr>
          <w:color w:val="000000"/>
          <w:sz w:val="20"/>
          <w:szCs w:val="20"/>
          <w:lang w:val="es-AR"/>
        </w:rPr>
      </w:pPr>
      <w:r w:rsidRPr="007E6F03">
        <w:rPr>
          <w:color w:val="000000"/>
          <w:sz w:val="20"/>
          <w:szCs w:val="20"/>
          <w:lang w:val="es-AR"/>
        </w:rPr>
        <w:t xml:space="preserve">La sucursal continúa prestando servicios para distintos proyectos de la empresa y especialmente para el contrato por la asistencia técnica para la Atomic Energy Authority of Egypt. El balance de la sucursal se encuentra integrado con los Estados Financieros de INVAP S.E. </w:t>
      </w:r>
    </w:p>
    <w:p w14:paraId="3F39D0B0" w14:textId="77777777" w:rsidR="001C2EC6" w:rsidRPr="007E6F03" w:rsidRDefault="001C2EC6" w:rsidP="001C2EC6">
      <w:pPr>
        <w:pStyle w:val="Text"/>
        <w:widowControl w:val="0"/>
        <w:spacing w:after="0"/>
        <w:ind w:firstLine="0"/>
        <w:jc w:val="both"/>
        <w:rPr>
          <w:i/>
          <w:iCs/>
          <w:color w:val="000000"/>
          <w:sz w:val="20"/>
          <w:szCs w:val="20"/>
          <w:lang w:val="es-AR"/>
        </w:rPr>
      </w:pPr>
    </w:p>
    <w:p w14:paraId="2807C150" w14:textId="77777777" w:rsidR="001C2EC6" w:rsidRPr="007E6F03" w:rsidRDefault="001C2EC6" w:rsidP="001C2EC6">
      <w:pPr>
        <w:widowControl w:val="0"/>
        <w:tabs>
          <w:tab w:val="left" w:pos="664"/>
          <w:tab w:val="left" w:pos="993"/>
          <w:tab w:val="left" w:pos="1701"/>
        </w:tabs>
        <w:jc w:val="both"/>
        <w:rPr>
          <w:b/>
          <w:i/>
          <w:iCs/>
          <w:color w:val="000000"/>
          <w:sz w:val="20"/>
          <w:szCs w:val="20"/>
          <w:lang w:val="es-AR"/>
        </w:rPr>
      </w:pPr>
      <w:r w:rsidRPr="007E6F03">
        <w:rPr>
          <w:b/>
          <w:i/>
          <w:iCs/>
          <w:color w:val="000000"/>
          <w:sz w:val="20"/>
          <w:szCs w:val="20"/>
          <w:lang w:val="es-AR"/>
        </w:rPr>
        <w:t>Sydney Branch (Australia)</w:t>
      </w:r>
    </w:p>
    <w:p w14:paraId="4C8FD794" w14:textId="77777777" w:rsidR="001C2EC6" w:rsidRPr="007E6F03" w:rsidRDefault="001C2EC6" w:rsidP="001C2EC6">
      <w:pPr>
        <w:widowControl w:val="0"/>
        <w:tabs>
          <w:tab w:val="left" w:pos="664"/>
          <w:tab w:val="left" w:pos="993"/>
          <w:tab w:val="left" w:pos="1701"/>
        </w:tabs>
        <w:jc w:val="both"/>
        <w:rPr>
          <w:i/>
          <w:iCs/>
          <w:color w:val="000000"/>
          <w:sz w:val="20"/>
          <w:szCs w:val="20"/>
          <w:lang w:val="es-AR"/>
        </w:rPr>
      </w:pPr>
    </w:p>
    <w:p w14:paraId="454E277A" w14:textId="77777777" w:rsidR="001C2EC6" w:rsidRPr="007E6F03" w:rsidRDefault="001C2EC6" w:rsidP="001C2EC6">
      <w:pPr>
        <w:pStyle w:val="Text"/>
        <w:widowControl w:val="0"/>
        <w:spacing w:after="0"/>
        <w:ind w:firstLine="0"/>
        <w:jc w:val="both"/>
        <w:rPr>
          <w:color w:val="000000"/>
          <w:sz w:val="20"/>
          <w:szCs w:val="20"/>
          <w:lang w:val="es-AR"/>
        </w:rPr>
      </w:pPr>
      <w:r w:rsidRPr="007E6F03">
        <w:rPr>
          <w:color w:val="000000"/>
          <w:sz w:val="20"/>
          <w:szCs w:val="20"/>
          <w:lang w:val="es-AR"/>
        </w:rPr>
        <w:t>La sucursal mantiene un nivel de actividad reducido, pero constituye una presencia estratégica en la región. El balance de la sucursal se encuentra integrado con los Estados Financieros de INVAP S.E.</w:t>
      </w:r>
    </w:p>
    <w:p w14:paraId="624D3D93" w14:textId="77777777" w:rsidR="001C2EC6" w:rsidRPr="007E6F03" w:rsidRDefault="001C2EC6" w:rsidP="001C2EC6">
      <w:pPr>
        <w:pStyle w:val="Text"/>
        <w:widowControl w:val="0"/>
        <w:spacing w:after="0"/>
        <w:ind w:firstLine="0"/>
        <w:jc w:val="both"/>
        <w:rPr>
          <w:color w:val="000000"/>
          <w:sz w:val="20"/>
          <w:szCs w:val="20"/>
          <w:lang w:val="es-AR"/>
        </w:rPr>
      </w:pPr>
    </w:p>
    <w:p w14:paraId="5BDE5DCE" w14:textId="77777777" w:rsidR="001C2EC6" w:rsidRPr="007E6F03" w:rsidRDefault="001C2EC6" w:rsidP="001C2EC6">
      <w:pPr>
        <w:widowControl w:val="0"/>
        <w:tabs>
          <w:tab w:val="left" w:pos="664"/>
          <w:tab w:val="left" w:pos="993"/>
          <w:tab w:val="left" w:pos="1701"/>
        </w:tabs>
        <w:jc w:val="both"/>
        <w:rPr>
          <w:b/>
          <w:i/>
          <w:iCs/>
          <w:color w:val="000000"/>
          <w:sz w:val="20"/>
          <w:szCs w:val="20"/>
          <w:lang w:val="es-AR"/>
        </w:rPr>
      </w:pPr>
      <w:r w:rsidRPr="007E6F03">
        <w:rPr>
          <w:b/>
          <w:i/>
          <w:iCs/>
          <w:color w:val="000000"/>
          <w:sz w:val="20"/>
          <w:szCs w:val="20"/>
          <w:lang w:val="es-AR"/>
        </w:rPr>
        <w:t>INVAP Argentina (Venezuela)</w:t>
      </w:r>
    </w:p>
    <w:p w14:paraId="7CC19B39" w14:textId="77777777" w:rsidR="001C2EC6" w:rsidRPr="007E6F03" w:rsidRDefault="001C2EC6" w:rsidP="001C2EC6">
      <w:pPr>
        <w:widowControl w:val="0"/>
        <w:tabs>
          <w:tab w:val="left" w:pos="664"/>
          <w:tab w:val="left" w:pos="993"/>
          <w:tab w:val="left" w:pos="1701"/>
        </w:tabs>
        <w:jc w:val="both"/>
        <w:rPr>
          <w:i/>
          <w:iCs/>
          <w:color w:val="000000"/>
          <w:sz w:val="20"/>
          <w:szCs w:val="20"/>
          <w:lang w:val="es-AR"/>
        </w:rPr>
      </w:pPr>
    </w:p>
    <w:p w14:paraId="2A6CCF6C" w14:textId="77777777" w:rsidR="001C2EC6" w:rsidRPr="007E6F03" w:rsidRDefault="001C2EC6" w:rsidP="001C2EC6">
      <w:pPr>
        <w:pStyle w:val="Text"/>
        <w:widowControl w:val="0"/>
        <w:spacing w:after="0"/>
        <w:ind w:firstLine="0"/>
        <w:jc w:val="both"/>
        <w:rPr>
          <w:color w:val="000000"/>
          <w:sz w:val="20"/>
          <w:szCs w:val="20"/>
          <w:lang w:val="es-AR"/>
        </w:rPr>
      </w:pPr>
      <w:r w:rsidRPr="007E6F03">
        <w:rPr>
          <w:color w:val="000000"/>
          <w:sz w:val="20"/>
          <w:szCs w:val="20"/>
          <w:lang w:val="es-AR"/>
        </w:rPr>
        <w:t>La sucursal mantiene un nivel mínimo de actividad. El balance de la sucursal se encuentra integrado con los Estados Financieros de INVAP S.E.</w:t>
      </w:r>
    </w:p>
    <w:p w14:paraId="2B5E2380" w14:textId="77777777" w:rsidR="001C2EC6" w:rsidRPr="007E6F03" w:rsidRDefault="001C2EC6" w:rsidP="001C2EC6">
      <w:pPr>
        <w:widowControl w:val="0"/>
        <w:tabs>
          <w:tab w:val="left" w:pos="664"/>
          <w:tab w:val="left" w:pos="993"/>
          <w:tab w:val="left" w:pos="1701"/>
        </w:tabs>
        <w:jc w:val="both"/>
        <w:rPr>
          <w:i/>
          <w:iCs/>
          <w:color w:val="000000"/>
          <w:sz w:val="20"/>
          <w:szCs w:val="20"/>
          <w:lang w:val="es-AR"/>
        </w:rPr>
      </w:pPr>
    </w:p>
    <w:p w14:paraId="5C2112A7" w14:textId="77777777" w:rsidR="001C2EC6" w:rsidRPr="007E6F03" w:rsidRDefault="001C2EC6" w:rsidP="001C2EC6">
      <w:pPr>
        <w:widowControl w:val="0"/>
        <w:tabs>
          <w:tab w:val="left" w:pos="664"/>
          <w:tab w:val="left" w:pos="993"/>
          <w:tab w:val="left" w:pos="1701"/>
        </w:tabs>
        <w:jc w:val="both"/>
        <w:rPr>
          <w:b/>
          <w:i/>
          <w:iCs/>
          <w:color w:val="000000"/>
          <w:sz w:val="20"/>
          <w:szCs w:val="20"/>
          <w:lang w:val="es-AR"/>
        </w:rPr>
      </w:pPr>
      <w:r w:rsidRPr="007E6F03">
        <w:rPr>
          <w:b/>
          <w:i/>
          <w:iCs/>
          <w:color w:val="000000"/>
          <w:sz w:val="20"/>
          <w:szCs w:val="20"/>
          <w:lang w:val="es-AR"/>
        </w:rPr>
        <w:t>INVAP Argelia</w:t>
      </w:r>
    </w:p>
    <w:p w14:paraId="7BD57D76" w14:textId="77777777" w:rsidR="001C2EC6" w:rsidRPr="007E6F03" w:rsidRDefault="001C2EC6" w:rsidP="001C2EC6">
      <w:pPr>
        <w:widowControl w:val="0"/>
        <w:tabs>
          <w:tab w:val="left" w:pos="664"/>
          <w:tab w:val="left" w:pos="993"/>
          <w:tab w:val="left" w:pos="1701"/>
        </w:tabs>
        <w:jc w:val="both"/>
        <w:rPr>
          <w:color w:val="000000"/>
          <w:sz w:val="20"/>
          <w:szCs w:val="20"/>
          <w:lang w:val="es-AR"/>
        </w:rPr>
      </w:pPr>
    </w:p>
    <w:p w14:paraId="483B0E2E" w14:textId="77777777" w:rsidR="001C2EC6" w:rsidRPr="007E6F03" w:rsidRDefault="001C2EC6" w:rsidP="001C2EC6">
      <w:pPr>
        <w:pStyle w:val="Text"/>
        <w:widowControl w:val="0"/>
        <w:spacing w:after="0"/>
        <w:ind w:firstLine="0"/>
        <w:jc w:val="both"/>
        <w:rPr>
          <w:color w:val="000000"/>
          <w:sz w:val="20"/>
          <w:szCs w:val="20"/>
          <w:lang w:val="es-AR"/>
        </w:rPr>
      </w:pPr>
      <w:r w:rsidRPr="007E6F03">
        <w:rPr>
          <w:color w:val="000000"/>
          <w:sz w:val="20"/>
          <w:szCs w:val="20"/>
          <w:lang w:val="es-AR"/>
        </w:rPr>
        <w:t>Esta sucursal concentra sus actividades en el proyecto de modernización del reactor de investigación NUR y la fabricación de una planta de radioisótopos. El balance de la sucursal se encuentra integrado con los Estados Financieros de INVAP S.E.</w:t>
      </w:r>
    </w:p>
    <w:p w14:paraId="20220350" w14:textId="77777777" w:rsidR="001C2EC6" w:rsidRPr="007E6F03" w:rsidRDefault="001C2EC6" w:rsidP="001C2EC6">
      <w:pPr>
        <w:jc w:val="both"/>
        <w:rPr>
          <w:color w:val="000000"/>
          <w:sz w:val="20"/>
          <w:szCs w:val="20"/>
          <w:lang w:val="es-AR"/>
        </w:rPr>
      </w:pPr>
    </w:p>
    <w:p w14:paraId="53E5D314" w14:textId="77777777" w:rsidR="001C2EC6" w:rsidRPr="007E6F03" w:rsidRDefault="001C2EC6" w:rsidP="001C2EC6">
      <w:pPr>
        <w:jc w:val="both"/>
        <w:rPr>
          <w:color w:val="000000"/>
          <w:sz w:val="20"/>
          <w:szCs w:val="20"/>
          <w:lang w:val="es-AR"/>
        </w:rPr>
      </w:pPr>
      <w:r w:rsidRPr="007E6F03">
        <w:rPr>
          <w:b/>
          <w:i/>
          <w:iCs/>
          <w:color w:val="000000"/>
          <w:sz w:val="20"/>
          <w:szCs w:val="20"/>
          <w:lang w:val="es-AR"/>
        </w:rPr>
        <w:t>INVAP Bolivia</w:t>
      </w:r>
    </w:p>
    <w:p w14:paraId="32DF76E4" w14:textId="77777777" w:rsidR="001C2EC6" w:rsidRPr="007E6F03" w:rsidRDefault="001C2EC6" w:rsidP="001C2EC6">
      <w:pPr>
        <w:rPr>
          <w:sz w:val="20"/>
          <w:szCs w:val="20"/>
          <w:lang w:val="es-AR"/>
        </w:rPr>
      </w:pPr>
    </w:p>
    <w:p w14:paraId="41E0CD63" w14:textId="77777777" w:rsidR="001C2EC6" w:rsidRPr="007E6F03" w:rsidRDefault="001C2EC6" w:rsidP="001C2EC6">
      <w:pPr>
        <w:pStyle w:val="Text"/>
        <w:widowControl w:val="0"/>
        <w:spacing w:after="0"/>
        <w:ind w:firstLine="0"/>
        <w:jc w:val="both"/>
        <w:rPr>
          <w:color w:val="000000"/>
          <w:sz w:val="20"/>
          <w:szCs w:val="20"/>
          <w:lang w:val="es-AR"/>
        </w:rPr>
      </w:pPr>
      <w:r w:rsidRPr="007E6F03">
        <w:rPr>
          <w:color w:val="000000"/>
          <w:sz w:val="20"/>
          <w:szCs w:val="20"/>
          <w:lang w:val="es-AR"/>
        </w:rPr>
        <w:t>Esta sucursal concentra sus actividades en el proyecto de construcción de tres centros de medicina nuclear en Bolivia. El balance de la sucursal se encuentra integrado con los Estados Financieros de INVAP S.E.</w:t>
      </w:r>
    </w:p>
    <w:p w14:paraId="68343085" w14:textId="77777777" w:rsidR="001C2EC6" w:rsidRPr="007E6F03" w:rsidRDefault="001C2EC6" w:rsidP="001C2EC6">
      <w:pPr>
        <w:pStyle w:val="Text"/>
        <w:widowControl w:val="0"/>
        <w:spacing w:after="0"/>
        <w:ind w:firstLine="0"/>
        <w:jc w:val="both"/>
        <w:rPr>
          <w:color w:val="000000"/>
          <w:sz w:val="20"/>
          <w:szCs w:val="20"/>
          <w:lang w:val="es-AR"/>
        </w:rPr>
      </w:pPr>
    </w:p>
    <w:p w14:paraId="7EEF475A" w14:textId="77777777" w:rsidR="001C2EC6" w:rsidRPr="007E6F03" w:rsidRDefault="001C2EC6" w:rsidP="001C2EC6">
      <w:pPr>
        <w:jc w:val="both"/>
        <w:rPr>
          <w:color w:val="000000"/>
          <w:sz w:val="20"/>
          <w:szCs w:val="20"/>
          <w:lang w:val="es-AR"/>
        </w:rPr>
      </w:pPr>
      <w:r w:rsidRPr="007E6F03">
        <w:rPr>
          <w:b/>
          <w:i/>
          <w:iCs/>
          <w:color w:val="000000"/>
          <w:sz w:val="20"/>
          <w:szCs w:val="20"/>
          <w:lang w:val="es-AR"/>
        </w:rPr>
        <w:t>Oficina de India</w:t>
      </w:r>
    </w:p>
    <w:p w14:paraId="3C913C82" w14:textId="77777777" w:rsidR="001C2EC6" w:rsidRPr="007E6F03" w:rsidRDefault="001C2EC6" w:rsidP="001C2EC6">
      <w:pPr>
        <w:rPr>
          <w:sz w:val="20"/>
          <w:szCs w:val="20"/>
          <w:lang w:val="es-AR"/>
        </w:rPr>
      </w:pPr>
    </w:p>
    <w:p w14:paraId="2ACB27F6" w14:textId="77777777" w:rsidR="001C2EC6" w:rsidRPr="007E6F03" w:rsidRDefault="001C2EC6" w:rsidP="001C2EC6">
      <w:pPr>
        <w:pStyle w:val="Text"/>
        <w:widowControl w:val="0"/>
        <w:spacing w:after="0"/>
        <w:ind w:firstLine="0"/>
        <w:jc w:val="both"/>
        <w:rPr>
          <w:color w:val="000000"/>
          <w:sz w:val="20"/>
          <w:szCs w:val="20"/>
          <w:lang w:val="es-AR"/>
        </w:rPr>
      </w:pPr>
      <w:r w:rsidRPr="007E6F03">
        <w:rPr>
          <w:color w:val="000000"/>
          <w:sz w:val="20"/>
          <w:szCs w:val="20"/>
          <w:lang w:val="es-AR"/>
        </w:rPr>
        <w:t>Esta sucursal tiene las características de oficina técnica en el proyecto de construcción de una Planta de Radioisótopos en India. El balance de la sucursal se encuentra integrado con los Estados Financieros de INVAP S.E.</w:t>
      </w:r>
    </w:p>
    <w:p w14:paraId="08B81E2B" w14:textId="77777777" w:rsidR="001C2EC6" w:rsidRDefault="001C2EC6" w:rsidP="001C2EC6">
      <w:pPr>
        <w:pStyle w:val="Text"/>
        <w:widowControl w:val="0"/>
        <w:spacing w:after="0"/>
        <w:ind w:firstLine="0"/>
        <w:jc w:val="both"/>
        <w:rPr>
          <w:color w:val="000000"/>
          <w:sz w:val="20"/>
          <w:szCs w:val="20"/>
          <w:lang w:val="es-AR"/>
        </w:rPr>
      </w:pPr>
    </w:p>
    <w:p w14:paraId="1A69FB97" w14:textId="77777777" w:rsidR="001C2EC6" w:rsidRPr="00BB3B47" w:rsidRDefault="001C2EC6" w:rsidP="001C2EC6">
      <w:pPr>
        <w:pStyle w:val="Text"/>
        <w:widowControl w:val="0"/>
        <w:spacing w:after="0"/>
        <w:ind w:firstLine="0"/>
        <w:jc w:val="both"/>
        <w:rPr>
          <w:b/>
          <w:color w:val="000000"/>
          <w:sz w:val="20"/>
          <w:szCs w:val="20"/>
          <w:u w:val="single"/>
          <w:lang w:val="es-AR"/>
        </w:rPr>
      </w:pPr>
      <w:r>
        <w:rPr>
          <w:b/>
          <w:color w:val="000000"/>
          <w:sz w:val="20"/>
          <w:szCs w:val="20"/>
          <w:u w:val="single"/>
          <w:lang w:val="es-AR"/>
        </w:rPr>
        <w:t>Otras Sociedades</w:t>
      </w:r>
    </w:p>
    <w:p w14:paraId="6EE58A86" w14:textId="77777777" w:rsidR="001C2EC6" w:rsidRPr="00BB3B47" w:rsidRDefault="001C2EC6" w:rsidP="001C2EC6">
      <w:pPr>
        <w:spacing w:before="240" w:after="60"/>
        <w:outlineLvl w:val="1"/>
        <w:rPr>
          <w:b/>
          <w:bCs/>
          <w:i/>
          <w:iCs/>
          <w:sz w:val="20"/>
          <w:szCs w:val="20"/>
          <w:lang w:val="es-AR" w:eastAsia="es-AR"/>
        </w:rPr>
      </w:pPr>
      <w:r w:rsidRPr="00BB3B47">
        <w:rPr>
          <w:b/>
          <w:bCs/>
          <w:i/>
          <w:iCs/>
          <w:sz w:val="20"/>
          <w:szCs w:val="20"/>
          <w:lang w:val="es-AR" w:eastAsia="es-AR"/>
        </w:rPr>
        <w:t>Veng S.A., CEAT S.A., ICHOS B.V. y GSATCOM Uzay Teknolojileri Anonim Şirketi</w:t>
      </w:r>
    </w:p>
    <w:p w14:paraId="77001922" w14:textId="77777777" w:rsidR="001C2EC6" w:rsidRPr="00BB3B47" w:rsidRDefault="001C2EC6" w:rsidP="001C2EC6">
      <w:pPr>
        <w:tabs>
          <w:tab w:val="left" w:pos="1188"/>
        </w:tabs>
        <w:spacing w:after="120"/>
        <w:jc w:val="both"/>
        <w:rPr>
          <w:sz w:val="20"/>
          <w:szCs w:val="20"/>
          <w:lang w:val="es-AR" w:eastAsia="es-AR"/>
        </w:rPr>
      </w:pPr>
      <w:r w:rsidRPr="00BB3B47">
        <w:rPr>
          <w:sz w:val="20"/>
          <w:szCs w:val="20"/>
          <w:lang w:val="es-ES" w:eastAsia="es-AR"/>
        </w:rPr>
        <w:t>La participación en estas sociedades está incluida en el rubro Activos Financieros y el resultado de las mismas en el rubro Resultado de Inversiones de Sociedades, de los Estados Financieros de INVAP S.E</w:t>
      </w:r>
      <w:r>
        <w:rPr>
          <w:sz w:val="20"/>
          <w:szCs w:val="20"/>
          <w:lang w:val="es-ES" w:eastAsia="es-AR"/>
        </w:rPr>
        <w:t>.</w:t>
      </w:r>
    </w:p>
    <w:p w14:paraId="1CBE098B" w14:textId="77777777" w:rsidR="00317271" w:rsidRPr="007213A1" w:rsidRDefault="00317271" w:rsidP="00317271">
      <w:pPr>
        <w:jc w:val="both"/>
        <w:rPr>
          <w:b/>
          <w:sz w:val="20"/>
          <w:szCs w:val="20"/>
          <w:lang w:val="es-AR"/>
        </w:rPr>
      </w:pPr>
    </w:p>
    <w:p w14:paraId="4180CCE6" w14:textId="3D06D327" w:rsidR="00317271" w:rsidRPr="007213A1" w:rsidRDefault="00317271" w:rsidP="00317271">
      <w:pPr>
        <w:jc w:val="both"/>
        <w:rPr>
          <w:b/>
          <w:sz w:val="20"/>
          <w:szCs w:val="20"/>
          <w:lang w:val="es-ES"/>
        </w:rPr>
      </w:pPr>
      <w:r w:rsidRPr="007213A1">
        <w:rPr>
          <w:b/>
          <w:sz w:val="20"/>
          <w:szCs w:val="20"/>
          <w:lang w:val="es-ES"/>
        </w:rPr>
        <w:t>b) Accionistas principales</w:t>
      </w:r>
    </w:p>
    <w:p w14:paraId="05415E43" w14:textId="77777777" w:rsidR="00317271" w:rsidRPr="007213A1" w:rsidRDefault="00317271" w:rsidP="00317271">
      <w:pPr>
        <w:jc w:val="both"/>
        <w:rPr>
          <w:b/>
          <w:sz w:val="20"/>
          <w:szCs w:val="20"/>
          <w:lang w:val="es-ES"/>
        </w:rPr>
      </w:pPr>
    </w:p>
    <w:p w14:paraId="37C9E77D" w14:textId="268E665A" w:rsidR="00317271" w:rsidRDefault="00317271" w:rsidP="00317271">
      <w:pPr>
        <w:contextualSpacing/>
        <w:rPr>
          <w:sz w:val="20"/>
          <w:szCs w:val="20"/>
          <w:lang w:val="es-MX"/>
        </w:rPr>
      </w:pPr>
      <w:r w:rsidRPr="007213A1">
        <w:rPr>
          <w:sz w:val="20"/>
          <w:szCs w:val="20"/>
          <w:lang w:val="es-MX"/>
        </w:rPr>
        <w:t xml:space="preserve">El siguiente cuadro identifica a los Accionistas de la Sociedad </w:t>
      </w:r>
      <w:r w:rsidR="003258D5">
        <w:rPr>
          <w:sz w:val="20"/>
          <w:szCs w:val="20"/>
          <w:lang w:val="es-MX"/>
        </w:rPr>
        <w:t>al 30 de junio 2019:</w:t>
      </w:r>
    </w:p>
    <w:p w14:paraId="424B9B08" w14:textId="77777777" w:rsidR="00063D3E" w:rsidRPr="007213A1" w:rsidRDefault="00063D3E" w:rsidP="00317271">
      <w:pPr>
        <w:contextualSpacing/>
        <w:rPr>
          <w:sz w:val="20"/>
          <w:szCs w:val="20"/>
          <w:lang w:val="es-MX"/>
        </w:rPr>
      </w:pPr>
    </w:p>
    <w:tbl>
      <w:tblPr>
        <w:tblW w:w="9240" w:type="dxa"/>
        <w:jc w:val="center"/>
        <w:tblCellMar>
          <w:left w:w="70" w:type="dxa"/>
          <w:right w:w="70" w:type="dxa"/>
        </w:tblCellMar>
        <w:tblLook w:val="04A0" w:firstRow="1" w:lastRow="0" w:firstColumn="1" w:lastColumn="0" w:noHBand="0" w:noVBand="1"/>
      </w:tblPr>
      <w:tblGrid>
        <w:gridCol w:w="2268"/>
        <w:gridCol w:w="1378"/>
        <w:gridCol w:w="1559"/>
        <w:gridCol w:w="1559"/>
        <w:gridCol w:w="1342"/>
        <w:gridCol w:w="1134"/>
      </w:tblGrid>
      <w:tr w:rsidR="00317271" w:rsidRPr="007213A1" w14:paraId="08AC5EF7" w14:textId="77777777" w:rsidTr="00BA304B">
        <w:trPr>
          <w:trHeight w:val="378"/>
          <w:jc w:val="center"/>
        </w:trPr>
        <w:tc>
          <w:tcPr>
            <w:tcW w:w="2268" w:type="dxa"/>
            <w:tcBorders>
              <w:bottom w:val="single" w:sz="4" w:space="0" w:color="auto"/>
            </w:tcBorders>
            <w:shd w:val="clear" w:color="auto" w:fill="auto"/>
            <w:noWrap/>
            <w:vAlign w:val="center"/>
            <w:hideMark/>
          </w:tcPr>
          <w:p w14:paraId="59F2FD9D" w14:textId="77777777" w:rsidR="00317271" w:rsidRPr="007213A1" w:rsidRDefault="00317271" w:rsidP="00317271">
            <w:pPr>
              <w:jc w:val="both"/>
              <w:rPr>
                <w:b/>
                <w:bCs/>
                <w:color w:val="000000"/>
                <w:sz w:val="20"/>
                <w:szCs w:val="20"/>
                <w:lang w:eastAsia="es-AR"/>
              </w:rPr>
            </w:pPr>
            <w:r w:rsidRPr="007213A1">
              <w:rPr>
                <w:b/>
                <w:bCs/>
                <w:color w:val="000000"/>
                <w:sz w:val="20"/>
                <w:szCs w:val="20"/>
                <w:lang w:eastAsia="es-AR"/>
              </w:rPr>
              <w:t>Accionista</w:t>
            </w:r>
          </w:p>
        </w:tc>
        <w:tc>
          <w:tcPr>
            <w:tcW w:w="1378" w:type="dxa"/>
            <w:tcBorders>
              <w:bottom w:val="single" w:sz="4" w:space="0" w:color="auto"/>
            </w:tcBorders>
            <w:shd w:val="clear" w:color="auto" w:fill="auto"/>
            <w:vAlign w:val="center"/>
          </w:tcPr>
          <w:p w14:paraId="59F8509E" w14:textId="77777777" w:rsidR="00317271" w:rsidRPr="007213A1" w:rsidRDefault="00317271" w:rsidP="00317271">
            <w:pPr>
              <w:jc w:val="center"/>
              <w:rPr>
                <w:b/>
                <w:bCs/>
                <w:color w:val="000000"/>
                <w:sz w:val="20"/>
                <w:szCs w:val="20"/>
                <w:lang w:eastAsia="es-AR"/>
              </w:rPr>
            </w:pPr>
          </w:p>
        </w:tc>
        <w:tc>
          <w:tcPr>
            <w:tcW w:w="1559" w:type="dxa"/>
            <w:tcBorders>
              <w:bottom w:val="single" w:sz="4" w:space="0" w:color="auto"/>
            </w:tcBorders>
          </w:tcPr>
          <w:p w14:paraId="26399C69" w14:textId="77777777" w:rsidR="00317271" w:rsidRPr="007213A1" w:rsidRDefault="00317271" w:rsidP="00317271">
            <w:pPr>
              <w:jc w:val="center"/>
              <w:rPr>
                <w:b/>
                <w:bCs/>
                <w:color w:val="000000"/>
                <w:sz w:val="20"/>
                <w:szCs w:val="20"/>
                <w:lang w:eastAsia="es-AR"/>
              </w:rPr>
            </w:pPr>
            <w:r w:rsidRPr="007213A1">
              <w:rPr>
                <w:b/>
                <w:bCs/>
                <w:color w:val="000000"/>
                <w:sz w:val="20"/>
                <w:szCs w:val="20"/>
                <w:lang w:eastAsia="es-AR"/>
              </w:rPr>
              <w:t>Cantidad de acciones</w:t>
            </w:r>
          </w:p>
        </w:tc>
        <w:tc>
          <w:tcPr>
            <w:tcW w:w="1559" w:type="dxa"/>
            <w:tcBorders>
              <w:bottom w:val="single" w:sz="4" w:space="0" w:color="auto"/>
            </w:tcBorders>
            <w:shd w:val="clear" w:color="auto" w:fill="auto"/>
            <w:noWrap/>
            <w:vAlign w:val="center"/>
          </w:tcPr>
          <w:p w14:paraId="0B3227E9" w14:textId="77777777" w:rsidR="00317271" w:rsidRPr="007213A1" w:rsidRDefault="00317271" w:rsidP="00317271">
            <w:pPr>
              <w:jc w:val="center"/>
              <w:rPr>
                <w:b/>
                <w:bCs/>
                <w:color w:val="000000"/>
                <w:sz w:val="20"/>
                <w:szCs w:val="20"/>
                <w:lang w:eastAsia="es-AR"/>
              </w:rPr>
            </w:pPr>
            <w:r w:rsidRPr="007213A1">
              <w:rPr>
                <w:b/>
                <w:bCs/>
                <w:color w:val="000000"/>
                <w:sz w:val="20"/>
                <w:szCs w:val="20"/>
                <w:lang w:eastAsia="es-AR"/>
              </w:rPr>
              <w:t>Valor Nominal</w:t>
            </w:r>
          </w:p>
        </w:tc>
        <w:tc>
          <w:tcPr>
            <w:tcW w:w="1342" w:type="dxa"/>
            <w:tcBorders>
              <w:bottom w:val="single" w:sz="4" w:space="0" w:color="auto"/>
            </w:tcBorders>
            <w:shd w:val="clear" w:color="auto" w:fill="auto"/>
          </w:tcPr>
          <w:p w14:paraId="1E31DF3A" w14:textId="77777777" w:rsidR="00317271" w:rsidRPr="007213A1" w:rsidRDefault="00317271" w:rsidP="00317271">
            <w:pPr>
              <w:jc w:val="center"/>
              <w:rPr>
                <w:b/>
                <w:bCs/>
                <w:color w:val="000000"/>
                <w:sz w:val="20"/>
                <w:szCs w:val="20"/>
                <w:lang w:eastAsia="es-AR"/>
              </w:rPr>
            </w:pPr>
            <w:r w:rsidRPr="007213A1">
              <w:rPr>
                <w:b/>
                <w:bCs/>
                <w:color w:val="000000"/>
                <w:sz w:val="20"/>
                <w:szCs w:val="20"/>
                <w:lang w:eastAsia="es-AR"/>
              </w:rPr>
              <w:t>Cantidad de votos</w:t>
            </w:r>
          </w:p>
        </w:tc>
        <w:tc>
          <w:tcPr>
            <w:tcW w:w="1134" w:type="dxa"/>
            <w:tcBorders>
              <w:bottom w:val="single" w:sz="4" w:space="0" w:color="auto"/>
            </w:tcBorders>
            <w:shd w:val="clear" w:color="auto" w:fill="auto"/>
            <w:noWrap/>
            <w:vAlign w:val="center"/>
            <w:hideMark/>
          </w:tcPr>
          <w:p w14:paraId="7A4D75C7" w14:textId="77777777" w:rsidR="00317271" w:rsidRPr="007213A1" w:rsidRDefault="00317271" w:rsidP="00317271">
            <w:pPr>
              <w:jc w:val="center"/>
              <w:rPr>
                <w:b/>
                <w:bCs/>
                <w:color w:val="000000"/>
                <w:sz w:val="20"/>
                <w:szCs w:val="20"/>
                <w:lang w:eastAsia="es-AR"/>
              </w:rPr>
            </w:pPr>
            <w:r w:rsidRPr="007213A1">
              <w:rPr>
                <w:b/>
                <w:bCs/>
                <w:color w:val="000000"/>
                <w:sz w:val="20"/>
                <w:szCs w:val="20"/>
                <w:lang w:eastAsia="es-AR"/>
              </w:rPr>
              <w:t>Porcentaje</w:t>
            </w:r>
          </w:p>
        </w:tc>
      </w:tr>
      <w:tr w:rsidR="00317271" w:rsidRPr="007213A1" w14:paraId="30B5910F" w14:textId="77777777" w:rsidTr="00BA304B">
        <w:trPr>
          <w:trHeight w:val="134"/>
          <w:jc w:val="center"/>
        </w:trPr>
        <w:tc>
          <w:tcPr>
            <w:tcW w:w="2268" w:type="dxa"/>
            <w:tcBorders>
              <w:top w:val="single" w:sz="4" w:space="0" w:color="auto"/>
            </w:tcBorders>
            <w:shd w:val="clear" w:color="auto" w:fill="auto"/>
            <w:noWrap/>
            <w:vAlign w:val="center"/>
          </w:tcPr>
          <w:p w14:paraId="57C3CD05" w14:textId="707D93DE" w:rsidR="00317271" w:rsidRPr="007213A1" w:rsidRDefault="00317271" w:rsidP="00317271">
            <w:pPr>
              <w:jc w:val="both"/>
              <w:rPr>
                <w:bCs/>
                <w:iCs/>
                <w:color w:val="000000"/>
                <w:sz w:val="20"/>
                <w:szCs w:val="20"/>
                <w:lang w:eastAsia="es-AR"/>
              </w:rPr>
            </w:pPr>
            <w:r w:rsidRPr="007213A1">
              <w:rPr>
                <w:bCs/>
                <w:iCs/>
                <w:color w:val="000000"/>
                <w:sz w:val="20"/>
                <w:szCs w:val="20"/>
                <w:lang w:eastAsia="es-AR"/>
              </w:rPr>
              <w:t>Provincia de Río Negro</w:t>
            </w:r>
            <w:r w:rsidR="009D369D">
              <w:rPr>
                <w:bCs/>
                <w:iCs/>
                <w:color w:val="000000"/>
                <w:sz w:val="20"/>
                <w:szCs w:val="20"/>
                <w:lang w:eastAsia="es-AR"/>
              </w:rPr>
              <w:t>(*)</w:t>
            </w:r>
          </w:p>
        </w:tc>
        <w:tc>
          <w:tcPr>
            <w:tcW w:w="1378" w:type="dxa"/>
            <w:tcBorders>
              <w:top w:val="single" w:sz="4" w:space="0" w:color="auto"/>
            </w:tcBorders>
            <w:shd w:val="clear" w:color="auto" w:fill="auto"/>
            <w:noWrap/>
            <w:vAlign w:val="center"/>
          </w:tcPr>
          <w:p w14:paraId="0D9D27DD" w14:textId="77777777" w:rsidR="00317271" w:rsidRPr="007213A1" w:rsidRDefault="00317271" w:rsidP="00317271">
            <w:pPr>
              <w:jc w:val="center"/>
              <w:rPr>
                <w:sz w:val="20"/>
                <w:szCs w:val="20"/>
              </w:rPr>
            </w:pPr>
          </w:p>
        </w:tc>
        <w:tc>
          <w:tcPr>
            <w:tcW w:w="1559" w:type="dxa"/>
            <w:tcBorders>
              <w:top w:val="single" w:sz="4" w:space="0" w:color="auto"/>
            </w:tcBorders>
            <w:vAlign w:val="center"/>
          </w:tcPr>
          <w:p w14:paraId="610F041A" w14:textId="35E62CC0" w:rsidR="00317271" w:rsidRPr="007213A1" w:rsidRDefault="005448F4" w:rsidP="005448F4">
            <w:pPr>
              <w:jc w:val="center"/>
              <w:rPr>
                <w:bCs/>
                <w:color w:val="000000"/>
                <w:sz w:val="20"/>
                <w:szCs w:val="20"/>
              </w:rPr>
            </w:pPr>
            <w:r>
              <w:rPr>
                <w:bCs/>
                <w:iCs/>
                <w:color w:val="000000"/>
                <w:sz w:val="20"/>
                <w:szCs w:val="20"/>
                <w:lang w:eastAsia="es-AR"/>
              </w:rPr>
              <w:t>35</w:t>
            </w:r>
            <w:r w:rsidR="002D1556" w:rsidRPr="007213A1">
              <w:rPr>
                <w:bCs/>
                <w:iCs/>
                <w:color w:val="000000"/>
                <w:sz w:val="20"/>
                <w:szCs w:val="20"/>
                <w:lang w:eastAsia="es-AR"/>
              </w:rPr>
              <w:t>.0</w:t>
            </w:r>
            <w:r w:rsidR="00317271" w:rsidRPr="007213A1">
              <w:rPr>
                <w:bCs/>
                <w:iCs/>
                <w:color w:val="000000"/>
                <w:sz w:val="20"/>
                <w:szCs w:val="20"/>
                <w:lang w:eastAsia="es-AR"/>
              </w:rPr>
              <w:t>00</w:t>
            </w:r>
          </w:p>
        </w:tc>
        <w:tc>
          <w:tcPr>
            <w:tcW w:w="1559" w:type="dxa"/>
            <w:tcBorders>
              <w:top w:val="single" w:sz="4" w:space="0" w:color="auto"/>
            </w:tcBorders>
            <w:shd w:val="clear" w:color="auto" w:fill="auto"/>
            <w:noWrap/>
            <w:vAlign w:val="center"/>
          </w:tcPr>
          <w:p w14:paraId="181D49D7" w14:textId="77777777" w:rsidR="00317271" w:rsidRPr="007213A1" w:rsidRDefault="00317271" w:rsidP="00317271">
            <w:pPr>
              <w:jc w:val="center"/>
              <w:rPr>
                <w:color w:val="000000"/>
                <w:sz w:val="20"/>
                <w:szCs w:val="20"/>
                <w:lang w:eastAsia="es-AR"/>
              </w:rPr>
            </w:pPr>
            <w:r w:rsidRPr="007213A1">
              <w:rPr>
                <w:color w:val="000000"/>
                <w:sz w:val="20"/>
                <w:szCs w:val="20"/>
                <w:lang w:eastAsia="es-AR"/>
              </w:rPr>
              <w:t>$10.000</w:t>
            </w:r>
          </w:p>
        </w:tc>
        <w:tc>
          <w:tcPr>
            <w:tcW w:w="1342" w:type="dxa"/>
            <w:tcBorders>
              <w:top w:val="single" w:sz="4" w:space="0" w:color="auto"/>
            </w:tcBorders>
            <w:shd w:val="clear" w:color="auto" w:fill="auto"/>
            <w:vAlign w:val="center"/>
          </w:tcPr>
          <w:p w14:paraId="36A68244" w14:textId="3AF122F3" w:rsidR="00317271" w:rsidRPr="007213A1" w:rsidRDefault="005448F4" w:rsidP="005448F4">
            <w:pPr>
              <w:jc w:val="center"/>
              <w:rPr>
                <w:bCs/>
                <w:color w:val="000000"/>
                <w:sz w:val="20"/>
                <w:szCs w:val="20"/>
              </w:rPr>
            </w:pPr>
            <w:r>
              <w:rPr>
                <w:bCs/>
                <w:iCs/>
                <w:color w:val="000000"/>
                <w:sz w:val="20"/>
                <w:szCs w:val="20"/>
                <w:lang w:eastAsia="es-AR"/>
              </w:rPr>
              <w:t>35</w:t>
            </w:r>
            <w:r w:rsidR="00FF6308">
              <w:rPr>
                <w:bCs/>
                <w:iCs/>
                <w:color w:val="000000"/>
                <w:sz w:val="20"/>
                <w:szCs w:val="20"/>
                <w:lang w:eastAsia="es-AR"/>
              </w:rPr>
              <w:t>0</w:t>
            </w:r>
            <w:r>
              <w:rPr>
                <w:bCs/>
                <w:iCs/>
                <w:color w:val="000000"/>
                <w:sz w:val="20"/>
                <w:szCs w:val="20"/>
                <w:lang w:eastAsia="es-AR"/>
              </w:rPr>
              <w:t>.000</w:t>
            </w:r>
            <w:r w:rsidR="00FF6308">
              <w:rPr>
                <w:bCs/>
                <w:iCs/>
                <w:color w:val="000000"/>
                <w:sz w:val="20"/>
                <w:szCs w:val="20"/>
                <w:lang w:eastAsia="es-AR"/>
              </w:rPr>
              <w:t>.000</w:t>
            </w:r>
          </w:p>
        </w:tc>
        <w:tc>
          <w:tcPr>
            <w:tcW w:w="1134" w:type="dxa"/>
            <w:tcBorders>
              <w:top w:val="single" w:sz="4" w:space="0" w:color="auto"/>
            </w:tcBorders>
            <w:shd w:val="clear" w:color="auto" w:fill="auto"/>
            <w:noWrap/>
            <w:vAlign w:val="center"/>
          </w:tcPr>
          <w:p w14:paraId="2CE03748" w14:textId="77777777" w:rsidR="00317271" w:rsidRPr="007213A1" w:rsidRDefault="00317271" w:rsidP="00317271">
            <w:pPr>
              <w:jc w:val="center"/>
              <w:rPr>
                <w:color w:val="000000"/>
                <w:sz w:val="20"/>
                <w:szCs w:val="20"/>
                <w:lang w:eastAsia="es-AR"/>
              </w:rPr>
            </w:pPr>
            <w:r w:rsidRPr="007213A1">
              <w:rPr>
                <w:bCs/>
                <w:iCs/>
                <w:color w:val="000000"/>
                <w:sz w:val="20"/>
                <w:szCs w:val="20"/>
                <w:lang w:eastAsia="es-AR"/>
              </w:rPr>
              <w:t>100%</w:t>
            </w:r>
          </w:p>
        </w:tc>
      </w:tr>
    </w:tbl>
    <w:p w14:paraId="408AC65D" w14:textId="77777777" w:rsidR="00317271" w:rsidRPr="007213A1" w:rsidRDefault="00317271" w:rsidP="00317271">
      <w:pPr>
        <w:rPr>
          <w:b/>
          <w:bCs/>
          <w:sz w:val="20"/>
          <w:szCs w:val="20"/>
          <w:lang w:val="es-ES"/>
        </w:rPr>
      </w:pPr>
    </w:p>
    <w:p w14:paraId="26E8B66D" w14:textId="77777777" w:rsidR="00317271" w:rsidRPr="007213A1" w:rsidRDefault="00317271" w:rsidP="00317271">
      <w:pPr>
        <w:pStyle w:val="Text"/>
        <w:spacing w:after="0"/>
        <w:ind w:firstLine="0"/>
        <w:jc w:val="both"/>
        <w:rPr>
          <w:i/>
          <w:iCs/>
          <w:color w:val="000000"/>
          <w:sz w:val="20"/>
          <w:szCs w:val="20"/>
          <w:lang w:val="es-AR"/>
        </w:rPr>
      </w:pPr>
      <w:r w:rsidRPr="007213A1">
        <w:rPr>
          <w:i/>
          <w:iCs/>
          <w:color w:val="000000"/>
          <w:sz w:val="20"/>
          <w:szCs w:val="20"/>
          <w:lang w:val="es-AR"/>
        </w:rPr>
        <w:t>(*) La Provincia de Río Negro (la “</w:t>
      </w:r>
      <w:r w:rsidRPr="007213A1">
        <w:rPr>
          <w:i/>
          <w:iCs/>
          <w:color w:val="000000"/>
          <w:sz w:val="20"/>
          <w:szCs w:val="20"/>
          <w:u w:val="single"/>
          <w:lang w:val="es-AR"/>
        </w:rPr>
        <w:t>PRN</w:t>
      </w:r>
      <w:r w:rsidRPr="007213A1">
        <w:rPr>
          <w:i/>
          <w:iCs/>
          <w:color w:val="000000"/>
          <w:sz w:val="20"/>
          <w:szCs w:val="20"/>
          <w:lang w:val="es-AR"/>
        </w:rPr>
        <w:t xml:space="preserve">”) ha cedido a favor de la CNEA el derecho de voto en las Asambleas. Al efecto véase </w:t>
      </w:r>
      <w:r w:rsidRPr="00A61C89">
        <w:rPr>
          <w:i/>
          <w:iCs/>
          <w:color w:val="000000"/>
          <w:sz w:val="20"/>
          <w:szCs w:val="20"/>
          <w:lang w:val="es-AR"/>
        </w:rPr>
        <w:t>Capítulo X “Información Adicional”.</w:t>
      </w:r>
    </w:p>
    <w:p w14:paraId="48AB48DE" w14:textId="77777777" w:rsidR="00317271" w:rsidRPr="007213A1" w:rsidRDefault="00317271" w:rsidP="00317271">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highlight w:val="yellow"/>
          <w:lang w:val="es-AR"/>
        </w:rPr>
      </w:pPr>
    </w:p>
    <w:p w14:paraId="6E173B3F" w14:textId="7378C098" w:rsidR="00317271" w:rsidRPr="007213A1" w:rsidRDefault="00317271" w:rsidP="00317271">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lang w:val="es-AR"/>
        </w:rPr>
      </w:pPr>
      <w:r w:rsidRPr="00A61C89">
        <w:rPr>
          <w:rFonts w:ascii="Times New Roman" w:hAnsi="Times New Roman" w:cs="Times New Roman"/>
          <w:color w:val="000000"/>
          <w:lang w:val="es-AR"/>
        </w:rPr>
        <w:t>INVAP es una Sociedad del Estado cuyo capital social es de $</w:t>
      </w:r>
      <w:r w:rsidR="002D1556" w:rsidRPr="00A61C89">
        <w:rPr>
          <w:rFonts w:ascii="Times New Roman" w:hAnsi="Times New Roman" w:cs="Times New Roman"/>
          <w:color w:val="000000"/>
          <w:lang w:val="es-AR"/>
        </w:rPr>
        <w:t>350</w:t>
      </w:r>
      <w:r w:rsidRPr="00A61C89">
        <w:rPr>
          <w:rFonts w:ascii="Times New Roman" w:hAnsi="Times New Roman" w:cs="Times New Roman"/>
          <w:color w:val="000000"/>
          <w:lang w:val="es-AR"/>
        </w:rPr>
        <w:t xml:space="preserve">.000.000, representado por acciones nominativas, no endosables y únicamente transferibles entre las entidades en la Ley 20.705, </w:t>
      </w:r>
      <w:r w:rsidR="008C1812" w:rsidRPr="00A61C89">
        <w:rPr>
          <w:rFonts w:ascii="Times New Roman" w:hAnsi="Times New Roman" w:cs="Times New Roman"/>
          <w:color w:val="000000"/>
          <w:lang w:val="es-ES"/>
        </w:rPr>
        <w:t>con derecho a cinco votos las Clase “A”, a un voto las Clase “B” y sin derecho a voto las acciones preferidas, las cuales tendrán derecho a un pago de dividendo acumulativo o no, o preferencia de reembolso de capital, según lo determine la Asamblea</w:t>
      </w:r>
      <w:r w:rsidRPr="00A61C89">
        <w:rPr>
          <w:rFonts w:ascii="Times New Roman" w:hAnsi="Times New Roman" w:cs="Times New Roman"/>
          <w:color w:val="000000"/>
          <w:lang w:val="es-AR"/>
        </w:rPr>
        <w:t>.</w:t>
      </w:r>
      <w:r w:rsidRPr="007213A1">
        <w:rPr>
          <w:rFonts w:ascii="Times New Roman" w:hAnsi="Times New Roman" w:cs="Times New Roman"/>
          <w:color w:val="000000"/>
          <w:lang w:val="es-AR"/>
        </w:rPr>
        <w:t xml:space="preserve"> </w:t>
      </w:r>
    </w:p>
    <w:p w14:paraId="0C48CE7C" w14:textId="570416BB" w:rsidR="00317271" w:rsidRDefault="00317271" w:rsidP="00317271">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lang w:val="es-AR"/>
        </w:rPr>
      </w:pPr>
    </w:p>
    <w:p w14:paraId="52E8DE99" w14:textId="39F84542" w:rsidR="00392EE3" w:rsidRDefault="00392EE3" w:rsidP="00317271">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lang w:val="es-AR"/>
        </w:rPr>
      </w:pPr>
      <w:r w:rsidRPr="003F2DB8">
        <w:rPr>
          <w:rFonts w:ascii="Times New Roman" w:hAnsi="Times New Roman" w:cs="Times New Roman"/>
          <w:color w:val="000000"/>
          <w:lang w:val="es-AR"/>
        </w:rPr>
        <w:t xml:space="preserve">Posteriormente, en la Asamblea General Ordinaria y Extraordinaria celebrada el día 29 de octubre de 2019, la Sociedad decidió aumentar su capital social de $350.000.000 a $1.690.000.000, representado por 169.000 acciones de </w:t>
      </w:r>
      <w:r w:rsidR="003258D5">
        <w:rPr>
          <w:rFonts w:ascii="Times New Roman" w:hAnsi="Times New Roman" w:cs="Times New Roman"/>
          <w:color w:val="000000"/>
          <w:lang w:val="es-AR"/>
        </w:rPr>
        <w:t>$10.000</w:t>
      </w:r>
      <w:r w:rsidR="0056561E">
        <w:rPr>
          <w:rFonts w:ascii="Times New Roman" w:hAnsi="Times New Roman" w:cs="Times New Roman"/>
          <w:color w:val="000000"/>
          <w:lang w:val="es-AR"/>
        </w:rPr>
        <w:t xml:space="preserve"> </w:t>
      </w:r>
      <w:r w:rsidRPr="003F2DB8">
        <w:rPr>
          <w:rFonts w:ascii="Times New Roman" w:hAnsi="Times New Roman" w:cs="Times New Roman"/>
          <w:color w:val="000000"/>
          <w:lang w:val="es-AR"/>
        </w:rPr>
        <w:t>de valor nominal cada una</w:t>
      </w:r>
      <w:r w:rsidR="003258D5">
        <w:rPr>
          <w:rFonts w:ascii="Times New Roman" w:hAnsi="Times New Roman" w:cs="Times New Roman"/>
          <w:color w:val="000000"/>
          <w:lang w:val="es-AR"/>
        </w:rPr>
        <w:t>, el cual fue totalmente suscripto e integrado</w:t>
      </w:r>
      <w:r w:rsidRPr="003F2DB8">
        <w:rPr>
          <w:rFonts w:ascii="Times New Roman" w:hAnsi="Times New Roman" w:cs="Times New Roman"/>
          <w:color w:val="000000"/>
          <w:lang w:val="es-AR"/>
        </w:rPr>
        <w:t>. Dicho aumento de capital se encuentra pendiente de inscripción</w:t>
      </w:r>
      <w:r>
        <w:rPr>
          <w:rFonts w:ascii="Times New Roman" w:hAnsi="Times New Roman" w:cs="Times New Roman"/>
          <w:color w:val="000000"/>
          <w:lang w:val="es-AR"/>
        </w:rPr>
        <w:t xml:space="preserve"> por lo que, una vez inscripto, la composición accionaria de la Sociedad quedaría conformado de la siguiente manera:</w:t>
      </w:r>
    </w:p>
    <w:p w14:paraId="341459B1" w14:textId="0BC19F6A" w:rsidR="00392EE3" w:rsidRDefault="00392EE3" w:rsidP="00317271">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lang w:val="es-AR"/>
        </w:rPr>
      </w:pPr>
    </w:p>
    <w:tbl>
      <w:tblPr>
        <w:tblW w:w="9240" w:type="dxa"/>
        <w:jc w:val="center"/>
        <w:tblCellMar>
          <w:left w:w="70" w:type="dxa"/>
          <w:right w:w="70" w:type="dxa"/>
        </w:tblCellMar>
        <w:tblLook w:val="04A0" w:firstRow="1" w:lastRow="0" w:firstColumn="1" w:lastColumn="0" w:noHBand="0" w:noVBand="1"/>
      </w:tblPr>
      <w:tblGrid>
        <w:gridCol w:w="2268"/>
        <w:gridCol w:w="1378"/>
        <w:gridCol w:w="1559"/>
        <w:gridCol w:w="1559"/>
        <w:gridCol w:w="1342"/>
        <w:gridCol w:w="1134"/>
      </w:tblGrid>
      <w:tr w:rsidR="00392EE3" w:rsidRPr="007213A1" w14:paraId="747FECF1" w14:textId="77777777" w:rsidTr="00BA304B">
        <w:trPr>
          <w:trHeight w:val="378"/>
          <w:jc w:val="center"/>
        </w:trPr>
        <w:tc>
          <w:tcPr>
            <w:tcW w:w="2268" w:type="dxa"/>
            <w:tcBorders>
              <w:bottom w:val="single" w:sz="4" w:space="0" w:color="auto"/>
            </w:tcBorders>
            <w:shd w:val="clear" w:color="auto" w:fill="auto"/>
            <w:noWrap/>
            <w:vAlign w:val="center"/>
            <w:hideMark/>
          </w:tcPr>
          <w:p w14:paraId="01BF65DA" w14:textId="77777777" w:rsidR="00392EE3" w:rsidRPr="007213A1" w:rsidRDefault="00392EE3" w:rsidP="00DA1AF1">
            <w:pPr>
              <w:jc w:val="both"/>
              <w:rPr>
                <w:b/>
                <w:bCs/>
                <w:color w:val="000000"/>
                <w:sz w:val="20"/>
                <w:szCs w:val="20"/>
                <w:lang w:eastAsia="es-AR"/>
              </w:rPr>
            </w:pPr>
            <w:r w:rsidRPr="007213A1">
              <w:rPr>
                <w:b/>
                <w:bCs/>
                <w:color w:val="000000"/>
                <w:sz w:val="20"/>
                <w:szCs w:val="20"/>
                <w:lang w:eastAsia="es-AR"/>
              </w:rPr>
              <w:t>Accionista</w:t>
            </w:r>
          </w:p>
        </w:tc>
        <w:tc>
          <w:tcPr>
            <w:tcW w:w="1378" w:type="dxa"/>
            <w:tcBorders>
              <w:bottom w:val="single" w:sz="4" w:space="0" w:color="auto"/>
            </w:tcBorders>
            <w:shd w:val="clear" w:color="auto" w:fill="auto"/>
            <w:vAlign w:val="center"/>
          </w:tcPr>
          <w:p w14:paraId="26B30A81" w14:textId="77777777" w:rsidR="00392EE3" w:rsidRPr="007213A1" w:rsidRDefault="00392EE3" w:rsidP="00DA1AF1">
            <w:pPr>
              <w:jc w:val="center"/>
              <w:rPr>
                <w:b/>
                <w:bCs/>
                <w:color w:val="000000"/>
                <w:sz w:val="20"/>
                <w:szCs w:val="20"/>
                <w:lang w:eastAsia="es-AR"/>
              </w:rPr>
            </w:pPr>
          </w:p>
        </w:tc>
        <w:tc>
          <w:tcPr>
            <w:tcW w:w="1559" w:type="dxa"/>
            <w:tcBorders>
              <w:bottom w:val="single" w:sz="4" w:space="0" w:color="auto"/>
            </w:tcBorders>
          </w:tcPr>
          <w:p w14:paraId="3DA6B415" w14:textId="77777777" w:rsidR="00392EE3" w:rsidRPr="007213A1" w:rsidRDefault="00392EE3" w:rsidP="00DA1AF1">
            <w:pPr>
              <w:jc w:val="center"/>
              <w:rPr>
                <w:b/>
                <w:bCs/>
                <w:color w:val="000000"/>
                <w:sz w:val="20"/>
                <w:szCs w:val="20"/>
                <w:lang w:eastAsia="es-AR"/>
              </w:rPr>
            </w:pPr>
            <w:r w:rsidRPr="007213A1">
              <w:rPr>
                <w:b/>
                <w:bCs/>
                <w:color w:val="000000"/>
                <w:sz w:val="20"/>
                <w:szCs w:val="20"/>
                <w:lang w:eastAsia="es-AR"/>
              </w:rPr>
              <w:t>Cantidad de acciones</w:t>
            </w:r>
          </w:p>
        </w:tc>
        <w:tc>
          <w:tcPr>
            <w:tcW w:w="1559" w:type="dxa"/>
            <w:tcBorders>
              <w:bottom w:val="single" w:sz="4" w:space="0" w:color="auto"/>
            </w:tcBorders>
            <w:shd w:val="clear" w:color="auto" w:fill="auto"/>
            <w:noWrap/>
            <w:vAlign w:val="center"/>
          </w:tcPr>
          <w:p w14:paraId="3F576378" w14:textId="77777777" w:rsidR="00392EE3" w:rsidRPr="007213A1" w:rsidRDefault="00392EE3" w:rsidP="00DA1AF1">
            <w:pPr>
              <w:jc w:val="center"/>
              <w:rPr>
                <w:b/>
                <w:bCs/>
                <w:color w:val="000000"/>
                <w:sz w:val="20"/>
                <w:szCs w:val="20"/>
                <w:lang w:eastAsia="es-AR"/>
              </w:rPr>
            </w:pPr>
            <w:r w:rsidRPr="007213A1">
              <w:rPr>
                <w:b/>
                <w:bCs/>
                <w:color w:val="000000"/>
                <w:sz w:val="20"/>
                <w:szCs w:val="20"/>
                <w:lang w:eastAsia="es-AR"/>
              </w:rPr>
              <w:t>Valor Nominal</w:t>
            </w:r>
          </w:p>
        </w:tc>
        <w:tc>
          <w:tcPr>
            <w:tcW w:w="1342" w:type="dxa"/>
            <w:tcBorders>
              <w:bottom w:val="single" w:sz="4" w:space="0" w:color="auto"/>
            </w:tcBorders>
            <w:shd w:val="clear" w:color="auto" w:fill="auto"/>
          </w:tcPr>
          <w:p w14:paraId="168FC445" w14:textId="77777777" w:rsidR="00392EE3" w:rsidRPr="007213A1" w:rsidRDefault="00392EE3" w:rsidP="00DA1AF1">
            <w:pPr>
              <w:jc w:val="center"/>
              <w:rPr>
                <w:b/>
                <w:bCs/>
                <w:color w:val="000000"/>
                <w:sz w:val="20"/>
                <w:szCs w:val="20"/>
                <w:lang w:eastAsia="es-AR"/>
              </w:rPr>
            </w:pPr>
            <w:r w:rsidRPr="007213A1">
              <w:rPr>
                <w:b/>
                <w:bCs/>
                <w:color w:val="000000"/>
                <w:sz w:val="20"/>
                <w:szCs w:val="20"/>
                <w:lang w:eastAsia="es-AR"/>
              </w:rPr>
              <w:t>Cantidad de votos</w:t>
            </w:r>
          </w:p>
        </w:tc>
        <w:tc>
          <w:tcPr>
            <w:tcW w:w="1134" w:type="dxa"/>
            <w:tcBorders>
              <w:bottom w:val="single" w:sz="4" w:space="0" w:color="auto"/>
            </w:tcBorders>
            <w:shd w:val="clear" w:color="auto" w:fill="auto"/>
            <w:noWrap/>
            <w:vAlign w:val="center"/>
            <w:hideMark/>
          </w:tcPr>
          <w:p w14:paraId="24693E18" w14:textId="77777777" w:rsidR="00392EE3" w:rsidRPr="007213A1" w:rsidRDefault="00392EE3" w:rsidP="00DA1AF1">
            <w:pPr>
              <w:jc w:val="center"/>
              <w:rPr>
                <w:b/>
                <w:bCs/>
                <w:color w:val="000000"/>
                <w:sz w:val="20"/>
                <w:szCs w:val="20"/>
                <w:lang w:eastAsia="es-AR"/>
              </w:rPr>
            </w:pPr>
            <w:r w:rsidRPr="007213A1">
              <w:rPr>
                <w:b/>
                <w:bCs/>
                <w:color w:val="000000"/>
                <w:sz w:val="20"/>
                <w:szCs w:val="20"/>
                <w:lang w:eastAsia="es-AR"/>
              </w:rPr>
              <w:t>Porcentaje</w:t>
            </w:r>
          </w:p>
        </w:tc>
      </w:tr>
      <w:tr w:rsidR="00392EE3" w:rsidRPr="007213A1" w14:paraId="6A8C41F6" w14:textId="77777777" w:rsidTr="00BA304B">
        <w:trPr>
          <w:trHeight w:val="134"/>
          <w:jc w:val="center"/>
        </w:trPr>
        <w:tc>
          <w:tcPr>
            <w:tcW w:w="2268" w:type="dxa"/>
            <w:tcBorders>
              <w:top w:val="single" w:sz="4" w:space="0" w:color="auto"/>
            </w:tcBorders>
            <w:shd w:val="clear" w:color="auto" w:fill="auto"/>
            <w:noWrap/>
            <w:vAlign w:val="center"/>
          </w:tcPr>
          <w:p w14:paraId="6AB1CBAA" w14:textId="77777777" w:rsidR="00392EE3" w:rsidRPr="007213A1" w:rsidRDefault="00392EE3" w:rsidP="00DA1AF1">
            <w:pPr>
              <w:jc w:val="both"/>
              <w:rPr>
                <w:bCs/>
                <w:iCs/>
                <w:color w:val="000000"/>
                <w:sz w:val="20"/>
                <w:szCs w:val="20"/>
                <w:lang w:eastAsia="es-AR"/>
              </w:rPr>
            </w:pPr>
            <w:r w:rsidRPr="007213A1">
              <w:rPr>
                <w:bCs/>
                <w:iCs/>
                <w:color w:val="000000"/>
                <w:sz w:val="20"/>
                <w:szCs w:val="20"/>
                <w:lang w:eastAsia="es-AR"/>
              </w:rPr>
              <w:t>Provincia de Río Negro</w:t>
            </w:r>
          </w:p>
        </w:tc>
        <w:tc>
          <w:tcPr>
            <w:tcW w:w="1378" w:type="dxa"/>
            <w:tcBorders>
              <w:top w:val="single" w:sz="4" w:space="0" w:color="auto"/>
            </w:tcBorders>
            <w:shd w:val="clear" w:color="auto" w:fill="auto"/>
            <w:noWrap/>
            <w:vAlign w:val="center"/>
          </w:tcPr>
          <w:p w14:paraId="41DF2B2C" w14:textId="77777777" w:rsidR="00392EE3" w:rsidRPr="007213A1" w:rsidRDefault="00392EE3" w:rsidP="00DA1AF1">
            <w:pPr>
              <w:jc w:val="center"/>
              <w:rPr>
                <w:sz w:val="20"/>
                <w:szCs w:val="20"/>
              </w:rPr>
            </w:pPr>
          </w:p>
        </w:tc>
        <w:tc>
          <w:tcPr>
            <w:tcW w:w="1559" w:type="dxa"/>
            <w:tcBorders>
              <w:top w:val="single" w:sz="4" w:space="0" w:color="auto"/>
            </w:tcBorders>
            <w:vAlign w:val="center"/>
          </w:tcPr>
          <w:p w14:paraId="29881ED6" w14:textId="0D063D52" w:rsidR="00392EE3" w:rsidRPr="007213A1" w:rsidRDefault="00392EE3" w:rsidP="00DA1AF1">
            <w:pPr>
              <w:jc w:val="center"/>
              <w:rPr>
                <w:bCs/>
                <w:color w:val="000000"/>
                <w:sz w:val="20"/>
                <w:szCs w:val="20"/>
              </w:rPr>
            </w:pPr>
            <w:r>
              <w:rPr>
                <w:bCs/>
                <w:iCs/>
                <w:color w:val="000000"/>
                <w:sz w:val="20"/>
                <w:szCs w:val="20"/>
                <w:lang w:eastAsia="es-AR"/>
              </w:rPr>
              <w:t>169</w:t>
            </w:r>
            <w:r w:rsidRPr="007213A1">
              <w:rPr>
                <w:bCs/>
                <w:iCs/>
                <w:color w:val="000000"/>
                <w:sz w:val="20"/>
                <w:szCs w:val="20"/>
                <w:lang w:eastAsia="es-AR"/>
              </w:rPr>
              <w:t>.000</w:t>
            </w:r>
          </w:p>
        </w:tc>
        <w:tc>
          <w:tcPr>
            <w:tcW w:w="1559" w:type="dxa"/>
            <w:tcBorders>
              <w:top w:val="single" w:sz="4" w:space="0" w:color="auto"/>
            </w:tcBorders>
            <w:shd w:val="clear" w:color="auto" w:fill="auto"/>
            <w:noWrap/>
            <w:vAlign w:val="center"/>
          </w:tcPr>
          <w:p w14:paraId="6613C823" w14:textId="77777777" w:rsidR="00392EE3" w:rsidRPr="007213A1" w:rsidRDefault="00392EE3" w:rsidP="00DA1AF1">
            <w:pPr>
              <w:jc w:val="center"/>
              <w:rPr>
                <w:color w:val="000000"/>
                <w:sz w:val="20"/>
                <w:szCs w:val="20"/>
                <w:lang w:eastAsia="es-AR"/>
              </w:rPr>
            </w:pPr>
            <w:r w:rsidRPr="007213A1">
              <w:rPr>
                <w:color w:val="000000"/>
                <w:sz w:val="20"/>
                <w:szCs w:val="20"/>
                <w:lang w:eastAsia="es-AR"/>
              </w:rPr>
              <w:t>$10.000</w:t>
            </w:r>
          </w:p>
        </w:tc>
        <w:tc>
          <w:tcPr>
            <w:tcW w:w="1342" w:type="dxa"/>
            <w:tcBorders>
              <w:top w:val="single" w:sz="4" w:space="0" w:color="auto"/>
            </w:tcBorders>
            <w:shd w:val="clear" w:color="auto" w:fill="auto"/>
            <w:vAlign w:val="center"/>
          </w:tcPr>
          <w:p w14:paraId="1FF1E319" w14:textId="0B92A84C" w:rsidR="00392EE3" w:rsidRPr="007213A1" w:rsidRDefault="00935737" w:rsidP="00935737">
            <w:pPr>
              <w:jc w:val="center"/>
              <w:rPr>
                <w:bCs/>
                <w:color w:val="000000"/>
                <w:sz w:val="20"/>
                <w:szCs w:val="20"/>
              </w:rPr>
            </w:pPr>
            <w:r>
              <w:rPr>
                <w:bCs/>
                <w:iCs/>
                <w:color w:val="000000"/>
                <w:sz w:val="20"/>
                <w:szCs w:val="20"/>
                <w:lang w:eastAsia="es-AR"/>
              </w:rPr>
              <w:t>1</w:t>
            </w:r>
            <w:r w:rsidR="00FF6308">
              <w:rPr>
                <w:bCs/>
                <w:iCs/>
                <w:color w:val="000000"/>
                <w:sz w:val="20"/>
                <w:szCs w:val="20"/>
                <w:lang w:eastAsia="es-AR"/>
              </w:rPr>
              <w:t>.</w:t>
            </w:r>
            <w:r>
              <w:rPr>
                <w:bCs/>
                <w:iCs/>
                <w:color w:val="000000"/>
                <w:sz w:val="20"/>
                <w:szCs w:val="20"/>
                <w:lang w:eastAsia="es-AR"/>
              </w:rPr>
              <w:t>69</w:t>
            </w:r>
            <w:r w:rsidR="00FF6308">
              <w:rPr>
                <w:bCs/>
                <w:iCs/>
                <w:color w:val="000000"/>
                <w:sz w:val="20"/>
                <w:szCs w:val="20"/>
                <w:lang w:eastAsia="es-AR"/>
              </w:rPr>
              <w:t>0</w:t>
            </w:r>
            <w:r>
              <w:rPr>
                <w:bCs/>
                <w:iCs/>
                <w:color w:val="000000"/>
                <w:sz w:val="20"/>
                <w:szCs w:val="20"/>
                <w:lang w:eastAsia="es-AR"/>
              </w:rPr>
              <w:t>.000</w:t>
            </w:r>
            <w:r w:rsidR="00FF6308">
              <w:rPr>
                <w:bCs/>
                <w:iCs/>
                <w:color w:val="000000"/>
                <w:sz w:val="20"/>
                <w:szCs w:val="20"/>
                <w:lang w:eastAsia="es-AR"/>
              </w:rPr>
              <w:t>.000</w:t>
            </w:r>
          </w:p>
        </w:tc>
        <w:tc>
          <w:tcPr>
            <w:tcW w:w="1134" w:type="dxa"/>
            <w:tcBorders>
              <w:top w:val="single" w:sz="4" w:space="0" w:color="auto"/>
            </w:tcBorders>
            <w:shd w:val="clear" w:color="auto" w:fill="auto"/>
            <w:noWrap/>
            <w:vAlign w:val="center"/>
          </w:tcPr>
          <w:p w14:paraId="1DA1FDA4" w14:textId="77777777" w:rsidR="00392EE3" w:rsidRPr="007213A1" w:rsidRDefault="00392EE3" w:rsidP="00DA1AF1">
            <w:pPr>
              <w:jc w:val="center"/>
              <w:rPr>
                <w:color w:val="000000"/>
                <w:sz w:val="20"/>
                <w:szCs w:val="20"/>
                <w:lang w:eastAsia="es-AR"/>
              </w:rPr>
            </w:pPr>
            <w:r w:rsidRPr="007213A1">
              <w:rPr>
                <w:bCs/>
                <w:iCs/>
                <w:color w:val="000000"/>
                <w:sz w:val="20"/>
                <w:szCs w:val="20"/>
                <w:lang w:eastAsia="es-AR"/>
              </w:rPr>
              <w:t>100%</w:t>
            </w:r>
          </w:p>
        </w:tc>
      </w:tr>
    </w:tbl>
    <w:p w14:paraId="1E0D5D42" w14:textId="77777777" w:rsidR="00392EE3" w:rsidRDefault="00392EE3" w:rsidP="00317271">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lang w:val="es-AR"/>
        </w:rPr>
      </w:pPr>
    </w:p>
    <w:p w14:paraId="0F4F4D6B" w14:textId="77777777" w:rsidR="00392EE3" w:rsidRPr="007213A1" w:rsidRDefault="00392EE3" w:rsidP="00317271">
      <w:pPr>
        <w:pStyle w:val="HTMLconformatoprevio"/>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lang w:val="es-AR"/>
        </w:rPr>
      </w:pPr>
    </w:p>
    <w:p w14:paraId="6026226B" w14:textId="77777777" w:rsidR="00317271" w:rsidRPr="007213A1" w:rsidRDefault="00317271" w:rsidP="00317271">
      <w:pPr>
        <w:pStyle w:val="Text"/>
        <w:spacing w:after="0"/>
        <w:ind w:firstLine="0"/>
        <w:jc w:val="both"/>
        <w:rPr>
          <w:color w:val="000000"/>
          <w:sz w:val="20"/>
          <w:szCs w:val="20"/>
          <w:lang w:val="es-AR"/>
        </w:rPr>
      </w:pPr>
      <w:r w:rsidRPr="007213A1">
        <w:rPr>
          <w:color w:val="000000"/>
          <w:sz w:val="20"/>
          <w:szCs w:val="20"/>
          <w:lang w:val="es-AR"/>
        </w:rPr>
        <w:t xml:space="preserve">Para mayor información en relación con el capital social emitido, la cantidad de acciones de INVAP, </w:t>
      </w:r>
      <w:r w:rsidRPr="00A61C89">
        <w:rPr>
          <w:color w:val="000000"/>
          <w:sz w:val="20"/>
          <w:szCs w:val="20"/>
          <w:lang w:val="es-AR"/>
        </w:rPr>
        <w:t>véase Capítulo X</w:t>
      </w:r>
      <w:r w:rsidRPr="00A61C89">
        <w:rPr>
          <w:i/>
          <w:iCs/>
          <w:color w:val="000000"/>
          <w:sz w:val="20"/>
          <w:szCs w:val="20"/>
          <w:lang w:val="es-AR"/>
        </w:rPr>
        <w:t xml:space="preserve"> – “Información Adicional –Capital Social</w:t>
      </w:r>
      <w:r w:rsidRPr="00A61C89">
        <w:rPr>
          <w:color w:val="000000"/>
          <w:sz w:val="20"/>
          <w:szCs w:val="20"/>
          <w:lang w:val="es-AR"/>
        </w:rPr>
        <w:t>”.</w:t>
      </w:r>
    </w:p>
    <w:p w14:paraId="320345A1" w14:textId="77777777" w:rsidR="00317271" w:rsidRPr="007213A1" w:rsidRDefault="00317271" w:rsidP="00317271">
      <w:pPr>
        <w:pStyle w:val="Text"/>
        <w:spacing w:after="0"/>
        <w:ind w:firstLine="0"/>
        <w:jc w:val="both"/>
        <w:rPr>
          <w:color w:val="000000"/>
          <w:sz w:val="20"/>
          <w:szCs w:val="20"/>
          <w:lang w:val="es-AR"/>
        </w:rPr>
      </w:pPr>
    </w:p>
    <w:p w14:paraId="4292F466" w14:textId="77777777" w:rsidR="00317271" w:rsidRPr="007213A1" w:rsidRDefault="00317271" w:rsidP="00317271">
      <w:pPr>
        <w:jc w:val="both"/>
        <w:rPr>
          <w:b/>
          <w:sz w:val="20"/>
          <w:szCs w:val="20"/>
          <w:lang w:val="es-AR"/>
        </w:rPr>
      </w:pPr>
      <w:r w:rsidRPr="007213A1">
        <w:rPr>
          <w:b/>
          <w:sz w:val="20"/>
          <w:szCs w:val="20"/>
          <w:lang w:val="es-AR"/>
        </w:rPr>
        <w:t>c) Transacciones con partes relacionadas</w:t>
      </w:r>
    </w:p>
    <w:p w14:paraId="1AB6CEC4" w14:textId="77777777" w:rsidR="00317271" w:rsidRPr="007213A1" w:rsidRDefault="00317271" w:rsidP="00317271">
      <w:pPr>
        <w:pStyle w:val="Text"/>
        <w:spacing w:after="0"/>
        <w:ind w:firstLine="0"/>
        <w:jc w:val="both"/>
        <w:rPr>
          <w:color w:val="000000"/>
          <w:sz w:val="20"/>
          <w:szCs w:val="20"/>
          <w:lang w:val="es-AR"/>
        </w:rPr>
      </w:pPr>
    </w:p>
    <w:p w14:paraId="7226E348" w14:textId="5E499A6B" w:rsidR="00317271" w:rsidRDefault="00317271" w:rsidP="00317271">
      <w:pPr>
        <w:spacing w:after="160" w:line="259" w:lineRule="auto"/>
        <w:jc w:val="both"/>
        <w:rPr>
          <w:bCs/>
          <w:sz w:val="20"/>
          <w:szCs w:val="20"/>
          <w:lang w:val="es-AR"/>
        </w:rPr>
      </w:pPr>
      <w:r w:rsidRPr="007213A1">
        <w:rPr>
          <w:bCs/>
          <w:sz w:val="20"/>
          <w:szCs w:val="20"/>
          <w:lang w:val="es-AR"/>
        </w:rPr>
        <w:t xml:space="preserve">A continuación, se exponen los saldos con partes relacionadas según surgen de los estados financieros de la Sociedad. Los saldos negativos son acreedores para INVAP, y los positivos son saldos deudores, expresados en miles de pesos: </w:t>
      </w:r>
    </w:p>
    <w:tbl>
      <w:tblPr>
        <w:tblW w:w="7500" w:type="dxa"/>
        <w:tblInd w:w="55" w:type="dxa"/>
        <w:tblCellMar>
          <w:left w:w="70" w:type="dxa"/>
          <w:right w:w="70" w:type="dxa"/>
        </w:tblCellMar>
        <w:tblLook w:val="04A0" w:firstRow="1" w:lastRow="0" w:firstColumn="1" w:lastColumn="0" w:noHBand="0" w:noVBand="1"/>
      </w:tblPr>
      <w:tblGrid>
        <w:gridCol w:w="1400"/>
        <w:gridCol w:w="2380"/>
        <w:gridCol w:w="1160"/>
        <w:gridCol w:w="1300"/>
        <w:gridCol w:w="1260"/>
      </w:tblGrid>
      <w:tr w:rsidR="004534F4" w:rsidRPr="009D369D" w14:paraId="6126DB4C" w14:textId="77777777" w:rsidTr="00512442">
        <w:trPr>
          <w:trHeight w:val="300"/>
        </w:trPr>
        <w:tc>
          <w:tcPr>
            <w:tcW w:w="14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5437B0" w14:textId="77777777" w:rsidR="00AA3F9A" w:rsidRPr="00512442" w:rsidRDefault="00AA3F9A" w:rsidP="00C5653F">
            <w:pPr>
              <w:jc w:val="center"/>
              <w:rPr>
                <w:b/>
                <w:color w:val="000000"/>
                <w:sz w:val="18"/>
              </w:rPr>
            </w:pPr>
            <w:r w:rsidRPr="00512442">
              <w:rPr>
                <w:b/>
                <w:color w:val="000000"/>
                <w:sz w:val="18"/>
              </w:rPr>
              <w:t>Transacción</w:t>
            </w:r>
          </w:p>
        </w:tc>
        <w:tc>
          <w:tcPr>
            <w:tcW w:w="2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E95393" w14:textId="77777777" w:rsidR="00AA3F9A" w:rsidRPr="00512442" w:rsidRDefault="00AA3F9A" w:rsidP="00C5653F">
            <w:pPr>
              <w:jc w:val="center"/>
              <w:rPr>
                <w:b/>
                <w:color w:val="000000"/>
                <w:sz w:val="18"/>
              </w:rPr>
            </w:pPr>
            <w:r w:rsidRPr="00512442">
              <w:rPr>
                <w:b/>
                <w:color w:val="000000"/>
                <w:sz w:val="18"/>
              </w:rPr>
              <w:t>Sociedad</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37F2F7" w14:textId="77777777" w:rsidR="00AA3F9A" w:rsidRPr="00512442" w:rsidRDefault="00AA3F9A" w:rsidP="00C5653F">
            <w:pPr>
              <w:jc w:val="center"/>
              <w:rPr>
                <w:b/>
                <w:color w:val="000000"/>
                <w:sz w:val="18"/>
              </w:rPr>
            </w:pPr>
            <w:r w:rsidRPr="00512442">
              <w:rPr>
                <w:b/>
                <w:color w:val="000000"/>
                <w:sz w:val="18"/>
              </w:rPr>
              <w:t>Concepto</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70A8EC" w14:textId="77777777" w:rsidR="00AA3F9A" w:rsidRPr="00512442" w:rsidRDefault="00AA3F9A" w:rsidP="00C5653F">
            <w:pPr>
              <w:jc w:val="center"/>
              <w:rPr>
                <w:b/>
                <w:color w:val="000000"/>
                <w:sz w:val="18"/>
              </w:rPr>
            </w:pPr>
            <w:r w:rsidRPr="00512442">
              <w:rPr>
                <w:b/>
                <w:color w:val="000000"/>
                <w:sz w:val="18"/>
              </w:rPr>
              <w:t>30/06/2019</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0D529A" w14:textId="77777777" w:rsidR="00AA3F9A" w:rsidRPr="00512442" w:rsidRDefault="00AA3F9A" w:rsidP="00C5653F">
            <w:pPr>
              <w:jc w:val="center"/>
              <w:rPr>
                <w:b/>
                <w:color w:val="000000"/>
                <w:sz w:val="18"/>
              </w:rPr>
            </w:pPr>
            <w:r w:rsidRPr="00512442">
              <w:rPr>
                <w:b/>
                <w:color w:val="000000"/>
                <w:sz w:val="18"/>
              </w:rPr>
              <w:t>30/06/2018</w:t>
            </w:r>
          </w:p>
        </w:tc>
      </w:tr>
      <w:tr w:rsidR="00F0775A" w:rsidRPr="009D369D" w14:paraId="6076A0C1" w14:textId="77777777" w:rsidTr="00F0775A">
        <w:trPr>
          <w:trHeight w:val="300"/>
        </w:trPr>
        <w:tc>
          <w:tcPr>
            <w:tcW w:w="14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AB7EE78" w14:textId="77777777" w:rsidR="00AA3F9A" w:rsidRPr="009D369D" w:rsidRDefault="00AA3F9A" w:rsidP="00C5653F">
            <w:pPr>
              <w:rPr>
                <w:rFonts w:ascii="Tahoma" w:hAnsi="Tahoma" w:cs="Tahoma"/>
                <w:b/>
                <w:bCs/>
                <w:color w:val="000000"/>
                <w:sz w:val="18"/>
                <w:szCs w:val="18"/>
              </w:rPr>
            </w:pPr>
          </w:p>
        </w:tc>
        <w:tc>
          <w:tcPr>
            <w:tcW w:w="23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D442EBC" w14:textId="77777777" w:rsidR="00AA3F9A" w:rsidRPr="009D369D" w:rsidRDefault="00AA3F9A" w:rsidP="00C5653F">
            <w:pPr>
              <w:rPr>
                <w:rFonts w:ascii="Tahoma" w:hAnsi="Tahoma" w:cs="Tahoma"/>
                <w:b/>
                <w:bCs/>
                <w:color w:val="000000"/>
                <w:sz w:val="18"/>
                <w:szCs w:val="18"/>
              </w:rPr>
            </w:pPr>
          </w:p>
        </w:tc>
        <w:tc>
          <w:tcPr>
            <w:tcW w:w="11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BC1C487" w14:textId="77777777" w:rsidR="00AA3F9A" w:rsidRPr="009D369D" w:rsidRDefault="00AA3F9A" w:rsidP="00C5653F">
            <w:pPr>
              <w:rPr>
                <w:rFonts w:ascii="Tahoma" w:hAnsi="Tahoma" w:cs="Tahoma"/>
                <w:b/>
                <w:bCs/>
                <w:color w:val="000000"/>
                <w:sz w:val="18"/>
                <w:szCs w:val="18"/>
              </w:rPr>
            </w:pPr>
          </w:p>
        </w:tc>
        <w:tc>
          <w:tcPr>
            <w:tcW w:w="13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39D4DFB" w14:textId="77777777" w:rsidR="00AA3F9A" w:rsidRPr="009D369D" w:rsidRDefault="00AA3F9A" w:rsidP="00C5653F">
            <w:pPr>
              <w:rPr>
                <w:rFonts w:ascii="Tahoma" w:hAnsi="Tahoma" w:cs="Tahoma"/>
                <w:b/>
                <w:bCs/>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4C54F0E" w14:textId="77777777" w:rsidR="00AA3F9A" w:rsidRPr="009D369D" w:rsidRDefault="00AA3F9A" w:rsidP="00C5653F">
            <w:pPr>
              <w:rPr>
                <w:rFonts w:ascii="Tahoma" w:hAnsi="Tahoma" w:cs="Tahoma"/>
                <w:b/>
                <w:bCs/>
                <w:color w:val="000000"/>
                <w:sz w:val="18"/>
                <w:szCs w:val="18"/>
              </w:rPr>
            </w:pPr>
          </w:p>
        </w:tc>
      </w:tr>
      <w:tr w:rsidR="004534F4" w:rsidRPr="009D369D" w14:paraId="61C301BB" w14:textId="77777777" w:rsidTr="00BA304B">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201EFB1" w14:textId="77777777" w:rsidR="00AA3F9A" w:rsidRPr="009D369D" w:rsidRDefault="00AA3F9A" w:rsidP="00C5653F">
            <w:pPr>
              <w:jc w:val="center"/>
              <w:rPr>
                <w:color w:val="000000"/>
                <w:sz w:val="18"/>
              </w:rPr>
            </w:pPr>
            <w:r w:rsidRPr="009D369D">
              <w:rPr>
                <w:color w:val="000000"/>
                <w:sz w:val="18"/>
              </w:rPr>
              <w:t>Compras</w:t>
            </w:r>
          </w:p>
        </w:tc>
        <w:tc>
          <w:tcPr>
            <w:tcW w:w="2380" w:type="dxa"/>
            <w:tcBorders>
              <w:top w:val="nil"/>
              <w:left w:val="nil"/>
              <w:bottom w:val="single" w:sz="4" w:space="0" w:color="auto"/>
              <w:right w:val="single" w:sz="4" w:space="0" w:color="auto"/>
            </w:tcBorders>
            <w:shd w:val="clear" w:color="auto" w:fill="auto"/>
            <w:noWrap/>
            <w:vAlign w:val="bottom"/>
            <w:hideMark/>
          </w:tcPr>
          <w:p w14:paraId="5F554280" w14:textId="77777777" w:rsidR="00AA3F9A" w:rsidRPr="009D369D" w:rsidRDefault="00AA3F9A" w:rsidP="00C5653F">
            <w:pPr>
              <w:jc w:val="center"/>
              <w:rPr>
                <w:sz w:val="18"/>
              </w:rPr>
            </w:pPr>
            <w:r w:rsidRPr="009D369D">
              <w:rPr>
                <w:sz w:val="18"/>
              </w:rPr>
              <w:t>Invap Ingeniería S.A.</w:t>
            </w:r>
          </w:p>
        </w:tc>
        <w:tc>
          <w:tcPr>
            <w:tcW w:w="1160" w:type="dxa"/>
            <w:tcBorders>
              <w:top w:val="nil"/>
              <w:left w:val="nil"/>
              <w:bottom w:val="single" w:sz="4" w:space="0" w:color="auto"/>
              <w:right w:val="single" w:sz="4" w:space="0" w:color="auto"/>
            </w:tcBorders>
            <w:shd w:val="clear" w:color="auto" w:fill="auto"/>
            <w:noWrap/>
            <w:vAlign w:val="bottom"/>
            <w:hideMark/>
          </w:tcPr>
          <w:p w14:paraId="64E5033C" w14:textId="77777777" w:rsidR="00AA3F9A" w:rsidRPr="009D369D" w:rsidRDefault="00AA3F9A" w:rsidP="00C5653F">
            <w:pPr>
              <w:jc w:val="center"/>
              <w:rPr>
                <w:color w:val="000000"/>
                <w:sz w:val="18"/>
              </w:rPr>
            </w:pPr>
            <w:r w:rsidRPr="009D369D">
              <w:rPr>
                <w:color w:val="000000"/>
                <w:sz w:val="18"/>
              </w:rPr>
              <w:t>Servicios</w:t>
            </w:r>
          </w:p>
        </w:tc>
        <w:tc>
          <w:tcPr>
            <w:tcW w:w="1300" w:type="dxa"/>
            <w:tcBorders>
              <w:top w:val="nil"/>
              <w:left w:val="nil"/>
              <w:bottom w:val="single" w:sz="4" w:space="0" w:color="000000"/>
              <w:right w:val="single" w:sz="4" w:space="0" w:color="auto"/>
            </w:tcBorders>
            <w:shd w:val="clear" w:color="auto" w:fill="auto"/>
            <w:noWrap/>
            <w:vAlign w:val="bottom"/>
            <w:hideMark/>
          </w:tcPr>
          <w:p w14:paraId="40BA13BA" w14:textId="77777777" w:rsidR="00AA3F9A" w:rsidRPr="009D369D" w:rsidRDefault="00AA3F9A" w:rsidP="00C5653F">
            <w:pPr>
              <w:jc w:val="right"/>
              <w:rPr>
                <w:color w:val="000000"/>
                <w:sz w:val="18"/>
              </w:rPr>
            </w:pPr>
            <w:r w:rsidRPr="009D369D">
              <w:rPr>
                <w:color w:val="000000"/>
                <w:sz w:val="18"/>
              </w:rPr>
              <w:t xml:space="preserve">16.300 </w:t>
            </w:r>
          </w:p>
        </w:tc>
        <w:tc>
          <w:tcPr>
            <w:tcW w:w="1260" w:type="dxa"/>
            <w:tcBorders>
              <w:top w:val="nil"/>
              <w:left w:val="nil"/>
              <w:bottom w:val="single" w:sz="4" w:space="0" w:color="000000"/>
              <w:right w:val="single" w:sz="4" w:space="0" w:color="auto"/>
            </w:tcBorders>
            <w:shd w:val="clear" w:color="auto" w:fill="auto"/>
            <w:noWrap/>
            <w:vAlign w:val="bottom"/>
            <w:hideMark/>
          </w:tcPr>
          <w:p w14:paraId="3D9394DF" w14:textId="77777777" w:rsidR="00AA3F9A" w:rsidRPr="009D369D" w:rsidRDefault="00AA3F9A" w:rsidP="00C5653F">
            <w:pPr>
              <w:jc w:val="right"/>
              <w:rPr>
                <w:color w:val="000000"/>
                <w:sz w:val="18"/>
              </w:rPr>
            </w:pPr>
            <w:r w:rsidRPr="009D369D">
              <w:rPr>
                <w:color w:val="000000"/>
                <w:sz w:val="18"/>
              </w:rPr>
              <w:t xml:space="preserve">23.752 </w:t>
            </w:r>
          </w:p>
        </w:tc>
      </w:tr>
      <w:tr w:rsidR="00AA3F9A" w:rsidRPr="009D369D" w14:paraId="539EB6EF" w14:textId="77777777" w:rsidTr="00F0775A">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1265128" w14:textId="77777777" w:rsidR="00AA3F9A" w:rsidRPr="009D369D" w:rsidRDefault="00AA3F9A" w:rsidP="00C5653F">
            <w:pPr>
              <w:jc w:val="center"/>
              <w:rPr>
                <w:color w:val="000000"/>
                <w:sz w:val="18"/>
              </w:rPr>
            </w:pPr>
            <w:r w:rsidRPr="009D369D">
              <w:rPr>
                <w:color w:val="000000"/>
                <w:sz w:val="18"/>
              </w:rPr>
              <w:t>Compras</w:t>
            </w:r>
          </w:p>
        </w:tc>
        <w:tc>
          <w:tcPr>
            <w:tcW w:w="2380" w:type="dxa"/>
            <w:tcBorders>
              <w:top w:val="nil"/>
              <w:left w:val="nil"/>
              <w:bottom w:val="single" w:sz="4" w:space="0" w:color="auto"/>
              <w:right w:val="single" w:sz="4" w:space="0" w:color="auto"/>
            </w:tcBorders>
            <w:shd w:val="clear" w:color="auto" w:fill="auto"/>
            <w:noWrap/>
            <w:vAlign w:val="bottom"/>
            <w:hideMark/>
          </w:tcPr>
          <w:p w14:paraId="0604266E" w14:textId="77777777" w:rsidR="00AA3F9A" w:rsidRPr="009D369D" w:rsidRDefault="00AA3F9A" w:rsidP="00C5653F">
            <w:pPr>
              <w:jc w:val="center"/>
              <w:rPr>
                <w:sz w:val="18"/>
              </w:rPr>
            </w:pPr>
            <w:r w:rsidRPr="009D369D">
              <w:rPr>
                <w:sz w:val="18"/>
              </w:rPr>
              <w:t>Black River Technology Inc.</w:t>
            </w:r>
          </w:p>
        </w:tc>
        <w:tc>
          <w:tcPr>
            <w:tcW w:w="1160" w:type="dxa"/>
            <w:tcBorders>
              <w:top w:val="nil"/>
              <w:left w:val="nil"/>
              <w:bottom w:val="single" w:sz="4" w:space="0" w:color="auto"/>
              <w:right w:val="single" w:sz="4" w:space="0" w:color="auto"/>
            </w:tcBorders>
            <w:shd w:val="clear" w:color="auto" w:fill="auto"/>
            <w:noWrap/>
            <w:vAlign w:val="bottom"/>
            <w:hideMark/>
          </w:tcPr>
          <w:p w14:paraId="6842F498" w14:textId="77777777" w:rsidR="00AA3F9A" w:rsidRPr="009D369D" w:rsidRDefault="00AA3F9A" w:rsidP="00C5653F">
            <w:pPr>
              <w:jc w:val="center"/>
              <w:rPr>
                <w:color w:val="000000"/>
                <w:sz w:val="18"/>
              </w:rPr>
            </w:pPr>
            <w:r w:rsidRPr="009D369D">
              <w:rPr>
                <w:color w:val="000000"/>
                <w:sz w:val="18"/>
              </w:rPr>
              <w:t>Materiales</w:t>
            </w:r>
          </w:p>
        </w:tc>
        <w:tc>
          <w:tcPr>
            <w:tcW w:w="1300" w:type="dxa"/>
            <w:tcBorders>
              <w:top w:val="nil"/>
              <w:left w:val="nil"/>
              <w:bottom w:val="single" w:sz="4" w:space="0" w:color="auto"/>
              <w:right w:val="single" w:sz="4" w:space="0" w:color="auto"/>
            </w:tcBorders>
            <w:shd w:val="clear" w:color="auto" w:fill="auto"/>
            <w:noWrap/>
            <w:vAlign w:val="bottom"/>
            <w:hideMark/>
          </w:tcPr>
          <w:p w14:paraId="6BAE529E" w14:textId="77777777" w:rsidR="00AA3F9A" w:rsidRPr="009D369D" w:rsidRDefault="00AA3F9A" w:rsidP="00C5653F">
            <w:pPr>
              <w:jc w:val="right"/>
              <w:rPr>
                <w:sz w:val="20"/>
              </w:rPr>
            </w:pPr>
            <w:r w:rsidRPr="009D369D">
              <w:rPr>
                <w:sz w:val="20"/>
              </w:rPr>
              <w:t xml:space="preserve">61.792 </w:t>
            </w:r>
          </w:p>
        </w:tc>
        <w:tc>
          <w:tcPr>
            <w:tcW w:w="1260" w:type="dxa"/>
            <w:tcBorders>
              <w:top w:val="nil"/>
              <w:left w:val="nil"/>
              <w:bottom w:val="single" w:sz="4" w:space="0" w:color="auto"/>
              <w:right w:val="single" w:sz="4" w:space="0" w:color="auto"/>
            </w:tcBorders>
            <w:shd w:val="clear" w:color="auto" w:fill="auto"/>
            <w:noWrap/>
            <w:vAlign w:val="bottom"/>
            <w:hideMark/>
          </w:tcPr>
          <w:p w14:paraId="19A46AB7" w14:textId="77777777" w:rsidR="00AA3F9A" w:rsidRPr="009D369D" w:rsidRDefault="00AA3F9A" w:rsidP="00C5653F">
            <w:pPr>
              <w:jc w:val="right"/>
              <w:rPr>
                <w:sz w:val="20"/>
              </w:rPr>
            </w:pPr>
            <w:r w:rsidRPr="009D369D">
              <w:rPr>
                <w:sz w:val="20"/>
              </w:rPr>
              <w:t xml:space="preserve">46.330 </w:t>
            </w:r>
          </w:p>
        </w:tc>
      </w:tr>
      <w:tr w:rsidR="00AA3F9A" w:rsidRPr="009D369D" w14:paraId="38E5F44A" w14:textId="77777777" w:rsidTr="00F0775A">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ADCE178" w14:textId="77777777" w:rsidR="00AA3F9A" w:rsidRPr="009D369D" w:rsidRDefault="00AA3F9A" w:rsidP="00C5653F">
            <w:pPr>
              <w:jc w:val="center"/>
              <w:rPr>
                <w:color w:val="000000"/>
                <w:sz w:val="18"/>
              </w:rPr>
            </w:pPr>
            <w:r w:rsidRPr="009D369D">
              <w:rPr>
                <w:color w:val="000000"/>
                <w:sz w:val="18"/>
              </w:rPr>
              <w:t>Compras</w:t>
            </w:r>
          </w:p>
        </w:tc>
        <w:tc>
          <w:tcPr>
            <w:tcW w:w="2380" w:type="dxa"/>
            <w:tcBorders>
              <w:top w:val="nil"/>
              <w:left w:val="nil"/>
              <w:bottom w:val="single" w:sz="4" w:space="0" w:color="auto"/>
              <w:right w:val="single" w:sz="4" w:space="0" w:color="auto"/>
            </w:tcBorders>
            <w:shd w:val="clear" w:color="auto" w:fill="auto"/>
            <w:noWrap/>
            <w:vAlign w:val="bottom"/>
            <w:hideMark/>
          </w:tcPr>
          <w:p w14:paraId="56C2689F" w14:textId="77777777" w:rsidR="00AA3F9A" w:rsidRPr="009D369D" w:rsidRDefault="00AA3F9A" w:rsidP="00C5653F">
            <w:pPr>
              <w:jc w:val="center"/>
              <w:rPr>
                <w:sz w:val="18"/>
              </w:rPr>
            </w:pPr>
            <w:r w:rsidRPr="009D369D">
              <w:rPr>
                <w:sz w:val="18"/>
              </w:rPr>
              <w:t>Frontec S.A.U</w:t>
            </w:r>
          </w:p>
        </w:tc>
        <w:tc>
          <w:tcPr>
            <w:tcW w:w="1160" w:type="dxa"/>
            <w:tcBorders>
              <w:top w:val="nil"/>
              <w:left w:val="nil"/>
              <w:bottom w:val="single" w:sz="4" w:space="0" w:color="auto"/>
              <w:right w:val="single" w:sz="4" w:space="0" w:color="auto"/>
            </w:tcBorders>
            <w:shd w:val="clear" w:color="auto" w:fill="auto"/>
            <w:noWrap/>
            <w:vAlign w:val="bottom"/>
            <w:hideMark/>
          </w:tcPr>
          <w:p w14:paraId="7B348628" w14:textId="77777777" w:rsidR="00AA3F9A" w:rsidRPr="009D369D" w:rsidRDefault="00AA3F9A" w:rsidP="00C5653F">
            <w:pPr>
              <w:jc w:val="center"/>
              <w:rPr>
                <w:color w:val="000000"/>
                <w:sz w:val="18"/>
              </w:rPr>
            </w:pPr>
            <w:r w:rsidRPr="009D369D">
              <w:rPr>
                <w:color w:val="000000"/>
                <w:sz w:val="18"/>
              </w:rPr>
              <w:t>Servicios</w:t>
            </w:r>
          </w:p>
        </w:tc>
        <w:tc>
          <w:tcPr>
            <w:tcW w:w="1300" w:type="dxa"/>
            <w:tcBorders>
              <w:top w:val="nil"/>
              <w:left w:val="nil"/>
              <w:bottom w:val="single" w:sz="4" w:space="0" w:color="auto"/>
              <w:right w:val="single" w:sz="4" w:space="0" w:color="auto"/>
            </w:tcBorders>
            <w:shd w:val="clear" w:color="auto" w:fill="auto"/>
            <w:noWrap/>
            <w:vAlign w:val="bottom"/>
            <w:hideMark/>
          </w:tcPr>
          <w:p w14:paraId="290BAA0A" w14:textId="77777777" w:rsidR="00AA3F9A" w:rsidRPr="009D369D" w:rsidRDefault="00AA3F9A" w:rsidP="00C5653F">
            <w:pPr>
              <w:jc w:val="right"/>
              <w:rPr>
                <w:color w:val="000000"/>
                <w:sz w:val="18"/>
              </w:rPr>
            </w:pPr>
            <w:r w:rsidRPr="009D369D">
              <w:rPr>
                <w:color w:val="000000"/>
                <w:sz w:val="18"/>
              </w:rPr>
              <w:t xml:space="preserve">6.717 </w:t>
            </w:r>
          </w:p>
        </w:tc>
        <w:tc>
          <w:tcPr>
            <w:tcW w:w="1260" w:type="dxa"/>
            <w:tcBorders>
              <w:top w:val="nil"/>
              <w:left w:val="nil"/>
              <w:bottom w:val="single" w:sz="4" w:space="0" w:color="auto"/>
              <w:right w:val="single" w:sz="4" w:space="0" w:color="auto"/>
            </w:tcBorders>
            <w:shd w:val="clear" w:color="auto" w:fill="auto"/>
            <w:noWrap/>
            <w:vAlign w:val="bottom"/>
            <w:hideMark/>
          </w:tcPr>
          <w:p w14:paraId="3F86FEB3" w14:textId="77777777" w:rsidR="00AA3F9A" w:rsidRPr="009D369D" w:rsidRDefault="00AA3F9A" w:rsidP="00C5653F">
            <w:pPr>
              <w:jc w:val="right"/>
              <w:rPr>
                <w:color w:val="000000"/>
                <w:sz w:val="18"/>
              </w:rPr>
            </w:pPr>
            <w:r w:rsidRPr="009D369D">
              <w:rPr>
                <w:color w:val="000000"/>
                <w:sz w:val="18"/>
              </w:rPr>
              <w:t xml:space="preserve">0 </w:t>
            </w:r>
          </w:p>
        </w:tc>
      </w:tr>
      <w:tr w:rsidR="00AA3F9A" w:rsidRPr="009D369D" w14:paraId="35C5AC9F" w14:textId="77777777" w:rsidTr="00F0775A">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8D99DDC" w14:textId="77777777" w:rsidR="00AA3F9A" w:rsidRPr="009D369D" w:rsidRDefault="00AA3F9A" w:rsidP="00C5653F">
            <w:pPr>
              <w:jc w:val="center"/>
              <w:rPr>
                <w:color w:val="000000"/>
                <w:sz w:val="18"/>
              </w:rPr>
            </w:pPr>
            <w:r w:rsidRPr="009D369D">
              <w:rPr>
                <w:color w:val="000000"/>
                <w:sz w:val="18"/>
              </w:rPr>
              <w:t>Ventas</w:t>
            </w:r>
          </w:p>
        </w:tc>
        <w:tc>
          <w:tcPr>
            <w:tcW w:w="2380" w:type="dxa"/>
            <w:tcBorders>
              <w:top w:val="nil"/>
              <w:left w:val="nil"/>
              <w:bottom w:val="single" w:sz="4" w:space="0" w:color="auto"/>
              <w:right w:val="single" w:sz="4" w:space="0" w:color="auto"/>
            </w:tcBorders>
            <w:shd w:val="clear" w:color="auto" w:fill="auto"/>
            <w:noWrap/>
            <w:vAlign w:val="bottom"/>
            <w:hideMark/>
          </w:tcPr>
          <w:p w14:paraId="7F89FF19" w14:textId="77777777" w:rsidR="00AA3F9A" w:rsidRPr="009D369D" w:rsidRDefault="00AA3F9A" w:rsidP="00C5653F">
            <w:pPr>
              <w:jc w:val="center"/>
              <w:rPr>
                <w:sz w:val="18"/>
              </w:rPr>
            </w:pPr>
            <w:r w:rsidRPr="009D369D">
              <w:rPr>
                <w:sz w:val="18"/>
              </w:rPr>
              <w:t>Frontec S.A.U</w:t>
            </w:r>
          </w:p>
        </w:tc>
        <w:tc>
          <w:tcPr>
            <w:tcW w:w="1160" w:type="dxa"/>
            <w:tcBorders>
              <w:top w:val="nil"/>
              <w:left w:val="nil"/>
              <w:bottom w:val="single" w:sz="4" w:space="0" w:color="auto"/>
              <w:right w:val="single" w:sz="4" w:space="0" w:color="auto"/>
            </w:tcBorders>
            <w:shd w:val="clear" w:color="auto" w:fill="auto"/>
            <w:noWrap/>
            <w:vAlign w:val="bottom"/>
            <w:hideMark/>
          </w:tcPr>
          <w:p w14:paraId="6C0C5DC9" w14:textId="77777777" w:rsidR="00AA3F9A" w:rsidRPr="009D369D" w:rsidRDefault="00AA3F9A" w:rsidP="00C5653F">
            <w:pPr>
              <w:jc w:val="center"/>
              <w:rPr>
                <w:color w:val="000000"/>
                <w:sz w:val="18"/>
              </w:rPr>
            </w:pPr>
            <w:r w:rsidRPr="009D369D">
              <w:rPr>
                <w:color w:val="000000"/>
                <w:sz w:val="18"/>
              </w:rPr>
              <w:t>Varios</w:t>
            </w:r>
          </w:p>
        </w:tc>
        <w:tc>
          <w:tcPr>
            <w:tcW w:w="1300" w:type="dxa"/>
            <w:tcBorders>
              <w:top w:val="nil"/>
              <w:left w:val="nil"/>
              <w:bottom w:val="single" w:sz="4" w:space="0" w:color="auto"/>
              <w:right w:val="single" w:sz="4" w:space="0" w:color="auto"/>
            </w:tcBorders>
            <w:shd w:val="clear" w:color="auto" w:fill="auto"/>
            <w:noWrap/>
            <w:vAlign w:val="bottom"/>
            <w:hideMark/>
          </w:tcPr>
          <w:p w14:paraId="3176E407" w14:textId="77777777" w:rsidR="00AA3F9A" w:rsidRPr="009D369D" w:rsidRDefault="00AA3F9A" w:rsidP="00C5653F">
            <w:pPr>
              <w:jc w:val="right"/>
              <w:rPr>
                <w:color w:val="000000"/>
                <w:sz w:val="18"/>
              </w:rPr>
            </w:pPr>
            <w:r w:rsidRPr="009D369D">
              <w:rPr>
                <w:color w:val="000000"/>
                <w:sz w:val="18"/>
              </w:rPr>
              <w:t xml:space="preserve">896 </w:t>
            </w:r>
          </w:p>
        </w:tc>
        <w:tc>
          <w:tcPr>
            <w:tcW w:w="1260" w:type="dxa"/>
            <w:tcBorders>
              <w:top w:val="nil"/>
              <w:left w:val="nil"/>
              <w:bottom w:val="single" w:sz="4" w:space="0" w:color="auto"/>
              <w:right w:val="single" w:sz="4" w:space="0" w:color="auto"/>
            </w:tcBorders>
            <w:shd w:val="clear" w:color="auto" w:fill="auto"/>
            <w:noWrap/>
            <w:vAlign w:val="bottom"/>
            <w:hideMark/>
          </w:tcPr>
          <w:p w14:paraId="3916ABB2" w14:textId="77777777" w:rsidR="00AA3F9A" w:rsidRPr="009D369D" w:rsidRDefault="00AA3F9A" w:rsidP="00C5653F">
            <w:pPr>
              <w:jc w:val="right"/>
              <w:rPr>
                <w:color w:val="000000"/>
                <w:sz w:val="18"/>
              </w:rPr>
            </w:pPr>
            <w:r w:rsidRPr="009D369D">
              <w:rPr>
                <w:color w:val="000000"/>
                <w:sz w:val="18"/>
              </w:rPr>
              <w:t xml:space="preserve">4.056 </w:t>
            </w:r>
          </w:p>
        </w:tc>
      </w:tr>
      <w:tr w:rsidR="00AA3F9A" w14:paraId="77571041" w14:textId="77777777" w:rsidTr="00F0775A">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B7C2B3F" w14:textId="77777777" w:rsidR="00AA3F9A" w:rsidRPr="009D369D" w:rsidRDefault="00AA3F9A" w:rsidP="00C5653F">
            <w:pPr>
              <w:jc w:val="center"/>
              <w:rPr>
                <w:color w:val="000000"/>
                <w:sz w:val="18"/>
              </w:rPr>
            </w:pPr>
            <w:r w:rsidRPr="009D369D">
              <w:rPr>
                <w:color w:val="000000"/>
                <w:sz w:val="18"/>
              </w:rPr>
              <w:t>Ventas</w:t>
            </w:r>
          </w:p>
        </w:tc>
        <w:tc>
          <w:tcPr>
            <w:tcW w:w="2380" w:type="dxa"/>
            <w:tcBorders>
              <w:top w:val="nil"/>
              <w:left w:val="nil"/>
              <w:bottom w:val="single" w:sz="4" w:space="0" w:color="auto"/>
              <w:right w:val="single" w:sz="4" w:space="0" w:color="auto"/>
            </w:tcBorders>
            <w:shd w:val="clear" w:color="auto" w:fill="auto"/>
            <w:noWrap/>
            <w:vAlign w:val="bottom"/>
            <w:hideMark/>
          </w:tcPr>
          <w:p w14:paraId="659407C5" w14:textId="77777777" w:rsidR="00AA3F9A" w:rsidRPr="009D369D" w:rsidRDefault="00AA3F9A" w:rsidP="00C5653F">
            <w:pPr>
              <w:jc w:val="center"/>
              <w:rPr>
                <w:color w:val="000000"/>
                <w:sz w:val="18"/>
              </w:rPr>
            </w:pPr>
            <w:r w:rsidRPr="009D369D">
              <w:rPr>
                <w:color w:val="000000"/>
                <w:sz w:val="18"/>
              </w:rPr>
              <w:t>Invap Nederland B.V.</w:t>
            </w:r>
          </w:p>
        </w:tc>
        <w:tc>
          <w:tcPr>
            <w:tcW w:w="1160" w:type="dxa"/>
            <w:tcBorders>
              <w:top w:val="nil"/>
              <w:left w:val="nil"/>
              <w:bottom w:val="single" w:sz="4" w:space="0" w:color="auto"/>
              <w:right w:val="single" w:sz="4" w:space="0" w:color="auto"/>
            </w:tcBorders>
            <w:shd w:val="clear" w:color="auto" w:fill="auto"/>
            <w:noWrap/>
            <w:vAlign w:val="bottom"/>
            <w:hideMark/>
          </w:tcPr>
          <w:p w14:paraId="7AFB0261" w14:textId="77777777" w:rsidR="00AA3F9A" w:rsidRPr="009D369D" w:rsidRDefault="00AA3F9A" w:rsidP="00C5653F">
            <w:pPr>
              <w:jc w:val="center"/>
              <w:rPr>
                <w:color w:val="000000"/>
                <w:sz w:val="18"/>
              </w:rPr>
            </w:pPr>
            <w:r w:rsidRPr="009D369D">
              <w:rPr>
                <w:color w:val="000000"/>
                <w:sz w:val="18"/>
              </w:rPr>
              <w:t>Servicios</w:t>
            </w:r>
          </w:p>
        </w:tc>
        <w:tc>
          <w:tcPr>
            <w:tcW w:w="1300" w:type="dxa"/>
            <w:tcBorders>
              <w:top w:val="nil"/>
              <w:left w:val="nil"/>
              <w:bottom w:val="single" w:sz="4" w:space="0" w:color="auto"/>
              <w:right w:val="single" w:sz="4" w:space="0" w:color="auto"/>
            </w:tcBorders>
            <w:shd w:val="clear" w:color="auto" w:fill="auto"/>
            <w:noWrap/>
            <w:vAlign w:val="bottom"/>
            <w:hideMark/>
          </w:tcPr>
          <w:p w14:paraId="0A974013" w14:textId="77777777" w:rsidR="00AA3F9A" w:rsidRPr="009D369D" w:rsidRDefault="00AA3F9A" w:rsidP="00C5653F">
            <w:pPr>
              <w:jc w:val="right"/>
              <w:rPr>
                <w:color w:val="000000"/>
                <w:sz w:val="18"/>
              </w:rPr>
            </w:pPr>
            <w:r w:rsidRPr="009D369D">
              <w:rPr>
                <w:color w:val="000000"/>
                <w:sz w:val="18"/>
              </w:rPr>
              <w:t xml:space="preserve">517.817 </w:t>
            </w:r>
          </w:p>
        </w:tc>
        <w:tc>
          <w:tcPr>
            <w:tcW w:w="1260" w:type="dxa"/>
            <w:tcBorders>
              <w:top w:val="nil"/>
              <w:left w:val="nil"/>
              <w:bottom w:val="single" w:sz="4" w:space="0" w:color="auto"/>
              <w:right w:val="single" w:sz="4" w:space="0" w:color="auto"/>
            </w:tcBorders>
            <w:shd w:val="clear" w:color="auto" w:fill="auto"/>
            <w:noWrap/>
            <w:vAlign w:val="bottom"/>
            <w:hideMark/>
          </w:tcPr>
          <w:p w14:paraId="6781BDB1" w14:textId="77777777" w:rsidR="00AA3F9A" w:rsidRPr="004C2CEC" w:rsidRDefault="00AA3F9A" w:rsidP="00C5653F">
            <w:pPr>
              <w:jc w:val="right"/>
              <w:rPr>
                <w:color w:val="000000"/>
                <w:sz w:val="18"/>
              </w:rPr>
            </w:pPr>
            <w:r w:rsidRPr="009D369D">
              <w:rPr>
                <w:color w:val="000000"/>
                <w:sz w:val="18"/>
              </w:rPr>
              <w:t>102.127</w:t>
            </w:r>
            <w:r w:rsidRPr="004C2CEC">
              <w:rPr>
                <w:color w:val="000000"/>
                <w:sz w:val="18"/>
              </w:rPr>
              <w:t xml:space="preserve"> </w:t>
            </w:r>
          </w:p>
        </w:tc>
      </w:tr>
    </w:tbl>
    <w:p w14:paraId="13AAF60A" w14:textId="133B8B1B" w:rsidR="001C2EC6" w:rsidRDefault="001C2EC6" w:rsidP="00317271">
      <w:pPr>
        <w:spacing w:after="160" w:line="259" w:lineRule="auto"/>
        <w:jc w:val="both"/>
        <w:rPr>
          <w:bCs/>
          <w:sz w:val="20"/>
          <w:szCs w:val="20"/>
          <w:lang w:val="es-AR"/>
        </w:rPr>
      </w:pPr>
    </w:p>
    <w:tbl>
      <w:tblPr>
        <w:tblW w:w="8980" w:type="dxa"/>
        <w:tblInd w:w="55" w:type="dxa"/>
        <w:tblCellMar>
          <w:left w:w="70" w:type="dxa"/>
          <w:right w:w="70" w:type="dxa"/>
        </w:tblCellMar>
        <w:tblLook w:val="04A0" w:firstRow="1" w:lastRow="0" w:firstColumn="1" w:lastColumn="0" w:noHBand="0" w:noVBand="1"/>
      </w:tblPr>
      <w:tblGrid>
        <w:gridCol w:w="2260"/>
        <w:gridCol w:w="1120"/>
        <w:gridCol w:w="1120"/>
        <w:gridCol w:w="1120"/>
        <w:gridCol w:w="1120"/>
        <w:gridCol w:w="1120"/>
        <w:gridCol w:w="1120"/>
      </w:tblGrid>
      <w:tr w:rsidR="00F0775A" w14:paraId="47E3F8C2" w14:textId="77777777" w:rsidTr="009D369D">
        <w:trPr>
          <w:trHeight w:val="300"/>
        </w:trPr>
        <w:tc>
          <w:tcPr>
            <w:tcW w:w="2260" w:type="dxa"/>
            <w:tcBorders>
              <w:top w:val="single" w:sz="4" w:space="0" w:color="auto"/>
              <w:left w:val="single" w:sz="4" w:space="0" w:color="auto"/>
              <w:bottom w:val="nil"/>
              <w:right w:val="single" w:sz="4" w:space="0" w:color="auto"/>
            </w:tcBorders>
            <w:shd w:val="clear" w:color="auto" w:fill="auto"/>
            <w:noWrap/>
            <w:vAlign w:val="center"/>
            <w:hideMark/>
          </w:tcPr>
          <w:p w14:paraId="70A6AC6D" w14:textId="77777777" w:rsidR="00AA3F9A" w:rsidRPr="00512442" w:rsidRDefault="00AA3F9A" w:rsidP="00512442">
            <w:pPr>
              <w:jc w:val="both"/>
              <w:rPr>
                <w:sz w:val="16"/>
              </w:rPr>
            </w:pPr>
            <w:r w:rsidRPr="00512442">
              <w:rPr>
                <w:sz w:val="16"/>
              </w:rPr>
              <w:t> </w:t>
            </w:r>
          </w:p>
        </w:tc>
        <w:tc>
          <w:tcPr>
            <w:tcW w:w="3360" w:type="dxa"/>
            <w:gridSpan w:val="3"/>
            <w:tcBorders>
              <w:top w:val="single" w:sz="4" w:space="0" w:color="auto"/>
              <w:left w:val="nil"/>
              <w:bottom w:val="single" w:sz="4" w:space="0" w:color="auto"/>
              <w:right w:val="double" w:sz="6" w:space="0" w:color="000000"/>
            </w:tcBorders>
            <w:shd w:val="clear" w:color="auto" w:fill="auto"/>
            <w:noWrap/>
            <w:vAlign w:val="center"/>
            <w:hideMark/>
          </w:tcPr>
          <w:p w14:paraId="4531C61C" w14:textId="77777777" w:rsidR="00AA3F9A" w:rsidRPr="00512442" w:rsidRDefault="00AA3F9A" w:rsidP="00C5653F">
            <w:pPr>
              <w:jc w:val="center"/>
              <w:rPr>
                <w:b/>
                <w:sz w:val="16"/>
              </w:rPr>
            </w:pPr>
            <w:r w:rsidRPr="00512442">
              <w:rPr>
                <w:b/>
                <w:sz w:val="16"/>
              </w:rPr>
              <w:t>30/06/2019</w:t>
            </w:r>
          </w:p>
        </w:tc>
        <w:tc>
          <w:tcPr>
            <w:tcW w:w="336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18A0B65" w14:textId="77777777" w:rsidR="00AA3F9A" w:rsidRPr="00512442" w:rsidRDefault="00AA3F9A" w:rsidP="00C5653F">
            <w:pPr>
              <w:jc w:val="center"/>
              <w:rPr>
                <w:b/>
                <w:sz w:val="16"/>
              </w:rPr>
            </w:pPr>
            <w:r w:rsidRPr="00512442">
              <w:rPr>
                <w:b/>
                <w:sz w:val="16"/>
              </w:rPr>
              <w:t>30/06/2018</w:t>
            </w:r>
          </w:p>
        </w:tc>
      </w:tr>
      <w:tr w:rsidR="00F0775A" w14:paraId="6C2255CD" w14:textId="77777777" w:rsidTr="009D369D">
        <w:trPr>
          <w:trHeight w:val="42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0FCB06DE" w14:textId="77777777" w:rsidR="00AA3F9A" w:rsidRPr="00512442" w:rsidRDefault="00AA3F9A" w:rsidP="00C5653F">
            <w:pPr>
              <w:rPr>
                <w:sz w:val="16"/>
              </w:rPr>
            </w:pPr>
            <w:r w:rsidRPr="00512442">
              <w:rPr>
                <w:sz w:val="16"/>
              </w:rPr>
              <w:t> </w:t>
            </w:r>
          </w:p>
        </w:tc>
        <w:tc>
          <w:tcPr>
            <w:tcW w:w="1120" w:type="dxa"/>
            <w:tcBorders>
              <w:top w:val="nil"/>
              <w:left w:val="nil"/>
              <w:bottom w:val="single" w:sz="4" w:space="0" w:color="auto"/>
              <w:right w:val="nil"/>
            </w:tcBorders>
            <w:shd w:val="clear" w:color="auto" w:fill="auto"/>
            <w:vAlign w:val="center"/>
            <w:hideMark/>
          </w:tcPr>
          <w:p w14:paraId="7AD324B3" w14:textId="77777777" w:rsidR="00AA3F9A" w:rsidRPr="00512442" w:rsidRDefault="00AA3F9A" w:rsidP="00C5653F">
            <w:pPr>
              <w:jc w:val="center"/>
              <w:rPr>
                <w:b/>
                <w:sz w:val="16"/>
              </w:rPr>
            </w:pPr>
            <w:r w:rsidRPr="00512442">
              <w:rPr>
                <w:b/>
                <w:sz w:val="16"/>
              </w:rPr>
              <w:t>Cuentas por cobrar</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133CDC2" w14:textId="77777777" w:rsidR="00AA3F9A" w:rsidRPr="00512442" w:rsidRDefault="00AA3F9A" w:rsidP="00C5653F">
            <w:pPr>
              <w:jc w:val="center"/>
              <w:rPr>
                <w:b/>
                <w:sz w:val="16"/>
              </w:rPr>
            </w:pPr>
            <w:r w:rsidRPr="00512442">
              <w:rPr>
                <w:b/>
                <w:sz w:val="16"/>
              </w:rPr>
              <w:t>Cuentas por pagar</w:t>
            </w:r>
          </w:p>
        </w:tc>
        <w:tc>
          <w:tcPr>
            <w:tcW w:w="1120" w:type="dxa"/>
            <w:tcBorders>
              <w:top w:val="nil"/>
              <w:left w:val="nil"/>
              <w:bottom w:val="single" w:sz="4" w:space="0" w:color="auto"/>
              <w:right w:val="double" w:sz="6" w:space="0" w:color="auto"/>
            </w:tcBorders>
            <w:shd w:val="clear" w:color="auto" w:fill="auto"/>
            <w:vAlign w:val="center"/>
            <w:hideMark/>
          </w:tcPr>
          <w:p w14:paraId="0B694028" w14:textId="77777777" w:rsidR="00AA3F9A" w:rsidRPr="00512442" w:rsidRDefault="00AA3F9A" w:rsidP="00C5653F">
            <w:pPr>
              <w:jc w:val="center"/>
              <w:rPr>
                <w:b/>
                <w:sz w:val="16"/>
              </w:rPr>
            </w:pPr>
            <w:r w:rsidRPr="00512442">
              <w:rPr>
                <w:b/>
                <w:sz w:val="16"/>
              </w:rPr>
              <w:t>Otros</w:t>
            </w:r>
          </w:p>
        </w:tc>
        <w:tc>
          <w:tcPr>
            <w:tcW w:w="1120" w:type="dxa"/>
            <w:tcBorders>
              <w:top w:val="nil"/>
              <w:left w:val="nil"/>
              <w:bottom w:val="single" w:sz="4" w:space="0" w:color="auto"/>
              <w:right w:val="nil"/>
            </w:tcBorders>
            <w:shd w:val="clear" w:color="auto" w:fill="auto"/>
            <w:vAlign w:val="center"/>
            <w:hideMark/>
          </w:tcPr>
          <w:p w14:paraId="5FCEE63E" w14:textId="77777777" w:rsidR="00AA3F9A" w:rsidRPr="00512442" w:rsidRDefault="00AA3F9A" w:rsidP="00C5653F">
            <w:pPr>
              <w:jc w:val="center"/>
              <w:rPr>
                <w:b/>
                <w:sz w:val="16"/>
              </w:rPr>
            </w:pPr>
            <w:r w:rsidRPr="00512442">
              <w:rPr>
                <w:b/>
                <w:sz w:val="16"/>
              </w:rPr>
              <w:t>Cuentas por cobrar</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F63BCB4" w14:textId="77777777" w:rsidR="00AA3F9A" w:rsidRPr="00512442" w:rsidRDefault="00AA3F9A" w:rsidP="00C5653F">
            <w:pPr>
              <w:jc w:val="center"/>
              <w:rPr>
                <w:b/>
                <w:sz w:val="16"/>
              </w:rPr>
            </w:pPr>
            <w:r w:rsidRPr="00512442">
              <w:rPr>
                <w:b/>
                <w:sz w:val="16"/>
              </w:rPr>
              <w:t>Cuentas por pagar</w:t>
            </w:r>
          </w:p>
        </w:tc>
        <w:tc>
          <w:tcPr>
            <w:tcW w:w="1120" w:type="dxa"/>
            <w:tcBorders>
              <w:top w:val="nil"/>
              <w:left w:val="nil"/>
              <w:bottom w:val="single" w:sz="4" w:space="0" w:color="auto"/>
              <w:right w:val="single" w:sz="4" w:space="0" w:color="auto"/>
            </w:tcBorders>
            <w:shd w:val="clear" w:color="auto" w:fill="auto"/>
            <w:vAlign w:val="center"/>
            <w:hideMark/>
          </w:tcPr>
          <w:p w14:paraId="504B199C" w14:textId="77777777" w:rsidR="00AA3F9A" w:rsidRPr="00512442" w:rsidRDefault="00AA3F9A" w:rsidP="00C5653F">
            <w:pPr>
              <w:jc w:val="center"/>
              <w:rPr>
                <w:b/>
                <w:sz w:val="16"/>
              </w:rPr>
            </w:pPr>
            <w:r w:rsidRPr="00512442">
              <w:rPr>
                <w:b/>
                <w:sz w:val="16"/>
              </w:rPr>
              <w:t>Otros</w:t>
            </w:r>
          </w:p>
        </w:tc>
      </w:tr>
      <w:tr w:rsidR="00AE6F90" w14:paraId="5FBC747A" w14:textId="77777777" w:rsidTr="00C5653F">
        <w:trPr>
          <w:trHeight w:val="300"/>
        </w:trPr>
        <w:tc>
          <w:tcPr>
            <w:tcW w:w="2260" w:type="dxa"/>
            <w:tcBorders>
              <w:top w:val="nil"/>
              <w:left w:val="single" w:sz="4" w:space="0" w:color="auto"/>
              <w:bottom w:val="nil"/>
              <w:right w:val="single" w:sz="4" w:space="0" w:color="auto"/>
            </w:tcBorders>
            <w:shd w:val="clear" w:color="auto" w:fill="auto"/>
            <w:vAlign w:val="bottom"/>
            <w:hideMark/>
          </w:tcPr>
          <w:p w14:paraId="7C429B65" w14:textId="77777777" w:rsidR="00AA3F9A" w:rsidRPr="004C2CEC" w:rsidRDefault="00AA3F9A" w:rsidP="00C5653F">
            <w:pPr>
              <w:rPr>
                <w:sz w:val="16"/>
                <w:u w:val="single"/>
              </w:rPr>
            </w:pPr>
            <w:r w:rsidRPr="004C2CEC">
              <w:rPr>
                <w:sz w:val="16"/>
                <w:u w:val="single"/>
              </w:rPr>
              <w:t>Créditos empresas del Grupo:</w:t>
            </w:r>
          </w:p>
        </w:tc>
        <w:tc>
          <w:tcPr>
            <w:tcW w:w="1120" w:type="dxa"/>
            <w:tcBorders>
              <w:top w:val="nil"/>
              <w:left w:val="nil"/>
              <w:bottom w:val="nil"/>
              <w:right w:val="single" w:sz="4" w:space="0" w:color="auto"/>
            </w:tcBorders>
            <w:shd w:val="clear" w:color="auto" w:fill="auto"/>
            <w:vAlign w:val="bottom"/>
            <w:hideMark/>
          </w:tcPr>
          <w:p w14:paraId="225070B2" w14:textId="77777777" w:rsidR="00AA3F9A" w:rsidRPr="004C2CEC" w:rsidRDefault="00AA3F9A" w:rsidP="00C5653F">
            <w:pPr>
              <w:jc w:val="center"/>
              <w:rPr>
                <w:b/>
                <w:sz w:val="16"/>
              </w:rPr>
            </w:pPr>
            <w:r w:rsidRPr="004C2CEC">
              <w:rPr>
                <w:b/>
                <w:sz w:val="16"/>
              </w:rPr>
              <w:t> </w:t>
            </w:r>
          </w:p>
        </w:tc>
        <w:tc>
          <w:tcPr>
            <w:tcW w:w="1120" w:type="dxa"/>
            <w:tcBorders>
              <w:top w:val="nil"/>
              <w:left w:val="nil"/>
              <w:bottom w:val="nil"/>
              <w:right w:val="single" w:sz="4" w:space="0" w:color="auto"/>
            </w:tcBorders>
            <w:shd w:val="clear" w:color="auto" w:fill="auto"/>
            <w:vAlign w:val="bottom"/>
            <w:hideMark/>
          </w:tcPr>
          <w:p w14:paraId="03003203" w14:textId="77777777" w:rsidR="00AA3F9A" w:rsidRPr="004C2CEC" w:rsidRDefault="00AA3F9A" w:rsidP="00C5653F">
            <w:pPr>
              <w:jc w:val="center"/>
              <w:rPr>
                <w:b/>
                <w:sz w:val="16"/>
              </w:rPr>
            </w:pPr>
            <w:r w:rsidRPr="004C2CEC">
              <w:rPr>
                <w:b/>
                <w:sz w:val="16"/>
              </w:rPr>
              <w:t> </w:t>
            </w:r>
          </w:p>
        </w:tc>
        <w:tc>
          <w:tcPr>
            <w:tcW w:w="1120" w:type="dxa"/>
            <w:tcBorders>
              <w:top w:val="nil"/>
              <w:left w:val="nil"/>
              <w:bottom w:val="nil"/>
              <w:right w:val="double" w:sz="6" w:space="0" w:color="auto"/>
            </w:tcBorders>
            <w:shd w:val="clear" w:color="auto" w:fill="auto"/>
            <w:vAlign w:val="bottom"/>
            <w:hideMark/>
          </w:tcPr>
          <w:p w14:paraId="398B4C4C" w14:textId="77777777" w:rsidR="00AA3F9A" w:rsidRPr="004C2CEC" w:rsidRDefault="00AA3F9A" w:rsidP="00C5653F">
            <w:pPr>
              <w:jc w:val="center"/>
              <w:rPr>
                <w:b/>
                <w:sz w:val="16"/>
              </w:rPr>
            </w:pPr>
            <w:r w:rsidRPr="004C2CEC">
              <w:rPr>
                <w:b/>
                <w:sz w:val="16"/>
              </w:rPr>
              <w:t> </w:t>
            </w:r>
          </w:p>
        </w:tc>
        <w:tc>
          <w:tcPr>
            <w:tcW w:w="1120" w:type="dxa"/>
            <w:tcBorders>
              <w:top w:val="nil"/>
              <w:left w:val="nil"/>
              <w:bottom w:val="nil"/>
              <w:right w:val="nil"/>
            </w:tcBorders>
            <w:shd w:val="clear" w:color="auto" w:fill="auto"/>
            <w:vAlign w:val="bottom"/>
            <w:hideMark/>
          </w:tcPr>
          <w:p w14:paraId="2FFAC3B9" w14:textId="77777777" w:rsidR="00AA3F9A" w:rsidRPr="004C2CEC" w:rsidRDefault="00AA3F9A" w:rsidP="00C5653F">
            <w:pPr>
              <w:jc w:val="center"/>
              <w:rPr>
                <w:b/>
                <w:sz w:val="16"/>
              </w:rPr>
            </w:pPr>
          </w:p>
        </w:tc>
        <w:tc>
          <w:tcPr>
            <w:tcW w:w="1120" w:type="dxa"/>
            <w:tcBorders>
              <w:top w:val="nil"/>
              <w:left w:val="single" w:sz="4" w:space="0" w:color="auto"/>
              <w:bottom w:val="nil"/>
              <w:right w:val="single" w:sz="4" w:space="0" w:color="auto"/>
            </w:tcBorders>
            <w:shd w:val="clear" w:color="auto" w:fill="auto"/>
            <w:vAlign w:val="bottom"/>
            <w:hideMark/>
          </w:tcPr>
          <w:p w14:paraId="42335EF5" w14:textId="77777777" w:rsidR="00AA3F9A" w:rsidRPr="004C2CEC" w:rsidRDefault="00AA3F9A" w:rsidP="00C5653F">
            <w:pPr>
              <w:jc w:val="center"/>
              <w:rPr>
                <w:b/>
                <w:sz w:val="16"/>
              </w:rPr>
            </w:pPr>
            <w:r w:rsidRPr="004C2CEC">
              <w:rPr>
                <w:b/>
                <w:sz w:val="16"/>
              </w:rPr>
              <w:t> </w:t>
            </w:r>
          </w:p>
        </w:tc>
        <w:tc>
          <w:tcPr>
            <w:tcW w:w="1120" w:type="dxa"/>
            <w:tcBorders>
              <w:top w:val="nil"/>
              <w:left w:val="nil"/>
              <w:bottom w:val="nil"/>
              <w:right w:val="single" w:sz="4" w:space="0" w:color="auto"/>
            </w:tcBorders>
            <w:shd w:val="clear" w:color="auto" w:fill="auto"/>
            <w:noWrap/>
            <w:vAlign w:val="bottom"/>
            <w:hideMark/>
          </w:tcPr>
          <w:p w14:paraId="47CEB32C" w14:textId="77777777" w:rsidR="00AA3F9A" w:rsidRPr="004C2CEC" w:rsidRDefault="00AA3F9A" w:rsidP="00C5653F">
            <w:pPr>
              <w:rPr>
                <w:color w:val="000000"/>
                <w:sz w:val="16"/>
              </w:rPr>
            </w:pPr>
            <w:r w:rsidRPr="004C2CEC">
              <w:rPr>
                <w:color w:val="000000"/>
                <w:sz w:val="16"/>
              </w:rPr>
              <w:t> </w:t>
            </w:r>
          </w:p>
        </w:tc>
      </w:tr>
      <w:tr w:rsidR="00AE6F90" w14:paraId="40156796" w14:textId="77777777" w:rsidTr="00C5653F">
        <w:trPr>
          <w:trHeight w:val="300"/>
        </w:trPr>
        <w:tc>
          <w:tcPr>
            <w:tcW w:w="2260" w:type="dxa"/>
            <w:tcBorders>
              <w:top w:val="nil"/>
              <w:left w:val="single" w:sz="4" w:space="0" w:color="auto"/>
              <w:bottom w:val="nil"/>
              <w:right w:val="single" w:sz="4" w:space="0" w:color="auto"/>
            </w:tcBorders>
            <w:shd w:val="clear" w:color="auto" w:fill="auto"/>
            <w:noWrap/>
            <w:vAlign w:val="bottom"/>
            <w:hideMark/>
          </w:tcPr>
          <w:p w14:paraId="5BCD4FD3" w14:textId="77777777" w:rsidR="00AA3F9A" w:rsidRPr="004C2CEC" w:rsidRDefault="00AA3F9A" w:rsidP="00C5653F">
            <w:pPr>
              <w:rPr>
                <w:sz w:val="16"/>
              </w:rPr>
            </w:pPr>
            <w:r w:rsidRPr="004C2CEC">
              <w:rPr>
                <w:sz w:val="16"/>
              </w:rPr>
              <w:t>Invap Ingeniería S.A.</w:t>
            </w:r>
          </w:p>
        </w:tc>
        <w:tc>
          <w:tcPr>
            <w:tcW w:w="1120" w:type="dxa"/>
            <w:tcBorders>
              <w:top w:val="nil"/>
              <w:left w:val="nil"/>
              <w:bottom w:val="nil"/>
              <w:right w:val="single" w:sz="4" w:space="0" w:color="auto"/>
            </w:tcBorders>
            <w:shd w:val="clear" w:color="auto" w:fill="auto"/>
            <w:noWrap/>
            <w:vAlign w:val="bottom"/>
            <w:hideMark/>
          </w:tcPr>
          <w:p w14:paraId="6E7C33E1" w14:textId="77777777" w:rsidR="00AA3F9A" w:rsidRPr="004C2CEC" w:rsidRDefault="00AA3F9A" w:rsidP="00C5653F">
            <w:pPr>
              <w:jc w:val="right"/>
              <w:rPr>
                <w:sz w:val="16"/>
              </w:rPr>
            </w:pPr>
            <w:r w:rsidRPr="004C2CEC">
              <w:rPr>
                <w:sz w:val="16"/>
              </w:rPr>
              <w:t xml:space="preserve">670 </w:t>
            </w:r>
          </w:p>
        </w:tc>
        <w:tc>
          <w:tcPr>
            <w:tcW w:w="1120" w:type="dxa"/>
            <w:tcBorders>
              <w:top w:val="nil"/>
              <w:left w:val="nil"/>
              <w:bottom w:val="nil"/>
              <w:right w:val="nil"/>
            </w:tcBorders>
            <w:shd w:val="clear" w:color="auto" w:fill="auto"/>
            <w:noWrap/>
            <w:vAlign w:val="bottom"/>
            <w:hideMark/>
          </w:tcPr>
          <w:p w14:paraId="2DDF43F6" w14:textId="77777777" w:rsidR="00AA3F9A" w:rsidRPr="004C2CEC" w:rsidRDefault="00AA3F9A" w:rsidP="00C5653F">
            <w:pPr>
              <w:rPr>
                <w:color w:val="000000"/>
                <w:sz w:val="16"/>
              </w:rPr>
            </w:pPr>
          </w:p>
        </w:tc>
        <w:tc>
          <w:tcPr>
            <w:tcW w:w="1120" w:type="dxa"/>
            <w:tcBorders>
              <w:top w:val="nil"/>
              <w:left w:val="single" w:sz="4" w:space="0" w:color="auto"/>
              <w:bottom w:val="nil"/>
              <w:right w:val="double" w:sz="6" w:space="0" w:color="auto"/>
            </w:tcBorders>
            <w:shd w:val="clear" w:color="auto" w:fill="auto"/>
            <w:noWrap/>
            <w:vAlign w:val="bottom"/>
            <w:hideMark/>
          </w:tcPr>
          <w:p w14:paraId="693F0CB5" w14:textId="77777777" w:rsidR="00AA3F9A" w:rsidRPr="004C2CEC" w:rsidRDefault="00AA3F9A" w:rsidP="00C5653F">
            <w:pPr>
              <w:jc w:val="right"/>
              <w:rPr>
                <w:sz w:val="16"/>
              </w:rPr>
            </w:pPr>
            <w:r w:rsidRPr="004C2CEC">
              <w:rPr>
                <w:sz w:val="16"/>
              </w:rPr>
              <w:t xml:space="preserve">13.965 </w:t>
            </w:r>
          </w:p>
        </w:tc>
        <w:tc>
          <w:tcPr>
            <w:tcW w:w="1120" w:type="dxa"/>
            <w:tcBorders>
              <w:top w:val="nil"/>
              <w:left w:val="nil"/>
              <w:bottom w:val="nil"/>
              <w:right w:val="nil"/>
            </w:tcBorders>
            <w:shd w:val="clear" w:color="auto" w:fill="auto"/>
            <w:noWrap/>
            <w:vAlign w:val="bottom"/>
            <w:hideMark/>
          </w:tcPr>
          <w:p w14:paraId="32D75B83" w14:textId="77777777" w:rsidR="00AA3F9A" w:rsidRPr="004C2CEC" w:rsidRDefault="00AA3F9A" w:rsidP="00C5653F">
            <w:pPr>
              <w:jc w:val="right"/>
              <w:rPr>
                <w:sz w:val="16"/>
              </w:rPr>
            </w:pPr>
            <w:r w:rsidRPr="004C2CEC">
              <w:rPr>
                <w:sz w:val="16"/>
              </w:rPr>
              <w:t xml:space="preserve">2.123 </w:t>
            </w:r>
          </w:p>
        </w:tc>
        <w:tc>
          <w:tcPr>
            <w:tcW w:w="1120" w:type="dxa"/>
            <w:tcBorders>
              <w:top w:val="nil"/>
              <w:left w:val="single" w:sz="4" w:space="0" w:color="auto"/>
              <w:bottom w:val="nil"/>
              <w:right w:val="single" w:sz="4" w:space="0" w:color="auto"/>
            </w:tcBorders>
            <w:shd w:val="clear" w:color="auto" w:fill="auto"/>
            <w:noWrap/>
            <w:vAlign w:val="bottom"/>
            <w:hideMark/>
          </w:tcPr>
          <w:p w14:paraId="0ADE8FAD" w14:textId="77777777" w:rsidR="00AA3F9A" w:rsidRPr="004C2CEC" w:rsidRDefault="00AA3F9A" w:rsidP="00C5653F">
            <w:pPr>
              <w:rPr>
                <w:sz w:val="16"/>
              </w:rPr>
            </w:pPr>
            <w:r w:rsidRPr="004C2CEC">
              <w:rPr>
                <w:sz w:val="16"/>
              </w:rPr>
              <w:t> </w:t>
            </w:r>
          </w:p>
        </w:tc>
        <w:tc>
          <w:tcPr>
            <w:tcW w:w="1120" w:type="dxa"/>
            <w:tcBorders>
              <w:top w:val="nil"/>
              <w:left w:val="nil"/>
              <w:bottom w:val="nil"/>
              <w:right w:val="single" w:sz="4" w:space="0" w:color="auto"/>
            </w:tcBorders>
            <w:shd w:val="clear" w:color="auto" w:fill="auto"/>
            <w:noWrap/>
            <w:vAlign w:val="bottom"/>
            <w:hideMark/>
          </w:tcPr>
          <w:p w14:paraId="173AA695" w14:textId="77777777" w:rsidR="00AA3F9A" w:rsidRPr="004C2CEC" w:rsidRDefault="00AA3F9A" w:rsidP="00C5653F">
            <w:pPr>
              <w:jc w:val="right"/>
              <w:rPr>
                <w:color w:val="000000"/>
                <w:sz w:val="16"/>
              </w:rPr>
            </w:pPr>
            <w:r w:rsidRPr="004C2CEC">
              <w:rPr>
                <w:color w:val="000000"/>
                <w:sz w:val="16"/>
              </w:rPr>
              <w:t xml:space="preserve">11.337 </w:t>
            </w:r>
          </w:p>
        </w:tc>
      </w:tr>
      <w:tr w:rsidR="00AE6F90" w14:paraId="1AAAD263" w14:textId="77777777" w:rsidTr="00C5653F">
        <w:trPr>
          <w:trHeight w:val="300"/>
        </w:trPr>
        <w:tc>
          <w:tcPr>
            <w:tcW w:w="2260" w:type="dxa"/>
            <w:tcBorders>
              <w:top w:val="nil"/>
              <w:left w:val="single" w:sz="4" w:space="0" w:color="auto"/>
              <w:bottom w:val="nil"/>
              <w:right w:val="single" w:sz="4" w:space="0" w:color="auto"/>
            </w:tcBorders>
            <w:shd w:val="clear" w:color="auto" w:fill="auto"/>
            <w:noWrap/>
            <w:vAlign w:val="bottom"/>
            <w:hideMark/>
          </w:tcPr>
          <w:p w14:paraId="1033CDF2" w14:textId="77777777" w:rsidR="00AA3F9A" w:rsidRPr="004C2CEC" w:rsidRDefault="00AA3F9A" w:rsidP="00C5653F">
            <w:pPr>
              <w:rPr>
                <w:sz w:val="16"/>
              </w:rPr>
            </w:pPr>
            <w:r w:rsidRPr="004C2CEC">
              <w:rPr>
                <w:sz w:val="16"/>
              </w:rPr>
              <w:t>Black River Technology Inc.</w:t>
            </w:r>
          </w:p>
        </w:tc>
        <w:tc>
          <w:tcPr>
            <w:tcW w:w="1120" w:type="dxa"/>
            <w:tcBorders>
              <w:top w:val="nil"/>
              <w:left w:val="nil"/>
              <w:bottom w:val="nil"/>
              <w:right w:val="single" w:sz="4" w:space="0" w:color="auto"/>
            </w:tcBorders>
            <w:shd w:val="clear" w:color="auto" w:fill="auto"/>
            <w:noWrap/>
            <w:vAlign w:val="bottom"/>
            <w:hideMark/>
          </w:tcPr>
          <w:p w14:paraId="2E707855"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single" w:sz="4" w:space="0" w:color="auto"/>
            </w:tcBorders>
            <w:shd w:val="clear" w:color="auto" w:fill="auto"/>
            <w:noWrap/>
            <w:vAlign w:val="bottom"/>
            <w:hideMark/>
          </w:tcPr>
          <w:p w14:paraId="2BC5304B"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double" w:sz="6" w:space="0" w:color="auto"/>
            </w:tcBorders>
            <w:shd w:val="clear" w:color="auto" w:fill="auto"/>
            <w:noWrap/>
            <w:vAlign w:val="bottom"/>
            <w:hideMark/>
          </w:tcPr>
          <w:p w14:paraId="46DA77CD" w14:textId="77777777" w:rsidR="00AA3F9A" w:rsidRPr="004C2CEC" w:rsidRDefault="00AA3F9A" w:rsidP="00C5653F">
            <w:pPr>
              <w:jc w:val="right"/>
              <w:rPr>
                <w:sz w:val="16"/>
              </w:rPr>
            </w:pPr>
            <w:r w:rsidRPr="004C2CEC">
              <w:rPr>
                <w:sz w:val="16"/>
              </w:rPr>
              <w:t xml:space="preserve">65.486 </w:t>
            </w:r>
          </w:p>
        </w:tc>
        <w:tc>
          <w:tcPr>
            <w:tcW w:w="1120" w:type="dxa"/>
            <w:tcBorders>
              <w:top w:val="nil"/>
              <w:left w:val="nil"/>
              <w:bottom w:val="nil"/>
              <w:right w:val="nil"/>
            </w:tcBorders>
            <w:shd w:val="clear" w:color="auto" w:fill="auto"/>
            <w:noWrap/>
            <w:vAlign w:val="bottom"/>
            <w:hideMark/>
          </w:tcPr>
          <w:p w14:paraId="4632C30C" w14:textId="77777777" w:rsidR="00AA3F9A" w:rsidRPr="004C2CEC" w:rsidRDefault="00AA3F9A" w:rsidP="00C5653F">
            <w:pPr>
              <w:jc w:val="right"/>
              <w:rPr>
                <w:sz w:val="16"/>
              </w:rPr>
            </w:pPr>
            <w:r w:rsidRPr="004C2CEC">
              <w:rPr>
                <w:sz w:val="16"/>
              </w:rPr>
              <w:t xml:space="preserve">58.945 </w:t>
            </w:r>
          </w:p>
        </w:tc>
        <w:tc>
          <w:tcPr>
            <w:tcW w:w="1120" w:type="dxa"/>
            <w:tcBorders>
              <w:top w:val="nil"/>
              <w:left w:val="single" w:sz="4" w:space="0" w:color="auto"/>
              <w:bottom w:val="nil"/>
              <w:right w:val="single" w:sz="4" w:space="0" w:color="auto"/>
            </w:tcBorders>
            <w:shd w:val="clear" w:color="auto" w:fill="auto"/>
            <w:noWrap/>
            <w:vAlign w:val="bottom"/>
            <w:hideMark/>
          </w:tcPr>
          <w:p w14:paraId="24717974" w14:textId="77777777" w:rsidR="00AA3F9A" w:rsidRPr="004C2CEC" w:rsidRDefault="00AA3F9A" w:rsidP="00C5653F">
            <w:pPr>
              <w:rPr>
                <w:sz w:val="16"/>
              </w:rPr>
            </w:pPr>
            <w:r w:rsidRPr="004C2CEC">
              <w:rPr>
                <w:sz w:val="16"/>
              </w:rPr>
              <w:t> </w:t>
            </w:r>
          </w:p>
        </w:tc>
        <w:tc>
          <w:tcPr>
            <w:tcW w:w="1120" w:type="dxa"/>
            <w:tcBorders>
              <w:top w:val="nil"/>
              <w:left w:val="nil"/>
              <w:bottom w:val="nil"/>
              <w:right w:val="single" w:sz="4" w:space="0" w:color="auto"/>
            </w:tcBorders>
            <w:shd w:val="clear" w:color="auto" w:fill="auto"/>
            <w:noWrap/>
            <w:vAlign w:val="bottom"/>
            <w:hideMark/>
          </w:tcPr>
          <w:p w14:paraId="304D25AB" w14:textId="77777777" w:rsidR="00AA3F9A" w:rsidRPr="004C2CEC" w:rsidRDefault="00AA3F9A" w:rsidP="00C5653F">
            <w:pPr>
              <w:jc w:val="right"/>
              <w:rPr>
                <w:sz w:val="16"/>
              </w:rPr>
            </w:pPr>
            <w:r w:rsidRPr="004C2CEC">
              <w:rPr>
                <w:sz w:val="16"/>
              </w:rPr>
              <w:t xml:space="preserve">0 </w:t>
            </w:r>
          </w:p>
        </w:tc>
      </w:tr>
      <w:tr w:rsidR="00AE6F90" w14:paraId="2C4A8B52" w14:textId="77777777" w:rsidTr="00C5653F">
        <w:trPr>
          <w:trHeight w:val="300"/>
        </w:trPr>
        <w:tc>
          <w:tcPr>
            <w:tcW w:w="2260" w:type="dxa"/>
            <w:tcBorders>
              <w:top w:val="nil"/>
              <w:left w:val="single" w:sz="4" w:space="0" w:color="auto"/>
              <w:bottom w:val="nil"/>
              <w:right w:val="single" w:sz="4" w:space="0" w:color="auto"/>
            </w:tcBorders>
            <w:shd w:val="clear" w:color="auto" w:fill="auto"/>
            <w:noWrap/>
            <w:vAlign w:val="bottom"/>
            <w:hideMark/>
          </w:tcPr>
          <w:p w14:paraId="2655DB76" w14:textId="77777777" w:rsidR="00AA3F9A" w:rsidRPr="004C2CEC" w:rsidRDefault="00AA3F9A" w:rsidP="00C5653F">
            <w:pPr>
              <w:rPr>
                <w:sz w:val="16"/>
              </w:rPr>
            </w:pPr>
            <w:r w:rsidRPr="004C2CEC">
              <w:rPr>
                <w:sz w:val="16"/>
              </w:rPr>
              <w:t>Eólica Rionegrina S.A.</w:t>
            </w:r>
          </w:p>
        </w:tc>
        <w:tc>
          <w:tcPr>
            <w:tcW w:w="1120" w:type="dxa"/>
            <w:tcBorders>
              <w:top w:val="nil"/>
              <w:left w:val="nil"/>
              <w:bottom w:val="nil"/>
              <w:right w:val="single" w:sz="4" w:space="0" w:color="auto"/>
            </w:tcBorders>
            <w:shd w:val="clear" w:color="auto" w:fill="auto"/>
            <w:noWrap/>
            <w:vAlign w:val="bottom"/>
            <w:hideMark/>
          </w:tcPr>
          <w:p w14:paraId="46D0F9E2" w14:textId="77777777" w:rsidR="00AA3F9A" w:rsidRPr="004C2CEC" w:rsidRDefault="00AA3F9A" w:rsidP="00C5653F">
            <w:pPr>
              <w:jc w:val="right"/>
              <w:rPr>
                <w:sz w:val="16"/>
              </w:rPr>
            </w:pPr>
            <w:r w:rsidRPr="004C2CEC">
              <w:rPr>
                <w:sz w:val="16"/>
              </w:rPr>
              <w:t xml:space="preserve">2.000 </w:t>
            </w:r>
          </w:p>
        </w:tc>
        <w:tc>
          <w:tcPr>
            <w:tcW w:w="1120" w:type="dxa"/>
            <w:tcBorders>
              <w:top w:val="nil"/>
              <w:left w:val="nil"/>
              <w:bottom w:val="nil"/>
              <w:right w:val="single" w:sz="4" w:space="0" w:color="auto"/>
            </w:tcBorders>
            <w:shd w:val="clear" w:color="auto" w:fill="auto"/>
            <w:noWrap/>
            <w:vAlign w:val="bottom"/>
            <w:hideMark/>
          </w:tcPr>
          <w:p w14:paraId="5A0F3FE5"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double" w:sz="6" w:space="0" w:color="auto"/>
            </w:tcBorders>
            <w:shd w:val="clear" w:color="auto" w:fill="auto"/>
            <w:noWrap/>
            <w:vAlign w:val="bottom"/>
            <w:hideMark/>
          </w:tcPr>
          <w:p w14:paraId="16132A82"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nil"/>
            </w:tcBorders>
            <w:shd w:val="clear" w:color="auto" w:fill="auto"/>
            <w:noWrap/>
            <w:vAlign w:val="bottom"/>
            <w:hideMark/>
          </w:tcPr>
          <w:p w14:paraId="7852696E" w14:textId="77777777" w:rsidR="00AA3F9A" w:rsidRPr="004C2CEC" w:rsidRDefault="00AA3F9A" w:rsidP="00C5653F">
            <w:pPr>
              <w:jc w:val="right"/>
              <w:rPr>
                <w:sz w:val="16"/>
              </w:rPr>
            </w:pPr>
            <w:r w:rsidRPr="004C2CEC">
              <w:rPr>
                <w:sz w:val="16"/>
              </w:rPr>
              <w:t xml:space="preserve">0 </w:t>
            </w:r>
          </w:p>
        </w:tc>
        <w:tc>
          <w:tcPr>
            <w:tcW w:w="1120" w:type="dxa"/>
            <w:tcBorders>
              <w:top w:val="nil"/>
              <w:left w:val="single" w:sz="4" w:space="0" w:color="auto"/>
              <w:bottom w:val="nil"/>
              <w:right w:val="single" w:sz="4" w:space="0" w:color="auto"/>
            </w:tcBorders>
            <w:shd w:val="clear" w:color="auto" w:fill="auto"/>
            <w:noWrap/>
            <w:vAlign w:val="bottom"/>
            <w:hideMark/>
          </w:tcPr>
          <w:p w14:paraId="0CA3A79C" w14:textId="77777777" w:rsidR="00AA3F9A" w:rsidRPr="004C2CEC" w:rsidRDefault="00AA3F9A" w:rsidP="00C5653F">
            <w:pPr>
              <w:rPr>
                <w:sz w:val="16"/>
              </w:rPr>
            </w:pPr>
            <w:r w:rsidRPr="004C2CEC">
              <w:rPr>
                <w:sz w:val="16"/>
              </w:rPr>
              <w:t> </w:t>
            </w:r>
          </w:p>
        </w:tc>
        <w:tc>
          <w:tcPr>
            <w:tcW w:w="1120" w:type="dxa"/>
            <w:tcBorders>
              <w:top w:val="nil"/>
              <w:left w:val="nil"/>
              <w:bottom w:val="nil"/>
              <w:right w:val="single" w:sz="4" w:space="0" w:color="auto"/>
            </w:tcBorders>
            <w:shd w:val="clear" w:color="auto" w:fill="auto"/>
            <w:noWrap/>
            <w:vAlign w:val="bottom"/>
            <w:hideMark/>
          </w:tcPr>
          <w:p w14:paraId="7D61CEE1" w14:textId="77777777" w:rsidR="00AA3F9A" w:rsidRPr="004C2CEC" w:rsidRDefault="00AA3F9A" w:rsidP="00C5653F">
            <w:pPr>
              <w:jc w:val="right"/>
              <w:rPr>
                <w:sz w:val="16"/>
              </w:rPr>
            </w:pPr>
            <w:r w:rsidRPr="004C2CEC">
              <w:rPr>
                <w:sz w:val="16"/>
              </w:rPr>
              <w:t xml:space="preserve">568 </w:t>
            </w:r>
          </w:p>
        </w:tc>
      </w:tr>
      <w:tr w:rsidR="00AE6F90" w14:paraId="63C6F611" w14:textId="77777777" w:rsidTr="00C5653F">
        <w:trPr>
          <w:trHeight w:val="300"/>
        </w:trPr>
        <w:tc>
          <w:tcPr>
            <w:tcW w:w="2260" w:type="dxa"/>
            <w:tcBorders>
              <w:top w:val="nil"/>
              <w:left w:val="single" w:sz="4" w:space="0" w:color="auto"/>
              <w:bottom w:val="nil"/>
              <w:right w:val="single" w:sz="4" w:space="0" w:color="auto"/>
            </w:tcBorders>
            <w:shd w:val="clear" w:color="auto" w:fill="auto"/>
            <w:noWrap/>
            <w:vAlign w:val="bottom"/>
            <w:hideMark/>
          </w:tcPr>
          <w:p w14:paraId="42CF8CC0" w14:textId="63725A9F" w:rsidR="00AA3F9A" w:rsidRPr="004C2CEC" w:rsidRDefault="00AA3F9A" w:rsidP="00C5653F">
            <w:pPr>
              <w:rPr>
                <w:sz w:val="16"/>
              </w:rPr>
            </w:pPr>
            <w:r w:rsidRPr="004C2CEC">
              <w:rPr>
                <w:sz w:val="16"/>
              </w:rPr>
              <w:t>Frontec S.A.U</w:t>
            </w:r>
            <w:r w:rsidR="00776A7F">
              <w:rPr>
                <w:sz w:val="16"/>
                <w:szCs w:val="16"/>
              </w:rPr>
              <w:t>.</w:t>
            </w:r>
          </w:p>
        </w:tc>
        <w:tc>
          <w:tcPr>
            <w:tcW w:w="1120" w:type="dxa"/>
            <w:tcBorders>
              <w:top w:val="nil"/>
              <w:left w:val="nil"/>
              <w:bottom w:val="nil"/>
              <w:right w:val="single" w:sz="4" w:space="0" w:color="auto"/>
            </w:tcBorders>
            <w:shd w:val="clear" w:color="auto" w:fill="auto"/>
            <w:noWrap/>
            <w:vAlign w:val="bottom"/>
            <w:hideMark/>
          </w:tcPr>
          <w:p w14:paraId="2F5771ED" w14:textId="77777777" w:rsidR="00AA3F9A" w:rsidRPr="004C2CEC" w:rsidRDefault="00AA3F9A" w:rsidP="00C5653F">
            <w:pPr>
              <w:jc w:val="right"/>
              <w:rPr>
                <w:sz w:val="16"/>
              </w:rPr>
            </w:pPr>
            <w:r w:rsidRPr="004C2CEC">
              <w:rPr>
                <w:sz w:val="16"/>
              </w:rPr>
              <w:t xml:space="preserve">2.006 </w:t>
            </w:r>
          </w:p>
        </w:tc>
        <w:tc>
          <w:tcPr>
            <w:tcW w:w="1120" w:type="dxa"/>
            <w:tcBorders>
              <w:top w:val="nil"/>
              <w:left w:val="nil"/>
              <w:bottom w:val="nil"/>
              <w:right w:val="nil"/>
            </w:tcBorders>
            <w:shd w:val="clear" w:color="auto" w:fill="auto"/>
            <w:noWrap/>
            <w:vAlign w:val="bottom"/>
            <w:hideMark/>
          </w:tcPr>
          <w:p w14:paraId="48BA5236" w14:textId="77777777" w:rsidR="00AA3F9A" w:rsidRPr="004C2CEC" w:rsidRDefault="00AA3F9A" w:rsidP="00C5653F">
            <w:pPr>
              <w:rPr>
                <w:color w:val="000000"/>
                <w:sz w:val="16"/>
              </w:rPr>
            </w:pPr>
          </w:p>
        </w:tc>
        <w:tc>
          <w:tcPr>
            <w:tcW w:w="1120" w:type="dxa"/>
            <w:tcBorders>
              <w:top w:val="nil"/>
              <w:left w:val="single" w:sz="4" w:space="0" w:color="auto"/>
              <w:bottom w:val="nil"/>
              <w:right w:val="double" w:sz="6" w:space="0" w:color="auto"/>
            </w:tcBorders>
            <w:shd w:val="clear" w:color="auto" w:fill="auto"/>
            <w:noWrap/>
            <w:vAlign w:val="bottom"/>
            <w:hideMark/>
          </w:tcPr>
          <w:p w14:paraId="2EF0B58A"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nil"/>
            </w:tcBorders>
            <w:shd w:val="clear" w:color="auto" w:fill="auto"/>
            <w:noWrap/>
            <w:vAlign w:val="bottom"/>
            <w:hideMark/>
          </w:tcPr>
          <w:p w14:paraId="63713364" w14:textId="77777777" w:rsidR="00AA3F9A" w:rsidRPr="004C2CEC" w:rsidRDefault="00AA3F9A" w:rsidP="00C5653F">
            <w:pPr>
              <w:jc w:val="right"/>
              <w:rPr>
                <w:sz w:val="16"/>
              </w:rPr>
            </w:pPr>
            <w:r w:rsidRPr="004C2CEC">
              <w:rPr>
                <w:sz w:val="16"/>
              </w:rPr>
              <w:t xml:space="preserve">6.871 </w:t>
            </w:r>
          </w:p>
        </w:tc>
        <w:tc>
          <w:tcPr>
            <w:tcW w:w="1120" w:type="dxa"/>
            <w:tcBorders>
              <w:top w:val="nil"/>
              <w:left w:val="single" w:sz="4" w:space="0" w:color="auto"/>
              <w:bottom w:val="nil"/>
              <w:right w:val="single" w:sz="4" w:space="0" w:color="auto"/>
            </w:tcBorders>
            <w:shd w:val="clear" w:color="auto" w:fill="auto"/>
            <w:noWrap/>
            <w:vAlign w:val="bottom"/>
            <w:hideMark/>
          </w:tcPr>
          <w:p w14:paraId="08CD6F61" w14:textId="77777777" w:rsidR="00AA3F9A" w:rsidRPr="004C2CEC" w:rsidRDefault="00AA3F9A" w:rsidP="00C5653F">
            <w:pPr>
              <w:rPr>
                <w:sz w:val="16"/>
              </w:rPr>
            </w:pPr>
            <w:r w:rsidRPr="004C2CEC">
              <w:rPr>
                <w:sz w:val="16"/>
              </w:rPr>
              <w:t> </w:t>
            </w:r>
          </w:p>
        </w:tc>
        <w:tc>
          <w:tcPr>
            <w:tcW w:w="1120" w:type="dxa"/>
            <w:tcBorders>
              <w:top w:val="nil"/>
              <w:left w:val="nil"/>
              <w:bottom w:val="nil"/>
              <w:right w:val="single" w:sz="4" w:space="0" w:color="auto"/>
            </w:tcBorders>
            <w:shd w:val="clear" w:color="auto" w:fill="auto"/>
            <w:noWrap/>
            <w:vAlign w:val="bottom"/>
            <w:hideMark/>
          </w:tcPr>
          <w:p w14:paraId="4C368CDE" w14:textId="77777777" w:rsidR="00AA3F9A" w:rsidRPr="004C2CEC" w:rsidRDefault="00AA3F9A" w:rsidP="00C5653F">
            <w:pPr>
              <w:jc w:val="right"/>
              <w:rPr>
                <w:sz w:val="16"/>
              </w:rPr>
            </w:pPr>
            <w:r w:rsidRPr="004C2CEC">
              <w:rPr>
                <w:sz w:val="16"/>
              </w:rPr>
              <w:t xml:space="preserve">7.929 </w:t>
            </w:r>
          </w:p>
        </w:tc>
      </w:tr>
      <w:tr w:rsidR="00AE6F90" w14:paraId="3334A656" w14:textId="77777777" w:rsidTr="00C5653F">
        <w:trPr>
          <w:trHeight w:val="300"/>
        </w:trPr>
        <w:tc>
          <w:tcPr>
            <w:tcW w:w="2260" w:type="dxa"/>
            <w:tcBorders>
              <w:top w:val="nil"/>
              <w:left w:val="single" w:sz="4" w:space="0" w:color="auto"/>
              <w:bottom w:val="nil"/>
              <w:right w:val="single" w:sz="4" w:space="0" w:color="auto"/>
            </w:tcBorders>
            <w:shd w:val="clear" w:color="auto" w:fill="auto"/>
            <w:noWrap/>
            <w:vAlign w:val="bottom"/>
            <w:hideMark/>
          </w:tcPr>
          <w:p w14:paraId="62DAC6B6" w14:textId="77777777" w:rsidR="00AA3F9A" w:rsidRPr="004C2CEC" w:rsidRDefault="00AA3F9A" w:rsidP="00C5653F">
            <w:pPr>
              <w:rPr>
                <w:sz w:val="16"/>
              </w:rPr>
            </w:pPr>
            <w:r w:rsidRPr="004C2CEC">
              <w:rPr>
                <w:sz w:val="16"/>
              </w:rPr>
              <w:t>Invap Nederland B.V.</w:t>
            </w:r>
          </w:p>
        </w:tc>
        <w:tc>
          <w:tcPr>
            <w:tcW w:w="1120" w:type="dxa"/>
            <w:tcBorders>
              <w:top w:val="nil"/>
              <w:left w:val="nil"/>
              <w:bottom w:val="nil"/>
              <w:right w:val="single" w:sz="4" w:space="0" w:color="auto"/>
            </w:tcBorders>
            <w:shd w:val="clear" w:color="auto" w:fill="auto"/>
            <w:noWrap/>
            <w:vAlign w:val="bottom"/>
            <w:hideMark/>
          </w:tcPr>
          <w:p w14:paraId="7E061A77" w14:textId="77777777" w:rsidR="00AA3F9A" w:rsidRPr="004C2CEC" w:rsidRDefault="00AA3F9A" w:rsidP="00C5653F">
            <w:pPr>
              <w:jc w:val="right"/>
              <w:rPr>
                <w:sz w:val="16"/>
              </w:rPr>
            </w:pPr>
            <w:r w:rsidRPr="004C2CEC">
              <w:rPr>
                <w:sz w:val="16"/>
              </w:rPr>
              <w:t xml:space="preserve">133.125 </w:t>
            </w:r>
          </w:p>
        </w:tc>
        <w:tc>
          <w:tcPr>
            <w:tcW w:w="1120" w:type="dxa"/>
            <w:tcBorders>
              <w:top w:val="nil"/>
              <w:left w:val="nil"/>
              <w:bottom w:val="nil"/>
              <w:right w:val="single" w:sz="4" w:space="0" w:color="auto"/>
            </w:tcBorders>
            <w:shd w:val="clear" w:color="auto" w:fill="auto"/>
            <w:noWrap/>
            <w:vAlign w:val="bottom"/>
            <w:hideMark/>
          </w:tcPr>
          <w:p w14:paraId="4B324C14"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double" w:sz="6" w:space="0" w:color="auto"/>
            </w:tcBorders>
            <w:shd w:val="clear" w:color="auto" w:fill="auto"/>
            <w:noWrap/>
            <w:vAlign w:val="bottom"/>
            <w:hideMark/>
          </w:tcPr>
          <w:p w14:paraId="639D770D"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nil"/>
            </w:tcBorders>
            <w:shd w:val="clear" w:color="auto" w:fill="auto"/>
            <w:noWrap/>
            <w:vAlign w:val="bottom"/>
            <w:hideMark/>
          </w:tcPr>
          <w:p w14:paraId="2AED1B1F" w14:textId="77777777" w:rsidR="00AA3F9A" w:rsidRPr="004C2CEC" w:rsidRDefault="00AA3F9A" w:rsidP="00C5653F">
            <w:pPr>
              <w:jc w:val="right"/>
              <w:rPr>
                <w:sz w:val="16"/>
              </w:rPr>
            </w:pPr>
            <w:r w:rsidRPr="004C2CEC">
              <w:rPr>
                <w:sz w:val="16"/>
              </w:rPr>
              <w:t xml:space="preserve">102.127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5362F3A" w14:textId="77777777" w:rsidR="00AA3F9A" w:rsidRPr="004C2CEC" w:rsidRDefault="00AA3F9A" w:rsidP="00C5653F">
            <w:pPr>
              <w:rPr>
                <w:sz w:val="16"/>
              </w:rPr>
            </w:pPr>
            <w:r w:rsidRPr="004C2CEC">
              <w:rPr>
                <w:sz w:val="16"/>
              </w:rPr>
              <w:t> </w:t>
            </w:r>
          </w:p>
        </w:tc>
        <w:tc>
          <w:tcPr>
            <w:tcW w:w="1120" w:type="dxa"/>
            <w:tcBorders>
              <w:top w:val="nil"/>
              <w:left w:val="nil"/>
              <w:bottom w:val="nil"/>
              <w:right w:val="single" w:sz="4" w:space="0" w:color="auto"/>
            </w:tcBorders>
            <w:shd w:val="clear" w:color="auto" w:fill="auto"/>
            <w:noWrap/>
            <w:vAlign w:val="bottom"/>
            <w:hideMark/>
          </w:tcPr>
          <w:p w14:paraId="6ABEC266" w14:textId="77777777" w:rsidR="00AA3F9A" w:rsidRPr="004C2CEC" w:rsidRDefault="00AA3F9A" w:rsidP="00C5653F">
            <w:pPr>
              <w:jc w:val="right"/>
              <w:rPr>
                <w:sz w:val="16"/>
              </w:rPr>
            </w:pPr>
            <w:r w:rsidRPr="004C2CEC">
              <w:rPr>
                <w:sz w:val="16"/>
              </w:rPr>
              <w:t xml:space="preserve">1.223 </w:t>
            </w:r>
          </w:p>
        </w:tc>
      </w:tr>
      <w:tr w:rsidR="00AE6F90" w14:paraId="4AD8C31F" w14:textId="77777777" w:rsidTr="00C5653F">
        <w:trPr>
          <w:trHeight w:val="315"/>
        </w:trPr>
        <w:tc>
          <w:tcPr>
            <w:tcW w:w="226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05DDFE92" w14:textId="77777777" w:rsidR="00AA3F9A" w:rsidRPr="004C2CEC" w:rsidRDefault="00AA3F9A" w:rsidP="00C5653F">
            <w:pPr>
              <w:rPr>
                <w:b/>
                <w:sz w:val="16"/>
              </w:rPr>
            </w:pPr>
            <w:r w:rsidRPr="004C2CEC">
              <w:rPr>
                <w:b/>
                <w:sz w:val="16"/>
              </w:rPr>
              <w:t>Total de créditos</w:t>
            </w:r>
          </w:p>
        </w:tc>
        <w:tc>
          <w:tcPr>
            <w:tcW w:w="1120" w:type="dxa"/>
            <w:tcBorders>
              <w:top w:val="single" w:sz="4" w:space="0" w:color="auto"/>
              <w:left w:val="nil"/>
              <w:bottom w:val="double" w:sz="6" w:space="0" w:color="auto"/>
              <w:right w:val="single" w:sz="4" w:space="0" w:color="auto"/>
            </w:tcBorders>
            <w:shd w:val="clear" w:color="auto" w:fill="auto"/>
            <w:noWrap/>
            <w:vAlign w:val="bottom"/>
            <w:hideMark/>
          </w:tcPr>
          <w:p w14:paraId="307BEBE6" w14:textId="77777777" w:rsidR="00AA3F9A" w:rsidRPr="004C2CEC" w:rsidRDefault="00AA3F9A" w:rsidP="00C5653F">
            <w:pPr>
              <w:jc w:val="right"/>
              <w:rPr>
                <w:b/>
                <w:sz w:val="16"/>
              </w:rPr>
            </w:pPr>
            <w:r w:rsidRPr="004C2CEC">
              <w:rPr>
                <w:b/>
                <w:sz w:val="16"/>
              </w:rPr>
              <w:t xml:space="preserve">137.800 </w:t>
            </w:r>
          </w:p>
        </w:tc>
        <w:tc>
          <w:tcPr>
            <w:tcW w:w="1120" w:type="dxa"/>
            <w:tcBorders>
              <w:top w:val="single" w:sz="4" w:space="0" w:color="auto"/>
              <w:left w:val="nil"/>
              <w:bottom w:val="double" w:sz="6" w:space="0" w:color="auto"/>
              <w:right w:val="single" w:sz="4" w:space="0" w:color="auto"/>
            </w:tcBorders>
            <w:shd w:val="clear" w:color="auto" w:fill="auto"/>
            <w:noWrap/>
            <w:vAlign w:val="bottom"/>
            <w:hideMark/>
          </w:tcPr>
          <w:p w14:paraId="1D15ADA0" w14:textId="77777777" w:rsidR="00AA3F9A" w:rsidRPr="004C2CEC" w:rsidRDefault="00AA3F9A" w:rsidP="00C5653F">
            <w:pPr>
              <w:jc w:val="right"/>
              <w:rPr>
                <w:b/>
                <w:sz w:val="16"/>
              </w:rPr>
            </w:pPr>
            <w:r w:rsidRPr="004C2CEC">
              <w:rPr>
                <w:b/>
                <w:sz w:val="16"/>
              </w:rPr>
              <w:t xml:space="preserve">0 </w:t>
            </w:r>
          </w:p>
        </w:tc>
        <w:tc>
          <w:tcPr>
            <w:tcW w:w="1120" w:type="dxa"/>
            <w:tcBorders>
              <w:top w:val="single" w:sz="4" w:space="0" w:color="auto"/>
              <w:left w:val="nil"/>
              <w:bottom w:val="double" w:sz="6" w:space="0" w:color="auto"/>
              <w:right w:val="double" w:sz="6" w:space="0" w:color="auto"/>
            </w:tcBorders>
            <w:shd w:val="clear" w:color="auto" w:fill="auto"/>
            <w:noWrap/>
            <w:vAlign w:val="bottom"/>
            <w:hideMark/>
          </w:tcPr>
          <w:p w14:paraId="63B28925" w14:textId="77777777" w:rsidR="00AA3F9A" w:rsidRPr="004C2CEC" w:rsidRDefault="00AA3F9A" w:rsidP="00C5653F">
            <w:pPr>
              <w:jc w:val="right"/>
              <w:rPr>
                <w:b/>
                <w:sz w:val="16"/>
              </w:rPr>
            </w:pPr>
            <w:r w:rsidRPr="004C2CEC">
              <w:rPr>
                <w:b/>
                <w:sz w:val="16"/>
              </w:rPr>
              <w:t xml:space="preserve">79.451 </w:t>
            </w:r>
          </w:p>
        </w:tc>
        <w:tc>
          <w:tcPr>
            <w:tcW w:w="1120" w:type="dxa"/>
            <w:tcBorders>
              <w:top w:val="single" w:sz="4" w:space="0" w:color="auto"/>
              <w:left w:val="nil"/>
              <w:bottom w:val="double" w:sz="6" w:space="0" w:color="auto"/>
              <w:right w:val="single" w:sz="4" w:space="0" w:color="auto"/>
            </w:tcBorders>
            <w:shd w:val="clear" w:color="auto" w:fill="auto"/>
            <w:noWrap/>
            <w:vAlign w:val="bottom"/>
            <w:hideMark/>
          </w:tcPr>
          <w:p w14:paraId="53444F38" w14:textId="77777777" w:rsidR="00AA3F9A" w:rsidRPr="004C2CEC" w:rsidRDefault="00AA3F9A" w:rsidP="00C5653F">
            <w:pPr>
              <w:jc w:val="right"/>
              <w:rPr>
                <w:b/>
                <w:sz w:val="16"/>
              </w:rPr>
            </w:pPr>
            <w:r w:rsidRPr="004C2CEC">
              <w:rPr>
                <w:b/>
                <w:sz w:val="16"/>
              </w:rPr>
              <w:t xml:space="preserve">170.066 </w:t>
            </w:r>
          </w:p>
        </w:tc>
        <w:tc>
          <w:tcPr>
            <w:tcW w:w="1120" w:type="dxa"/>
            <w:tcBorders>
              <w:top w:val="nil"/>
              <w:left w:val="nil"/>
              <w:bottom w:val="double" w:sz="6" w:space="0" w:color="auto"/>
              <w:right w:val="single" w:sz="4" w:space="0" w:color="auto"/>
            </w:tcBorders>
            <w:shd w:val="clear" w:color="auto" w:fill="auto"/>
            <w:noWrap/>
            <w:vAlign w:val="bottom"/>
            <w:hideMark/>
          </w:tcPr>
          <w:p w14:paraId="7E9FFE11" w14:textId="77777777" w:rsidR="00AA3F9A" w:rsidRPr="004C2CEC" w:rsidRDefault="00AA3F9A" w:rsidP="00C5653F">
            <w:pPr>
              <w:jc w:val="right"/>
              <w:rPr>
                <w:b/>
                <w:sz w:val="16"/>
              </w:rPr>
            </w:pPr>
            <w:r w:rsidRPr="004C2CEC">
              <w:rPr>
                <w:b/>
                <w:sz w:val="16"/>
              </w:rPr>
              <w:t xml:space="preserve">0 </w:t>
            </w:r>
          </w:p>
        </w:tc>
        <w:tc>
          <w:tcPr>
            <w:tcW w:w="1120" w:type="dxa"/>
            <w:tcBorders>
              <w:top w:val="single" w:sz="4" w:space="0" w:color="auto"/>
              <w:left w:val="nil"/>
              <w:bottom w:val="double" w:sz="6" w:space="0" w:color="auto"/>
              <w:right w:val="single" w:sz="4" w:space="0" w:color="auto"/>
            </w:tcBorders>
            <w:shd w:val="clear" w:color="auto" w:fill="auto"/>
            <w:noWrap/>
            <w:vAlign w:val="bottom"/>
            <w:hideMark/>
          </w:tcPr>
          <w:p w14:paraId="5AE2D380" w14:textId="77777777" w:rsidR="00AA3F9A" w:rsidRPr="004C2CEC" w:rsidRDefault="00AA3F9A" w:rsidP="00C5653F">
            <w:pPr>
              <w:jc w:val="right"/>
              <w:rPr>
                <w:b/>
                <w:sz w:val="16"/>
              </w:rPr>
            </w:pPr>
            <w:r w:rsidRPr="004C2CEC">
              <w:rPr>
                <w:b/>
                <w:sz w:val="16"/>
              </w:rPr>
              <w:t xml:space="preserve">21.057 </w:t>
            </w:r>
          </w:p>
        </w:tc>
      </w:tr>
      <w:tr w:rsidR="00AE6F90" w14:paraId="28FB1991" w14:textId="77777777" w:rsidTr="00C5653F">
        <w:trPr>
          <w:trHeight w:val="315"/>
        </w:trPr>
        <w:tc>
          <w:tcPr>
            <w:tcW w:w="2260" w:type="dxa"/>
            <w:tcBorders>
              <w:top w:val="nil"/>
              <w:left w:val="single" w:sz="4" w:space="0" w:color="auto"/>
              <w:bottom w:val="nil"/>
              <w:right w:val="single" w:sz="4" w:space="0" w:color="auto"/>
            </w:tcBorders>
            <w:shd w:val="clear" w:color="auto" w:fill="auto"/>
            <w:noWrap/>
            <w:vAlign w:val="bottom"/>
            <w:hideMark/>
          </w:tcPr>
          <w:p w14:paraId="78C24C22" w14:textId="77777777" w:rsidR="00AA3F9A" w:rsidRPr="004C2CEC" w:rsidRDefault="00AA3F9A" w:rsidP="00C5653F">
            <w:pPr>
              <w:rPr>
                <w:sz w:val="16"/>
              </w:rPr>
            </w:pPr>
            <w:r w:rsidRPr="004C2CEC">
              <w:rPr>
                <w:sz w:val="16"/>
              </w:rPr>
              <w:t>Deudas empresas del Grupo:</w:t>
            </w:r>
          </w:p>
        </w:tc>
        <w:tc>
          <w:tcPr>
            <w:tcW w:w="1120" w:type="dxa"/>
            <w:tcBorders>
              <w:top w:val="nil"/>
              <w:left w:val="nil"/>
              <w:bottom w:val="nil"/>
              <w:right w:val="single" w:sz="4" w:space="0" w:color="auto"/>
            </w:tcBorders>
            <w:shd w:val="clear" w:color="auto" w:fill="auto"/>
            <w:noWrap/>
            <w:vAlign w:val="bottom"/>
            <w:hideMark/>
          </w:tcPr>
          <w:p w14:paraId="50EFA651" w14:textId="77777777" w:rsidR="00AA3F9A" w:rsidRPr="004C2CEC" w:rsidRDefault="00AA3F9A" w:rsidP="00C5653F">
            <w:pPr>
              <w:rPr>
                <w:sz w:val="16"/>
              </w:rPr>
            </w:pPr>
            <w:r w:rsidRPr="004C2CEC">
              <w:rPr>
                <w:sz w:val="16"/>
              </w:rPr>
              <w:t> </w:t>
            </w:r>
          </w:p>
        </w:tc>
        <w:tc>
          <w:tcPr>
            <w:tcW w:w="1120" w:type="dxa"/>
            <w:tcBorders>
              <w:top w:val="nil"/>
              <w:left w:val="nil"/>
              <w:bottom w:val="nil"/>
              <w:right w:val="single" w:sz="4" w:space="0" w:color="auto"/>
            </w:tcBorders>
            <w:shd w:val="clear" w:color="auto" w:fill="auto"/>
            <w:noWrap/>
            <w:vAlign w:val="bottom"/>
            <w:hideMark/>
          </w:tcPr>
          <w:p w14:paraId="14CC55E8" w14:textId="77777777" w:rsidR="00AA3F9A" w:rsidRPr="004C2CEC" w:rsidRDefault="00AA3F9A" w:rsidP="00C5653F">
            <w:pPr>
              <w:rPr>
                <w:sz w:val="16"/>
              </w:rPr>
            </w:pPr>
            <w:r w:rsidRPr="004C2CEC">
              <w:rPr>
                <w:sz w:val="16"/>
              </w:rPr>
              <w:t> </w:t>
            </w:r>
          </w:p>
        </w:tc>
        <w:tc>
          <w:tcPr>
            <w:tcW w:w="1120" w:type="dxa"/>
            <w:tcBorders>
              <w:top w:val="nil"/>
              <w:left w:val="nil"/>
              <w:bottom w:val="nil"/>
              <w:right w:val="double" w:sz="6" w:space="0" w:color="auto"/>
            </w:tcBorders>
            <w:shd w:val="clear" w:color="auto" w:fill="auto"/>
            <w:noWrap/>
            <w:vAlign w:val="bottom"/>
            <w:hideMark/>
          </w:tcPr>
          <w:p w14:paraId="7E086F02" w14:textId="77777777" w:rsidR="00AA3F9A" w:rsidRPr="004C2CEC" w:rsidRDefault="00AA3F9A" w:rsidP="00C5653F">
            <w:pPr>
              <w:rPr>
                <w:sz w:val="16"/>
              </w:rPr>
            </w:pPr>
            <w:r w:rsidRPr="004C2CEC">
              <w:rPr>
                <w:sz w:val="16"/>
              </w:rPr>
              <w:t> </w:t>
            </w:r>
          </w:p>
        </w:tc>
        <w:tc>
          <w:tcPr>
            <w:tcW w:w="1120" w:type="dxa"/>
            <w:tcBorders>
              <w:top w:val="nil"/>
              <w:left w:val="nil"/>
              <w:bottom w:val="nil"/>
              <w:right w:val="single" w:sz="4" w:space="0" w:color="auto"/>
            </w:tcBorders>
            <w:shd w:val="clear" w:color="auto" w:fill="auto"/>
            <w:noWrap/>
            <w:vAlign w:val="bottom"/>
            <w:hideMark/>
          </w:tcPr>
          <w:p w14:paraId="249795BE" w14:textId="77777777" w:rsidR="00AA3F9A" w:rsidRPr="004C2CEC" w:rsidRDefault="00AA3F9A" w:rsidP="00C5653F">
            <w:pPr>
              <w:rPr>
                <w:sz w:val="16"/>
              </w:rPr>
            </w:pPr>
            <w:r w:rsidRPr="004C2CEC">
              <w:rPr>
                <w:sz w:val="16"/>
              </w:rPr>
              <w:t> </w:t>
            </w:r>
          </w:p>
        </w:tc>
        <w:tc>
          <w:tcPr>
            <w:tcW w:w="1120" w:type="dxa"/>
            <w:tcBorders>
              <w:top w:val="nil"/>
              <w:left w:val="nil"/>
              <w:bottom w:val="nil"/>
              <w:right w:val="single" w:sz="4" w:space="0" w:color="auto"/>
            </w:tcBorders>
            <w:shd w:val="clear" w:color="auto" w:fill="auto"/>
            <w:noWrap/>
            <w:vAlign w:val="bottom"/>
            <w:hideMark/>
          </w:tcPr>
          <w:p w14:paraId="665850CB" w14:textId="77777777" w:rsidR="00AA3F9A" w:rsidRPr="004C2CEC" w:rsidRDefault="00AA3F9A" w:rsidP="00C5653F">
            <w:pPr>
              <w:rPr>
                <w:sz w:val="16"/>
              </w:rPr>
            </w:pPr>
            <w:r w:rsidRPr="004C2CEC">
              <w:rPr>
                <w:sz w:val="16"/>
              </w:rPr>
              <w:t> </w:t>
            </w:r>
          </w:p>
        </w:tc>
        <w:tc>
          <w:tcPr>
            <w:tcW w:w="1120" w:type="dxa"/>
            <w:tcBorders>
              <w:top w:val="nil"/>
              <w:left w:val="nil"/>
              <w:bottom w:val="nil"/>
              <w:right w:val="single" w:sz="4" w:space="0" w:color="auto"/>
            </w:tcBorders>
            <w:shd w:val="clear" w:color="auto" w:fill="auto"/>
            <w:noWrap/>
            <w:vAlign w:val="bottom"/>
            <w:hideMark/>
          </w:tcPr>
          <w:p w14:paraId="6520737B" w14:textId="77777777" w:rsidR="00AA3F9A" w:rsidRPr="004C2CEC" w:rsidRDefault="00AA3F9A" w:rsidP="00C5653F">
            <w:pPr>
              <w:rPr>
                <w:color w:val="000000"/>
                <w:sz w:val="16"/>
              </w:rPr>
            </w:pPr>
            <w:r w:rsidRPr="004C2CEC">
              <w:rPr>
                <w:color w:val="000000"/>
                <w:sz w:val="16"/>
              </w:rPr>
              <w:t> </w:t>
            </w:r>
          </w:p>
        </w:tc>
      </w:tr>
      <w:tr w:rsidR="00AE6F90" w14:paraId="693EE0C1" w14:textId="77777777" w:rsidTr="00C5653F">
        <w:trPr>
          <w:trHeight w:val="300"/>
        </w:trPr>
        <w:tc>
          <w:tcPr>
            <w:tcW w:w="2260" w:type="dxa"/>
            <w:tcBorders>
              <w:top w:val="nil"/>
              <w:left w:val="single" w:sz="4" w:space="0" w:color="auto"/>
              <w:bottom w:val="nil"/>
              <w:right w:val="single" w:sz="4" w:space="0" w:color="auto"/>
            </w:tcBorders>
            <w:shd w:val="clear" w:color="auto" w:fill="auto"/>
            <w:noWrap/>
            <w:vAlign w:val="bottom"/>
            <w:hideMark/>
          </w:tcPr>
          <w:p w14:paraId="44108806" w14:textId="77777777" w:rsidR="00AA3F9A" w:rsidRPr="004C2CEC" w:rsidRDefault="00AA3F9A" w:rsidP="00C5653F">
            <w:pPr>
              <w:rPr>
                <w:sz w:val="16"/>
              </w:rPr>
            </w:pPr>
            <w:r w:rsidRPr="004C2CEC">
              <w:rPr>
                <w:sz w:val="16"/>
              </w:rPr>
              <w:t>Invap Ingeniería S.A.</w:t>
            </w:r>
          </w:p>
        </w:tc>
        <w:tc>
          <w:tcPr>
            <w:tcW w:w="1120" w:type="dxa"/>
            <w:tcBorders>
              <w:top w:val="nil"/>
              <w:left w:val="nil"/>
              <w:bottom w:val="nil"/>
              <w:right w:val="single" w:sz="4" w:space="0" w:color="auto"/>
            </w:tcBorders>
            <w:shd w:val="clear" w:color="auto" w:fill="auto"/>
            <w:noWrap/>
            <w:vAlign w:val="bottom"/>
            <w:hideMark/>
          </w:tcPr>
          <w:p w14:paraId="493F186F"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single" w:sz="4" w:space="0" w:color="auto"/>
            </w:tcBorders>
            <w:shd w:val="clear" w:color="auto" w:fill="auto"/>
            <w:noWrap/>
            <w:vAlign w:val="bottom"/>
            <w:hideMark/>
          </w:tcPr>
          <w:p w14:paraId="14993464" w14:textId="77777777" w:rsidR="00AA3F9A" w:rsidRPr="004C2CEC" w:rsidRDefault="00AA3F9A" w:rsidP="00C5653F">
            <w:pPr>
              <w:jc w:val="right"/>
              <w:rPr>
                <w:sz w:val="16"/>
              </w:rPr>
            </w:pPr>
            <w:r w:rsidRPr="004C2CEC">
              <w:rPr>
                <w:sz w:val="16"/>
              </w:rPr>
              <w:t xml:space="preserve">412 </w:t>
            </w:r>
          </w:p>
        </w:tc>
        <w:tc>
          <w:tcPr>
            <w:tcW w:w="1120" w:type="dxa"/>
            <w:tcBorders>
              <w:top w:val="nil"/>
              <w:left w:val="nil"/>
              <w:bottom w:val="nil"/>
              <w:right w:val="double" w:sz="6" w:space="0" w:color="auto"/>
            </w:tcBorders>
            <w:shd w:val="clear" w:color="auto" w:fill="auto"/>
            <w:noWrap/>
            <w:vAlign w:val="bottom"/>
            <w:hideMark/>
          </w:tcPr>
          <w:p w14:paraId="547BA08A" w14:textId="77777777" w:rsidR="00AA3F9A" w:rsidRPr="004C2CEC" w:rsidRDefault="00AA3F9A" w:rsidP="00C5653F">
            <w:pPr>
              <w:jc w:val="right"/>
              <w:rPr>
                <w:sz w:val="16"/>
              </w:rPr>
            </w:pPr>
            <w:r w:rsidRPr="004C2CEC">
              <w:rPr>
                <w:sz w:val="16"/>
              </w:rPr>
              <w:t xml:space="preserve">10 </w:t>
            </w:r>
          </w:p>
        </w:tc>
        <w:tc>
          <w:tcPr>
            <w:tcW w:w="1120" w:type="dxa"/>
            <w:tcBorders>
              <w:top w:val="nil"/>
              <w:left w:val="nil"/>
              <w:bottom w:val="nil"/>
              <w:right w:val="single" w:sz="4" w:space="0" w:color="auto"/>
            </w:tcBorders>
            <w:shd w:val="clear" w:color="auto" w:fill="auto"/>
            <w:noWrap/>
            <w:vAlign w:val="bottom"/>
            <w:hideMark/>
          </w:tcPr>
          <w:p w14:paraId="25CAC186" w14:textId="77777777" w:rsidR="00AA3F9A" w:rsidRPr="004C2CEC" w:rsidRDefault="00AA3F9A" w:rsidP="00C5653F">
            <w:pPr>
              <w:rPr>
                <w:sz w:val="16"/>
              </w:rPr>
            </w:pPr>
            <w:r w:rsidRPr="004C2CEC">
              <w:rPr>
                <w:sz w:val="16"/>
              </w:rPr>
              <w:t> </w:t>
            </w:r>
          </w:p>
        </w:tc>
        <w:tc>
          <w:tcPr>
            <w:tcW w:w="1120" w:type="dxa"/>
            <w:tcBorders>
              <w:top w:val="nil"/>
              <w:left w:val="nil"/>
              <w:bottom w:val="nil"/>
              <w:right w:val="single" w:sz="4" w:space="0" w:color="auto"/>
            </w:tcBorders>
            <w:shd w:val="clear" w:color="auto" w:fill="auto"/>
            <w:noWrap/>
            <w:vAlign w:val="bottom"/>
            <w:hideMark/>
          </w:tcPr>
          <w:p w14:paraId="6E6F0107" w14:textId="77777777" w:rsidR="00AA3F9A" w:rsidRPr="004C2CEC" w:rsidRDefault="00AA3F9A" w:rsidP="00C5653F">
            <w:pPr>
              <w:jc w:val="right"/>
              <w:rPr>
                <w:sz w:val="16"/>
              </w:rPr>
            </w:pPr>
            <w:r w:rsidRPr="004C2CEC">
              <w:rPr>
                <w:sz w:val="16"/>
              </w:rPr>
              <w:t xml:space="preserve">2.397 </w:t>
            </w:r>
          </w:p>
        </w:tc>
        <w:tc>
          <w:tcPr>
            <w:tcW w:w="1120" w:type="dxa"/>
            <w:tcBorders>
              <w:top w:val="nil"/>
              <w:left w:val="nil"/>
              <w:bottom w:val="nil"/>
              <w:right w:val="single" w:sz="4" w:space="0" w:color="auto"/>
            </w:tcBorders>
            <w:shd w:val="clear" w:color="auto" w:fill="auto"/>
            <w:noWrap/>
            <w:vAlign w:val="bottom"/>
            <w:hideMark/>
          </w:tcPr>
          <w:p w14:paraId="33875118" w14:textId="77777777" w:rsidR="00AA3F9A" w:rsidRPr="004C2CEC" w:rsidRDefault="00AA3F9A" w:rsidP="00C5653F">
            <w:pPr>
              <w:jc w:val="right"/>
              <w:rPr>
                <w:color w:val="000000"/>
                <w:sz w:val="16"/>
              </w:rPr>
            </w:pPr>
            <w:r w:rsidRPr="004C2CEC">
              <w:rPr>
                <w:color w:val="000000"/>
                <w:sz w:val="16"/>
              </w:rPr>
              <w:t xml:space="preserve">16 </w:t>
            </w:r>
          </w:p>
        </w:tc>
      </w:tr>
      <w:tr w:rsidR="00AE6F90" w14:paraId="3ABB6220" w14:textId="77777777" w:rsidTr="00C5653F">
        <w:trPr>
          <w:trHeight w:val="300"/>
        </w:trPr>
        <w:tc>
          <w:tcPr>
            <w:tcW w:w="2260" w:type="dxa"/>
            <w:tcBorders>
              <w:top w:val="nil"/>
              <w:left w:val="single" w:sz="4" w:space="0" w:color="auto"/>
              <w:bottom w:val="nil"/>
              <w:right w:val="single" w:sz="4" w:space="0" w:color="auto"/>
            </w:tcBorders>
            <w:shd w:val="clear" w:color="auto" w:fill="auto"/>
            <w:noWrap/>
            <w:vAlign w:val="bottom"/>
            <w:hideMark/>
          </w:tcPr>
          <w:p w14:paraId="2C41408E" w14:textId="77777777" w:rsidR="00AA3F9A" w:rsidRPr="004C2CEC" w:rsidRDefault="00AA3F9A" w:rsidP="00C5653F">
            <w:pPr>
              <w:rPr>
                <w:sz w:val="16"/>
              </w:rPr>
            </w:pPr>
            <w:r w:rsidRPr="004C2CEC">
              <w:rPr>
                <w:sz w:val="16"/>
              </w:rPr>
              <w:t>Black River Technology Inc.</w:t>
            </w:r>
          </w:p>
        </w:tc>
        <w:tc>
          <w:tcPr>
            <w:tcW w:w="1120" w:type="dxa"/>
            <w:tcBorders>
              <w:top w:val="nil"/>
              <w:left w:val="nil"/>
              <w:bottom w:val="nil"/>
              <w:right w:val="single" w:sz="4" w:space="0" w:color="auto"/>
            </w:tcBorders>
            <w:shd w:val="clear" w:color="auto" w:fill="auto"/>
            <w:noWrap/>
            <w:vAlign w:val="bottom"/>
            <w:hideMark/>
          </w:tcPr>
          <w:p w14:paraId="5E564566"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single" w:sz="4" w:space="0" w:color="auto"/>
            </w:tcBorders>
            <w:shd w:val="clear" w:color="auto" w:fill="auto"/>
            <w:noWrap/>
            <w:vAlign w:val="bottom"/>
            <w:hideMark/>
          </w:tcPr>
          <w:p w14:paraId="2EB154A4" w14:textId="77777777" w:rsidR="00AA3F9A" w:rsidRPr="004C2CEC" w:rsidRDefault="00AA3F9A" w:rsidP="00C5653F">
            <w:pPr>
              <w:jc w:val="right"/>
              <w:rPr>
                <w:sz w:val="16"/>
              </w:rPr>
            </w:pPr>
            <w:r w:rsidRPr="004C2CEC">
              <w:rPr>
                <w:sz w:val="16"/>
              </w:rPr>
              <w:t xml:space="preserve">14.682 </w:t>
            </w:r>
          </w:p>
        </w:tc>
        <w:tc>
          <w:tcPr>
            <w:tcW w:w="1120" w:type="dxa"/>
            <w:tcBorders>
              <w:top w:val="nil"/>
              <w:left w:val="nil"/>
              <w:bottom w:val="nil"/>
              <w:right w:val="double" w:sz="6" w:space="0" w:color="auto"/>
            </w:tcBorders>
            <w:shd w:val="clear" w:color="auto" w:fill="auto"/>
            <w:noWrap/>
            <w:vAlign w:val="bottom"/>
            <w:hideMark/>
          </w:tcPr>
          <w:p w14:paraId="6408D159"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single" w:sz="4" w:space="0" w:color="auto"/>
            </w:tcBorders>
            <w:shd w:val="clear" w:color="auto" w:fill="auto"/>
            <w:noWrap/>
            <w:vAlign w:val="bottom"/>
            <w:hideMark/>
          </w:tcPr>
          <w:p w14:paraId="41541EE5" w14:textId="77777777" w:rsidR="00AA3F9A" w:rsidRPr="004C2CEC" w:rsidRDefault="00AA3F9A" w:rsidP="00C5653F">
            <w:pPr>
              <w:rPr>
                <w:sz w:val="16"/>
              </w:rPr>
            </w:pPr>
            <w:r w:rsidRPr="004C2CEC">
              <w:rPr>
                <w:sz w:val="16"/>
              </w:rPr>
              <w:t> </w:t>
            </w:r>
          </w:p>
        </w:tc>
        <w:tc>
          <w:tcPr>
            <w:tcW w:w="1120" w:type="dxa"/>
            <w:tcBorders>
              <w:top w:val="nil"/>
              <w:left w:val="nil"/>
              <w:bottom w:val="nil"/>
              <w:right w:val="single" w:sz="4" w:space="0" w:color="auto"/>
            </w:tcBorders>
            <w:shd w:val="clear" w:color="auto" w:fill="auto"/>
            <w:noWrap/>
            <w:vAlign w:val="bottom"/>
            <w:hideMark/>
          </w:tcPr>
          <w:p w14:paraId="53320FAE" w14:textId="77777777" w:rsidR="00AA3F9A" w:rsidRPr="004C2CEC" w:rsidRDefault="00AA3F9A" w:rsidP="00C5653F">
            <w:pPr>
              <w:jc w:val="right"/>
              <w:rPr>
                <w:sz w:val="16"/>
              </w:rPr>
            </w:pPr>
            <w:r w:rsidRPr="004C2CEC">
              <w:rPr>
                <w:sz w:val="16"/>
              </w:rPr>
              <w:t xml:space="preserve">30.560 </w:t>
            </w:r>
          </w:p>
        </w:tc>
        <w:tc>
          <w:tcPr>
            <w:tcW w:w="1120" w:type="dxa"/>
            <w:tcBorders>
              <w:top w:val="nil"/>
              <w:left w:val="nil"/>
              <w:bottom w:val="nil"/>
              <w:right w:val="single" w:sz="4" w:space="0" w:color="auto"/>
            </w:tcBorders>
            <w:shd w:val="clear" w:color="auto" w:fill="auto"/>
            <w:noWrap/>
            <w:vAlign w:val="bottom"/>
            <w:hideMark/>
          </w:tcPr>
          <w:p w14:paraId="429073E8" w14:textId="77777777" w:rsidR="00AA3F9A" w:rsidRPr="004C2CEC" w:rsidRDefault="00AA3F9A" w:rsidP="00C5653F">
            <w:pPr>
              <w:rPr>
                <w:color w:val="000000"/>
                <w:sz w:val="16"/>
              </w:rPr>
            </w:pPr>
            <w:r w:rsidRPr="004C2CEC">
              <w:rPr>
                <w:color w:val="000000"/>
                <w:sz w:val="16"/>
              </w:rPr>
              <w:t> </w:t>
            </w:r>
          </w:p>
        </w:tc>
      </w:tr>
      <w:tr w:rsidR="00AE6F90" w14:paraId="157A9D03" w14:textId="77777777" w:rsidTr="00C5653F">
        <w:trPr>
          <w:trHeight w:val="300"/>
        </w:trPr>
        <w:tc>
          <w:tcPr>
            <w:tcW w:w="2260" w:type="dxa"/>
            <w:tcBorders>
              <w:top w:val="nil"/>
              <w:left w:val="single" w:sz="4" w:space="0" w:color="auto"/>
              <w:bottom w:val="nil"/>
              <w:right w:val="single" w:sz="4" w:space="0" w:color="auto"/>
            </w:tcBorders>
            <w:shd w:val="clear" w:color="auto" w:fill="auto"/>
            <w:noWrap/>
            <w:vAlign w:val="bottom"/>
            <w:hideMark/>
          </w:tcPr>
          <w:p w14:paraId="41B02D1B" w14:textId="350B843E" w:rsidR="00AA3F9A" w:rsidRPr="004C2CEC" w:rsidRDefault="00AA3F9A" w:rsidP="00C5653F">
            <w:pPr>
              <w:rPr>
                <w:sz w:val="16"/>
              </w:rPr>
            </w:pPr>
            <w:r w:rsidRPr="004C2CEC">
              <w:rPr>
                <w:sz w:val="16"/>
              </w:rPr>
              <w:t>Frontec S.A.U</w:t>
            </w:r>
            <w:r w:rsidR="00776A7F">
              <w:rPr>
                <w:sz w:val="16"/>
                <w:szCs w:val="16"/>
              </w:rPr>
              <w:t>.</w:t>
            </w:r>
          </w:p>
        </w:tc>
        <w:tc>
          <w:tcPr>
            <w:tcW w:w="1120" w:type="dxa"/>
            <w:tcBorders>
              <w:top w:val="nil"/>
              <w:left w:val="nil"/>
              <w:bottom w:val="nil"/>
              <w:right w:val="single" w:sz="4" w:space="0" w:color="auto"/>
            </w:tcBorders>
            <w:shd w:val="clear" w:color="auto" w:fill="auto"/>
            <w:noWrap/>
            <w:vAlign w:val="bottom"/>
            <w:hideMark/>
          </w:tcPr>
          <w:p w14:paraId="1EBF4997" w14:textId="77777777" w:rsidR="00AA3F9A" w:rsidRPr="004C2CEC" w:rsidRDefault="00AA3F9A" w:rsidP="00C5653F">
            <w:pPr>
              <w:rPr>
                <w:sz w:val="16"/>
              </w:rPr>
            </w:pPr>
            <w:r w:rsidRPr="004C2CEC">
              <w:rPr>
                <w:sz w:val="16"/>
              </w:rPr>
              <w:t> </w:t>
            </w:r>
          </w:p>
        </w:tc>
        <w:tc>
          <w:tcPr>
            <w:tcW w:w="1120" w:type="dxa"/>
            <w:tcBorders>
              <w:top w:val="nil"/>
              <w:left w:val="nil"/>
              <w:bottom w:val="nil"/>
              <w:right w:val="single" w:sz="4" w:space="0" w:color="auto"/>
            </w:tcBorders>
            <w:shd w:val="clear" w:color="auto" w:fill="auto"/>
            <w:noWrap/>
            <w:vAlign w:val="bottom"/>
            <w:hideMark/>
          </w:tcPr>
          <w:p w14:paraId="2B76E519" w14:textId="77777777" w:rsidR="00AA3F9A" w:rsidRPr="004C2CEC" w:rsidRDefault="00AA3F9A" w:rsidP="00C5653F">
            <w:pPr>
              <w:jc w:val="right"/>
              <w:rPr>
                <w:sz w:val="16"/>
              </w:rPr>
            </w:pPr>
            <w:r w:rsidRPr="004C2CEC">
              <w:rPr>
                <w:sz w:val="16"/>
              </w:rPr>
              <w:t xml:space="preserve">1.249 </w:t>
            </w:r>
          </w:p>
        </w:tc>
        <w:tc>
          <w:tcPr>
            <w:tcW w:w="1120" w:type="dxa"/>
            <w:tcBorders>
              <w:top w:val="nil"/>
              <w:left w:val="nil"/>
              <w:bottom w:val="nil"/>
              <w:right w:val="double" w:sz="6" w:space="0" w:color="auto"/>
            </w:tcBorders>
            <w:shd w:val="clear" w:color="auto" w:fill="auto"/>
            <w:noWrap/>
            <w:vAlign w:val="bottom"/>
            <w:hideMark/>
          </w:tcPr>
          <w:p w14:paraId="0B3FAF40" w14:textId="77777777" w:rsidR="00AA3F9A" w:rsidRPr="004C2CEC" w:rsidRDefault="00AA3F9A" w:rsidP="00C5653F">
            <w:pPr>
              <w:rPr>
                <w:sz w:val="16"/>
              </w:rPr>
            </w:pPr>
            <w:r w:rsidRPr="004C2CEC">
              <w:rPr>
                <w:sz w:val="16"/>
              </w:rPr>
              <w:t> </w:t>
            </w:r>
          </w:p>
        </w:tc>
        <w:tc>
          <w:tcPr>
            <w:tcW w:w="1120" w:type="dxa"/>
            <w:tcBorders>
              <w:top w:val="nil"/>
              <w:left w:val="nil"/>
              <w:bottom w:val="nil"/>
              <w:right w:val="single" w:sz="4" w:space="0" w:color="auto"/>
            </w:tcBorders>
            <w:shd w:val="clear" w:color="auto" w:fill="auto"/>
            <w:noWrap/>
            <w:vAlign w:val="bottom"/>
            <w:hideMark/>
          </w:tcPr>
          <w:p w14:paraId="2532E273" w14:textId="77777777" w:rsidR="00AA3F9A" w:rsidRPr="004C2CEC" w:rsidRDefault="00AA3F9A" w:rsidP="00C5653F">
            <w:pPr>
              <w:rPr>
                <w:sz w:val="16"/>
              </w:rPr>
            </w:pPr>
            <w:r w:rsidRPr="004C2CEC">
              <w:rPr>
                <w:sz w:val="16"/>
              </w:rPr>
              <w:t> </w:t>
            </w:r>
          </w:p>
        </w:tc>
        <w:tc>
          <w:tcPr>
            <w:tcW w:w="1120" w:type="dxa"/>
            <w:tcBorders>
              <w:top w:val="nil"/>
              <w:left w:val="nil"/>
              <w:bottom w:val="nil"/>
              <w:right w:val="single" w:sz="4" w:space="0" w:color="auto"/>
            </w:tcBorders>
            <w:shd w:val="clear" w:color="auto" w:fill="auto"/>
            <w:noWrap/>
            <w:vAlign w:val="bottom"/>
            <w:hideMark/>
          </w:tcPr>
          <w:p w14:paraId="2C261219"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single" w:sz="4" w:space="0" w:color="auto"/>
            </w:tcBorders>
            <w:shd w:val="clear" w:color="auto" w:fill="auto"/>
            <w:noWrap/>
            <w:vAlign w:val="bottom"/>
            <w:hideMark/>
          </w:tcPr>
          <w:p w14:paraId="4B910506" w14:textId="77777777" w:rsidR="00AA3F9A" w:rsidRPr="004C2CEC" w:rsidRDefault="00AA3F9A" w:rsidP="00C5653F">
            <w:pPr>
              <w:rPr>
                <w:color w:val="000000"/>
                <w:sz w:val="16"/>
              </w:rPr>
            </w:pPr>
            <w:r w:rsidRPr="004C2CEC">
              <w:rPr>
                <w:color w:val="000000"/>
                <w:sz w:val="16"/>
              </w:rPr>
              <w:t> </w:t>
            </w:r>
          </w:p>
        </w:tc>
      </w:tr>
      <w:tr w:rsidR="00AE6F90" w14:paraId="1A48D039" w14:textId="77777777" w:rsidTr="00C5653F">
        <w:trPr>
          <w:trHeight w:val="300"/>
        </w:trPr>
        <w:tc>
          <w:tcPr>
            <w:tcW w:w="2260" w:type="dxa"/>
            <w:tcBorders>
              <w:top w:val="nil"/>
              <w:left w:val="single" w:sz="4" w:space="0" w:color="auto"/>
              <w:bottom w:val="nil"/>
              <w:right w:val="single" w:sz="4" w:space="0" w:color="auto"/>
            </w:tcBorders>
            <w:shd w:val="clear" w:color="auto" w:fill="auto"/>
            <w:noWrap/>
            <w:vAlign w:val="bottom"/>
            <w:hideMark/>
          </w:tcPr>
          <w:p w14:paraId="1BE629CC" w14:textId="77777777" w:rsidR="00AA3F9A" w:rsidRPr="004C2CEC" w:rsidRDefault="00AA3F9A" w:rsidP="00C5653F">
            <w:pPr>
              <w:rPr>
                <w:sz w:val="16"/>
              </w:rPr>
            </w:pPr>
            <w:r w:rsidRPr="004C2CEC">
              <w:rPr>
                <w:sz w:val="16"/>
              </w:rPr>
              <w:t>Invap Do Brasil</w:t>
            </w:r>
          </w:p>
        </w:tc>
        <w:tc>
          <w:tcPr>
            <w:tcW w:w="1120" w:type="dxa"/>
            <w:tcBorders>
              <w:top w:val="nil"/>
              <w:left w:val="nil"/>
              <w:bottom w:val="nil"/>
              <w:right w:val="single" w:sz="4" w:space="0" w:color="auto"/>
            </w:tcBorders>
            <w:shd w:val="clear" w:color="auto" w:fill="auto"/>
            <w:noWrap/>
            <w:vAlign w:val="bottom"/>
            <w:hideMark/>
          </w:tcPr>
          <w:p w14:paraId="67DE494E"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single" w:sz="4" w:space="0" w:color="auto"/>
            </w:tcBorders>
            <w:shd w:val="clear" w:color="auto" w:fill="auto"/>
            <w:noWrap/>
            <w:vAlign w:val="bottom"/>
            <w:hideMark/>
          </w:tcPr>
          <w:p w14:paraId="55AF1924"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double" w:sz="6" w:space="0" w:color="auto"/>
            </w:tcBorders>
            <w:shd w:val="clear" w:color="auto" w:fill="auto"/>
            <w:noWrap/>
            <w:vAlign w:val="bottom"/>
            <w:hideMark/>
          </w:tcPr>
          <w:p w14:paraId="396451D2" w14:textId="77777777" w:rsidR="00AA3F9A" w:rsidRPr="004C2CEC" w:rsidRDefault="00AA3F9A" w:rsidP="00C5653F">
            <w:pPr>
              <w:jc w:val="right"/>
              <w:rPr>
                <w:sz w:val="16"/>
              </w:rPr>
            </w:pPr>
            <w:r w:rsidRPr="004C2CEC">
              <w:rPr>
                <w:sz w:val="16"/>
              </w:rPr>
              <w:t xml:space="preserve">1.962 </w:t>
            </w:r>
          </w:p>
        </w:tc>
        <w:tc>
          <w:tcPr>
            <w:tcW w:w="1120" w:type="dxa"/>
            <w:tcBorders>
              <w:top w:val="nil"/>
              <w:left w:val="nil"/>
              <w:bottom w:val="nil"/>
              <w:right w:val="single" w:sz="4" w:space="0" w:color="auto"/>
            </w:tcBorders>
            <w:shd w:val="clear" w:color="auto" w:fill="auto"/>
            <w:noWrap/>
            <w:vAlign w:val="bottom"/>
            <w:hideMark/>
          </w:tcPr>
          <w:p w14:paraId="58A3B3AA" w14:textId="77777777" w:rsidR="00AA3F9A" w:rsidRPr="004C2CEC" w:rsidRDefault="00AA3F9A" w:rsidP="00C5653F">
            <w:pPr>
              <w:rPr>
                <w:sz w:val="16"/>
              </w:rPr>
            </w:pPr>
            <w:r w:rsidRPr="004C2CEC">
              <w:rPr>
                <w:sz w:val="16"/>
              </w:rPr>
              <w:t> </w:t>
            </w:r>
          </w:p>
        </w:tc>
        <w:tc>
          <w:tcPr>
            <w:tcW w:w="1120" w:type="dxa"/>
            <w:tcBorders>
              <w:top w:val="nil"/>
              <w:left w:val="nil"/>
              <w:bottom w:val="nil"/>
              <w:right w:val="single" w:sz="4" w:space="0" w:color="auto"/>
            </w:tcBorders>
            <w:shd w:val="clear" w:color="auto" w:fill="auto"/>
            <w:noWrap/>
            <w:vAlign w:val="bottom"/>
            <w:hideMark/>
          </w:tcPr>
          <w:p w14:paraId="1B305A73"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single" w:sz="4" w:space="0" w:color="auto"/>
            </w:tcBorders>
            <w:shd w:val="clear" w:color="auto" w:fill="auto"/>
            <w:noWrap/>
            <w:vAlign w:val="bottom"/>
            <w:hideMark/>
          </w:tcPr>
          <w:p w14:paraId="290AB184" w14:textId="77777777" w:rsidR="00AA3F9A" w:rsidRPr="004C2CEC" w:rsidRDefault="00AA3F9A" w:rsidP="00C5653F">
            <w:pPr>
              <w:jc w:val="right"/>
              <w:rPr>
                <w:color w:val="000000"/>
                <w:sz w:val="16"/>
              </w:rPr>
            </w:pPr>
            <w:r w:rsidRPr="004C2CEC">
              <w:rPr>
                <w:color w:val="000000"/>
                <w:sz w:val="16"/>
              </w:rPr>
              <w:t xml:space="preserve">966 </w:t>
            </w:r>
          </w:p>
        </w:tc>
      </w:tr>
      <w:tr w:rsidR="00AE6F90" w14:paraId="0D4F3F7D" w14:textId="77777777" w:rsidTr="00C5653F">
        <w:trPr>
          <w:trHeight w:val="300"/>
        </w:trPr>
        <w:tc>
          <w:tcPr>
            <w:tcW w:w="2260" w:type="dxa"/>
            <w:tcBorders>
              <w:top w:val="nil"/>
              <w:left w:val="single" w:sz="4" w:space="0" w:color="auto"/>
              <w:bottom w:val="nil"/>
              <w:right w:val="single" w:sz="4" w:space="0" w:color="auto"/>
            </w:tcBorders>
            <w:shd w:val="clear" w:color="auto" w:fill="auto"/>
            <w:noWrap/>
            <w:vAlign w:val="bottom"/>
            <w:hideMark/>
          </w:tcPr>
          <w:p w14:paraId="7668E82E" w14:textId="77777777" w:rsidR="00AA3F9A" w:rsidRPr="004C2CEC" w:rsidRDefault="00AA3F9A" w:rsidP="00C5653F">
            <w:pPr>
              <w:rPr>
                <w:sz w:val="16"/>
              </w:rPr>
            </w:pPr>
            <w:r w:rsidRPr="004C2CEC">
              <w:rPr>
                <w:sz w:val="16"/>
              </w:rPr>
              <w:t>Invap Nederland B.V.</w:t>
            </w:r>
          </w:p>
        </w:tc>
        <w:tc>
          <w:tcPr>
            <w:tcW w:w="1120" w:type="dxa"/>
            <w:tcBorders>
              <w:top w:val="nil"/>
              <w:left w:val="nil"/>
              <w:bottom w:val="nil"/>
              <w:right w:val="single" w:sz="4" w:space="0" w:color="auto"/>
            </w:tcBorders>
            <w:shd w:val="clear" w:color="auto" w:fill="auto"/>
            <w:noWrap/>
            <w:vAlign w:val="bottom"/>
            <w:hideMark/>
          </w:tcPr>
          <w:p w14:paraId="31A025DF"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single" w:sz="4" w:space="0" w:color="auto"/>
            </w:tcBorders>
            <w:shd w:val="clear" w:color="auto" w:fill="auto"/>
            <w:noWrap/>
            <w:vAlign w:val="bottom"/>
            <w:hideMark/>
          </w:tcPr>
          <w:p w14:paraId="67D9AAE9"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double" w:sz="6" w:space="0" w:color="auto"/>
            </w:tcBorders>
            <w:shd w:val="clear" w:color="auto" w:fill="auto"/>
            <w:noWrap/>
            <w:vAlign w:val="bottom"/>
            <w:hideMark/>
          </w:tcPr>
          <w:p w14:paraId="247E90C0"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single" w:sz="4" w:space="0" w:color="auto"/>
            </w:tcBorders>
            <w:shd w:val="clear" w:color="auto" w:fill="auto"/>
            <w:noWrap/>
            <w:vAlign w:val="bottom"/>
            <w:hideMark/>
          </w:tcPr>
          <w:p w14:paraId="2683E301" w14:textId="77777777" w:rsidR="00AA3F9A" w:rsidRPr="004C2CEC" w:rsidRDefault="00AA3F9A" w:rsidP="00C5653F">
            <w:pPr>
              <w:rPr>
                <w:sz w:val="16"/>
              </w:rPr>
            </w:pPr>
            <w:r w:rsidRPr="004C2CEC">
              <w:rPr>
                <w:sz w:val="16"/>
              </w:rPr>
              <w:t> </w:t>
            </w:r>
          </w:p>
        </w:tc>
        <w:tc>
          <w:tcPr>
            <w:tcW w:w="1120" w:type="dxa"/>
            <w:tcBorders>
              <w:top w:val="nil"/>
              <w:left w:val="nil"/>
              <w:bottom w:val="nil"/>
              <w:right w:val="single" w:sz="4" w:space="0" w:color="auto"/>
            </w:tcBorders>
            <w:shd w:val="clear" w:color="auto" w:fill="auto"/>
            <w:noWrap/>
            <w:vAlign w:val="bottom"/>
            <w:hideMark/>
          </w:tcPr>
          <w:p w14:paraId="2CA85B41"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single" w:sz="4" w:space="0" w:color="auto"/>
            </w:tcBorders>
            <w:shd w:val="clear" w:color="auto" w:fill="auto"/>
            <w:noWrap/>
            <w:vAlign w:val="bottom"/>
            <w:hideMark/>
          </w:tcPr>
          <w:p w14:paraId="51C1A7CD" w14:textId="77777777" w:rsidR="00AA3F9A" w:rsidRPr="004C2CEC" w:rsidRDefault="00AA3F9A" w:rsidP="00C5653F">
            <w:pPr>
              <w:jc w:val="right"/>
              <w:rPr>
                <w:color w:val="000000"/>
                <w:sz w:val="16"/>
              </w:rPr>
            </w:pPr>
            <w:r w:rsidRPr="004C2CEC">
              <w:rPr>
                <w:color w:val="000000"/>
                <w:sz w:val="16"/>
              </w:rPr>
              <w:t xml:space="preserve">667 </w:t>
            </w:r>
          </w:p>
        </w:tc>
      </w:tr>
      <w:tr w:rsidR="00AE6F90" w14:paraId="5A3845C3" w14:textId="77777777" w:rsidTr="00C5653F">
        <w:trPr>
          <w:trHeight w:val="300"/>
        </w:trPr>
        <w:tc>
          <w:tcPr>
            <w:tcW w:w="2260" w:type="dxa"/>
            <w:tcBorders>
              <w:top w:val="nil"/>
              <w:left w:val="single" w:sz="4" w:space="0" w:color="auto"/>
              <w:bottom w:val="nil"/>
              <w:right w:val="single" w:sz="4" w:space="0" w:color="auto"/>
            </w:tcBorders>
            <w:shd w:val="clear" w:color="auto" w:fill="auto"/>
            <w:noWrap/>
            <w:vAlign w:val="bottom"/>
            <w:hideMark/>
          </w:tcPr>
          <w:p w14:paraId="344353FC" w14:textId="77777777" w:rsidR="00AA3F9A" w:rsidRPr="004C2CEC" w:rsidRDefault="00AA3F9A" w:rsidP="00C5653F">
            <w:pPr>
              <w:rPr>
                <w:sz w:val="16"/>
              </w:rPr>
            </w:pPr>
            <w:r w:rsidRPr="004C2CEC">
              <w:rPr>
                <w:sz w:val="16"/>
              </w:rPr>
              <w:t>ICHOS B.V.</w:t>
            </w:r>
          </w:p>
        </w:tc>
        <w:tc>
          <w:tcPr>
            <w:tcW w:w="1120" w:type="dxa"/>
            <w:tcBorders>
              <w:top w:val="nil"/>
              <w:left w:val="nil"/>
              <w:bottom w:val="nil"/>
              <w:right w:val="single" w:sz="4" w:space="0" w:color="auto"/>
            </w:tcBorders>
            <w:shd w:val="clear" w:color="auto" w:fill="auto"/>
            <w:noWrap/>
            <w:vAlign w:val="bottom"/>
            <w:hideMark/>
          </w:tcPr>
          <w:p w14:paraId="15F9BF85"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single" w:sz="4" w:space="0" w:color="auto"/>
            </w:tcBorders>
            <w:shd w:val="clear" w:color="auto" w:fill="auto"/>
            <w:noWrap/>
            <w:vAlign w:val="bottom"/>
            <w:hideMark/>
          </w:tcPr>
          <w:p w14:paraId="2935040B"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nil"/>
              <w:right w:val="double" w:sz="6" w:space="0" w:color="auto"/>
            </w:tcBorders>
            <w:shd w:val="clear" w:color="auto" w:fill="auto"/>
            <w:noWrap/>
            <w:vAlign w:val="bottom"/>
            <w:hideMark/>
          </w:tcPr>
          <w:p w14:paraId="71E8F2B5"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single" w:sz="4" w:space="0" w:color="auto"/>
              <w:right w:val="single" w:sz="4" w:space="0" w:color="auto"/>
            </w:tcBorders>
            <w:shd w:val="clear" w:color="auto" w:fill="auto"/>
            <w:noWrap/>
            <w:vAlign w:val="bottom"/>
            <w:hideMark/>
          </w:tcPr>
          <w:p w14:paraId="10B40C5B" w14:textId="77777777" w:rsidR="00AA3F9A" w:rsidRPr="004C2CEC" w:rsidRDefault="00AA3F9A" w:rsidP="00C5653F">
            <w:pPr>
              <w:rPr>
                <w:sz w:val="16"/>
              </w:rPr>
            </w:pPr>
            <w:r w:rsidRPr="004C2CEC">
              <w:rPr>
                <w:sz w:val="16"/>
              </w:rPr>
              <w:t> </w:t>
            </w:r>
          </w:p>
        </w:tc>
        <w:tc>
          <w:tcPr>
            <w:tcW w:w="1120" w:type="dxa"/>
            <w:tcBorders>
              <w:top w:val="nil"/>
              <w:left w:val="nil"/>
              <w:bottom w:val="single" w:sz="4" w:space="0" w:color="auto"/>
              <w:right w:val="single" w:sz="4" w:space="0" w:color="auto"/>
            </w:tcBorders>
            <w:shd w:val="clear" w:color="auto" w:fill="auto"/>
            <w:noWrap/>
            <w:vAlign w:val="bottom"/>
            <w:hideMark/>
          </w:tcPr>
          <w:p w14:paraId="664AC99C" w14:textId="77777777" w:rsidR="00AA3F9A" w:rsidRPr="004C2CEC" w:rsidRDefault="00AA3F9A" w:rsidP="00C5653F">
            <w:pPr>
              <w:jc w:val="right"/>
              <w:rPr>
                <w:sz w:val="16"/>
              </w:rPr>
            </w:pPr>
            <w:r w:rsidRPr="004C2CEC">
              <w:rPr>
                <w:sz w:val="16"/>
              </w:rPr>
              <w:t xml:space="preserve">0 </w:t>
            </w:r>
          </w:p>
        </w:tc>
        <w:tc>
          <w:tcPr>
            <w:tcW w:w="1120" w:type="dxa"/>
            <w:tcBorders>
              <w:top w:val="nil"/>
              <w:left w:val="nil"/>
              <w:bottom w:val="single" w:sz="4" w:space="0" w:color="auto"/>
              <w:right w:val="single" w:sz="4" w:space="0" w:color="auto"/>
            </w:tcBorders>
            <w:shd w:val="clear" w:color="auto" w:fill="auto"/>
            <w:noWrap/>
            <w:vAlign w:val="bottom"/>
            <w:hideMark/>
          </w:tcPr>
          <w:p w14:paraId="5E255B9C" w14:textId="77777777" w:rsidR="00AA3F9A" w:rsidRPr="004C2CEC" w:rsidRDefault="00AA3F9A" w:rsidP="00C5653F">
            <w:pPr>
              <w:jc w:val="right"/>
              <w:rPr>
                <w:color w:val="000000"/>
                <w:sz w:val="16"/>
              </w:rPr>
            </w:pPr>
            <w:r w:rsidRPr="004C2CEC">
              <w:rPr>
                <w:color w:val="000000"/>
                <w:sz w:val="16"/>
              </w:rPr>
              <w:t xml:space="preserve">18 </w:t>
            </w:r>
          </w:p>
        </w:tc>
      </w:tr>
      <w:tr w:rsidR="00AE6F90" w14:paraId="52DDA5EB" w14:textId="77777777" w:rsidTr="00C5653F">
        <w:trPr>
          <w:trHeight w:val="315"/>
        </w:trPr>
        <w:tc>
          <w:tcPr>
            <w:tcW w:w="226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3BD93EBB" w14:textId="77777777" w:rsidR="00AA3F9A" w:rsidRPr="004C2CEC" w:rsidRDefault="00AA3F9A" w:rsidP="00C5653F">
            <w:pPr>
              <w:rPr>
                <w:b/>
                <w:sz w:val="16"/>
              </w:rPr>
            </w:pPr>
            <w:r w:rsidRPr="004C2CEC">
              <w:rPr>
                <w:b/>
                <w:sz w:val="16"/>
              </w:rPr>
              <w:t xml:space="preserve">Total de pasivos </w:t>
            </w:r>
          </w:p>
        </w:tc>
        <w:tc>
          <w:tcPr>
            <w:tcW w:w="1120" w:type="dxa"/>
            <w:tcBorders>
              <w:top w:val="single" w:sz="4" w:space="0" w:color="auto"/>
              <w:left w:val="nil"/>
              <w:bottom w:val="double" w:sz="6" w:space="0" w:color="auto"/>
              <w:right w:val="single" w:sz="4" w:space="0" w:color="auto"/>
            </w:tcBorders>
            <w:shd w:val="clear" w:color="auto" w:fill="auto"/>
            <w:noWrap/>
            <w:vAlign w:val="bottom"/>
            <w:hideMark/>
          </w:tcPr>
          <w:p w14:paraId="18484D33" w14:textId="77777777" w:rsidR="00AA3F9A" w:rsidRPr="004C2CEC" w:rsidRDefault="00AA3F9A" w:rsidP="00C5653F">
            <w:pPr>
              <w:jc w:val="right"/>
              <w:rPr>
                <w:b/>
                <w:sz w:val="16"/>
              </w:rPr>
            </w:pPr>
            <w:r w:rsidRPr="004C2CEC">
              <w:rPr>
                <w:b/>
                <w:sz w:val="16"/>
              </w:rPr>
              <w:t xml:space="preserve">0 </w:t>
            </w:r>
          </w:p>
        </w:tc>
        <w:tc>
          <w:tcPr>
            <w:tcW w:w="1120" w:type="dxa"/>
            <w:tcBorders>
              <w:top w:val="single" w:sz="4" w:space="0" w:color="auto"/>
              <w:left w:val="nil"/>
              <w:bottom w:val="double" w:sz="6" w:space="0" w:color="auto"/>
              <w:right w:val="single" w:sz="4" w:space="0" w:color="auto"/>
            </w:tcBorders>
            <w:shd w:val="clear" w:color="auto" w:fill="auto"/>
            <w:noWrap/>
            <w:vAlign w:val="bottom"/>
            <w:hideMark/>
          </w:tcPr>
          <w:p w14:paraId="28C65906" w14:textId="77777777" w:rsidR="00AA3F9A" w:rsidRPr="004C2CEC" w:rsidRDefault="00AA3F9A" w:rsidP="00C5653F">
            <w:pPr>
              <w:jc w:val="right"/>
              <w:rPr>
                <w:b/>
                <w:sz w:val="16"/>
              </w:rPr>
            </w:pPr>
            <w:r w:rsidRPr="004C2CEC">
              <w:rPr>
                <w:b/>
                <w:sz w:val="16"/>
              </w:rPr>
              <w:t xml:space="preserve">16.343 </w:t>
            </w:r>
          </w:p>
        </w:tc>
        <w:tc>
          <w:tcPr>
            <w:tcW w:w="1120" w:type="dxa"/>
            <w:tcBorders>
              <w:top w:val="single" w:sz="4" w:space="0" w:color="auto"/>
              <w:left w:val="nil"/>
              <w:bottom w:val="double" w:sz="6" w:space="0" w:color="auto"/>
              <w:right w:val="double" w:sz="6" w:space="0" w:color="auto"/>
            </w:tcBorders>
            <w:shd w:val="clear" w:color="auto" w:fill="auto"/>
            <w:noWrap/>
            <w:vAlign w:val="bottom"/>
            <w:hideMark/>
          </w:tcPr>
          <w:p w14:paraId="5C51F732" w14:textId="77777777" w:rsidR="00AA3F9A" w:rsidRPr="004C2CEC" w:rsidRDefault="00AA3F9A" w:rsidP="00C5653F">
            <w:pPr>
              <w:jc w:val="right"/>
              <w:rPr>
                <w:b/>
                <w:sz w:val="16"/>
              </w:rPr>
            </w:pPr>
            <w:r w:rsidRPr="004C2CEC">
              <w:rPr>
                <w:b/>
                <w:sz w:val="16"/>
              </w:rPr>
              <w:t xml:space="preserve">1.972 </w:t>
            </w:r>
          </w:p>
        </w:tc>
        <w:tc>
          <w:tcPr>
            <w:tcW w:w="1120" w:type="dxa"/>
            <w:tcBorders>
              <w:top w:val="nil"/>
              <w:left w:val="nil"/>
              <w:bottom w:val="double" w:sz="6" w:space="0" w:color="auto"/>
              <w:right w:val="single" w:sz="4" w:space="0" w:color="000000"/>
            </w:tcBorders>
            <w:shd w:val="clear" w:color="auto" w:fill="auto"/>
            <w:noWrap/>
            <w:vAlign w:val="bottom"/>
            <w:hideMark/>
          </w:tcPr>
          <w:p w14:paraId="4F8525F6" w14:textId="77777777" w:rsidR="00AA3F9A" w:rsidRPr="004C2CEC" w:rsidRDefault="00AA3F9A" w:rsidP="00C5653F">
            <w:pPr>
              <w:jc w:val="right"/>
              <w:rPr>
                <w:b/>
                <w:sz w:val="16"/>
              </w:rPr>
            </w:pPr>
            <w:r w:rsidRPr="004C2CEC">
              <w:rPr>
                <w:b/>
                <w:sz w:val="16"/>
              </w:rPr>
              <w:t xml:space="preserve">0 </w:t>
            </w:r>
          </w:p>
        </w:tc>
        <w:tc>
          <w:tcPr>
            <w:tcW w:w="1120" w:type="dxa"/>
            <w:tcBorders>
              <w:top w:val="nil"/>
              <w:left w:val="nil"/>
              <w:bottom w:val="double" w:sz="6" w:space="0" w:color="auto"/>
              <w:right w:val="single" w:sz="4" w:space="0" w:color="auto"/>
            </w:tcBorders>
            <w:shd w:val="clear" w:color="auto" w:fill="auto"/>
            <w:noWrap/>
            <w:vAlign w:val="bottom"/>
            <w:hideMark/>
          </w:tcPr>
          <w:p w14:paraId="420E1E51" w14:textId="77777777" w:rsidR="00AA3F9A" w:rsidRPr="004C2CEC" w:rsidRDefault="00AA3F9A" w:rsidP="00C5653F">
            <w:pPr>
              <w:jc w:val="right"/>
              <w:rPr>
                <w:b/>
                <w:sz w:val="16"/>
              </w:rPr>
            </w:pPr>
            <w:r w:rsidRPr="004C2CEC">
              <w:rPr>
                <w:b/>
                <w:sz w:val="16"/>
              </w:rPr>
              <w:t xml:space="preserve">32.957 </w:t>
            </w:r>
          </w:p>
        </w:tc>
        <w:tc>
          <w:tcPr>
            <w:tcW w:w="1120" w:type="dxa"/>
            <w:tcBorders>
              <w:top w:val="nil"/>
              <w:left w:val="nil"/>
              <w:bottom w:val="double" w:sz="6" w:space="0" w:color="auto"/>
              <w:right w:val="single" w:sz="4" w:space="0" w:color="auto"/>
            </w:tcBorders>
            <w:shd w:val="clear" w:color="auto" w:fill="auto"/>
            <w:noWrap/>
            <w:vAlign w:val="bottom"/>
            <w:hideMark/>
          </w:tcPr>
          <w:p w14:paraId="32ADDBFF" w14:textId="77777777" w:rsidR="00AA3F9A" w:rsidRPr="004C2CEC" w:rsidRDefault="00AA3F9A" w:rsidP="00C5653F">
            <w:pPr>
              <w:jc w:val="right"/>
              <w:rPr>
                <w:b/>
                <w:sz w:val="16"/>
              </w:rPr>
            </w:pPr>
            <w:r w:rsidRPr="004C2CEC">
              <w:rPr>
                <w:b/>
                <w:sz w:val="16"/>
              </w:rPr>
              <w:t xml:space="preserve">1.667 </w:t>
            </w:r>
          </w:p>
        </w:tc>
      </w:tr>
    </w:tbl>
    <w:p w14:paraId="370A1207" w14:textId="4E06A9A3" w:rsidR="001C2EC6" w:rsidRPr="007213A1" w:rsidRDefault="001C2EC6" w:rsidP="00317271">
      <w:pPr>
        <w:spacing w:after="160" w:line="259" w:lineRule="auto"/>
        <w:jc w:val="both"/>
        <w:rPr>
          <w:bCs/>
          <w:sz w:val="20"/>
          <w:szCs w:val="20"/>
          <w:lang w:val="es-AR"/>
        </w:rPr>
      </w:pPr>
    </w:p>
    <w:p w14:paraId="78B0E823" w14:textId="77777777" w:rsidR="00317271" w:rsidRPr="007213A1" w:rsidRDefault="00317271" w:rsidP="00317271">
      <w:pPr>
        <w:widowControl w:val="0"/>
        <w:jc w:val="both"/>
        <w:rPr>
          <w:b/>
          <w:bCs/>
          <w:sz w:val="20"/>
          <w:szCs w:val="20"/>
          <w:lang w:val="es-MX"/>
        </w:rPr>
      </w:pPr>
      <w:r w:rsidRPr="007213A1">
        <w:rPr>
          <w:b/>
          <w:bCs/>
          <w:sz w:val="20"/>
          <w:szCs w:val="20"/>
          <w:lang w:val="es-MX"/>
        </w:rPr>
        <w:t>d) Otra información con partes relacionadas</w:t>
      </w:r>
    </w:p>
    <w:p w14:paraId="35C687F8" w14:textId="77777777" w:rsidR="00317271" w:rsidRPr="007213A1" w:rsidRDefault="00317271" w:rsidP="00317271">
      <w:pPr>
        <w:widowControl w:val="0"/>
        <w:jc w:val="both"/>
        <w:rPr>
          <w:b/>
          <w:bCs/>
          <w:sz w:val="20"/>
          <w:szCs w:val="20"/>
          <w:lang w:val="es-MX"/>
        </w:rPr>
      </w:pPr>
    </w:p>
    <w:p w14:paraId="540B7E13" w14:textId="2A09C3CB" w:rsidR="00F85F93" w:rsidRDefault="00F85F93" w:rsidP="00F85F93">
      <w:pPr>
        <w:rPr>
          <w:color w:val="000000"/>
          <w:sz w:val="20"/>
          <w:szCs w:val="20"/>
          <w:lang w:val="es-AR"/>
        </w:rPr>
      </w:pPr>
      <w:r>
        <w:rPr>
          <w:color w:val="000000"/>
          <w:sz w:val="20"/>
          <w:szCs w:val="20"/>
          <w:lang w:val="es-AR"/>
        </w:rPr>
        <w:t>Las transacciones con partes relacionadas descriptas provienen de:</w:t>
      </w:r>
    </w:p>
    <w:p w14:paraId="53A90488" w14:textId="77777777" w:rsidR="00F85F93" w:rsidRDefault="00F85F93" w:rsidP="00F85F93">
      <w:pPr>
        <w:rPr>
          <w:color w:val="000000"/>
          <w:sz w:val="20"/>
          <w:szCs w:val="20"/>
          <w:lang w:val="es-AR"/>
        </w:rPr>
      </w:pPr>
    </w:p>
    <w:p w14:paraId="57F080FB" w14:textId="249F9DE8" w:rsidR="00F85F93" w:rsidRDefault="00F85F93" w:rsidP="00F85F93">
      <w:pPr>
        <w:rPr>
          <w:color w:val="000000"/>
          <w:sz w:val="20"/>
          <w:szCs w:val="20"/>
          <w:lang w:val="es-AR"/>
        </w:rPr>
      </w:pPr>
      <w:r>
        <w:rPr>
          <w:color w:val="000000"/>
          <w:sz w:val="20"/>
          <w:szCs w:val="20"/>
          <w:lang w:val="es-AR"/>
        </w:rPr>
        <w:t>-</w:t>
      </w:r>
      <w:r w:rsidRPr="001774C5">
        <w:rPr>
          <w:color w:val="000000"/>
          <w:sz w:val="20"/>
          <w:szCs w:val="20"/>
          <w:lang w:val="es-AR"/>
        </w:rPr>
        <w:t>Invap Ingeniería S.A.</w:t>
      </w:r>
      <w:r>
        <w:rPr>
          <w:color w:val="000000"/>
          <w:sz w:val="20"/>
          <w:szCs w:val="20"/>
          <w:lang w:val="es-AR"/>
        </w:rPr>
        <w:t>: por servicios de ingeniería a distintos proyectos de INVAP S.E. y por préstamo realizado de INVAP S.E. a Invap Ingeniería S.A.</w:t>
      </w:r>
    </w:p>
    <w:p w14:paraId="5B55F5BE" w14:textId="77777777" w:rsidR="00F85F93" w:rsidRDefault="00F85F93" w:rsidP="00F85F93">
      <w:pPr>
        <w:rPr>
          <w:color w:val="000000"/>
          <w:sz w:val="20"/>
          <w:szCs w:val="20"/>
          <w:lang w:val="es-AR"/>
        </w:rPr>
      </w:pPr>
    </w:p>
    <w:p w14:paraId="40911478" w14:textId="0BC16972" w:rsidR="00F85F93" w:rsidRDefault="00F85F93" w:rsidP="00F85F93">
      <w:pPr>
        <w:rPr>
          <w:color w:val="000000"/>
          <w:sz w:val="20"/>
          <w:szCs w:val="20"/>
          <w:lang w:val="es-ES"/>
        </w:rPr>
      </w:pPr>
      <w:r w:rsidRPr="001774C5">
        <w:rPr>
          <w:color w:val="000000"/>
          <w:sz w:val="20"/>
          <w:szCs w:val="20"/>
          <w:lang w:val="es-ES"/>
        </w:rPr>
        <w:t>-Black River Technology Inc.: por compras de equipamiento específico</w:t>
      </w:r>
      <w:r>
        <w:rPr>
          <w:color w:val="000000"/>
          <w:sz w:val="20"/>
          <w:szCs w:val="20"/>
          <w:lang w:val="es-ES"/>
        </w:rPr>
        <w:t xml:space="preserve"> para distintos proyectos de INVAP S.E.</w:t>
      </w:r>
    </w:p>
    <w:p w14:paraId="15F6F1B7" w14:textId="77777777" w:rsidR="00F85F93" w:rsidRDefault="00F85F93" w:rsidP="00F85F93">
      <w:pPr>
        <w:rPr>
          <w:color w:val="000000"/>
          <w:sz w:val="20"/>
          <w:szCs w:val="20"/>
          <w:lang w:val="es-ES"/>
        </w:rPr>
      </w:pPr>
    </w:p>
    <w:p w14:paraId="18CB2007" w14:textId="29F1C022" w:rsidR="00F85F93" w:rsidRDefault="009D369D" w:rsidP="00F85F93">
      <w:pPr>
        <w:rPr>
          <w:color w:val="000000"/>
          <w:sz w:val="20"/>
          <w:szCs w:val="20"/>
          <w:lang w:val="es-ES"/>
        </w:rPr>
      </w:pPr>
      <w:r>
        <w:rPr>
          <w:color w:val="000000"/>
          <w:sz w:val="20"/>
          <w:szCs w:val="20"/>
          <w:lang w:val="es-ES"/>
        </w:rPr>
        <w:t>-</w:t>
      </w:r>
      <w:r w:rsidR="00F85F93" w:rsidRPr="001774C5">
        <w:rPr>
          <w:color w:val="000000"/>
          <w:sz w:val="20"/>
          <w:szCs w:val="20"/>
          <w:lang w:val="es-ES"/>
        </w:rPr>
        <w:t>Frontec S.A.U</w:t>
      </w:r>
      <w:r w:rsidR="00F85F93">
        <w:rPr>
          <w:color w:val="000000"/>
          <w:sz w:val="20"/>
          <w:szCs w:val="20"/>
          <w:lang w:val="es-ES"/>
        </w:rPr>
        <w:t>.: por servicios de desarrollo de plataforma digital para la agricultura en relación a una oferta de INVAP S.E. y por servicios de Software de INVAP S.E. a Frontec S.A.U.</w:t>
      </w:r>
    </w:p>
    <w:p w14:paraId="4B79C150" w14:textId="77777777" w:rsidR="00F85F93" w:rsidRDefault="00F85F93" w:rsidP="00F85F93">
      <w:pPr>
        <w:rPr>
          <w:color w:val="000000"/>
          <w:sz w:val="20"/>
          <w:szCs w:val="20"/>
          <w:lang w:val="es-ES"/>
        </w:rPr>
      </w:pPr>
    </w:p>
    <w:p w14:paraId="43987D9E" w14:textId="3A64B1AB" w:rsidR="00F85F93" w:rsidRDefault="009D369D" w:rsidP="00F85F93">
      <w:pPr>
        <w:rPr>
          <w:color w:val="000000"/>
          <w:sz w:val="20"/>
          <w:szCs w:val="20"/>
          <w:lang w:val="es-ES"/>
        </w:rPr>
      </w:pPr>
      <w:r>
        <w:rPr>
          <w:color w:val="000000"/>
          <w:sz w:val="20"/>
          <w:szCs w:val="20"/>
          <w:lang w:val="es-ES"/>
        </w:rPr>
        <w:t>-</w:t>
      </w:r>
      <w:r w:rsidR="00F85F93" w:rsidRPr="001774C5">
        <w:rPr>
          <w:color w:val="000000"/>
          <w:sz w:val="20"/>
          <w:szCs w:val="20"/>
          <w:lang w:val="es-ES"/>
        </w:rPr>
        <w:t>Invap Nederland B.V.</w:t>
      </w:r>
      <w:r w:rsidR="00F85F93">
        <w:rPr>
          <w:color w:val="000000"/>
          <w:sz w:val="20"/>
          <w:szCs w:val="20"/>
          <w:lang w:val="es-ES"/>
        </w:rPr>
        <w:t>: por servicios de ingeniería para el proyecto del reactor Pallas, en Países Bajos.</w:t>
      </w:r>
    </w:p>
    <w:p w14:paraId="6881A4B9" w14:textId="77777777" w:rsidR="0015704E" w:rsidRPr="007213A1" w:rsidRDefault="0015704E">
      <w:pPr>
        <w:rPr>
          <w:color w:val="000000"/>
          <w:sz w:val="20"/>
          <w:szCs w:val="20"/>
          <w:lang w:val="es-AR"/>
        </w:rPr>
      </w:pPr>
      <w:r w:rsidRPr="007213A1">
        <w:rPr>
          <w:color w:val="000000"/>
          <w:sz w:val="20"/>
          <w:szCs w:val="20"/>
          <w:lang w:val="es-AR"/>
        </w:rPr>
        <w:br w:type="page"/>
      </w:r>
    </w:p>
    <w:p w14:paraId="509942EB" w14:textId="1A79A254" w:rsidR="00317271" w:rsidRPr="007213A1" w:rsidRDefault="0015704E" w:rsidP="00A227AF">
      <w:pPr>
        <w:pStyle w:val="Text"/>
        <w:spacing w:after="0"/>
        <w:ind w:firstLine="0"/>
        <w:jc w:val="center"/>
        <w:rPr>
          <w:b/>
          <w:bCs/>
          <w:color w:val="000000"/>
          <w:sz w:val="20"/>
          <w:szCs w:val="20"/>
          <w:lang w:val="es-AR"/>
        </w:rPr>
      </w:pPr>
      <w:r w:rsidRPr="007213A1">
        <w:rPr>
          <w:b/>
          <w:bCs/>
          <w:color w:val="000000"/>
          <w:sz w:val="20"/>
          <w:szCs w:val="20"/>
          <w:lang w:val="es-AR"/>
        </w:rPr>
        <w:t>VII</w:t>
      </w:r>
      <w:r w:rsidR="00A227AF">
        <w:rPr>
          <w:b/>
          <w:bCs/>
          <w:color w:val="000000"/>
          <w:sz w:val="20"/>
          <w:szCs w:val="20"/>
          <w:lang w:val="es-AR"/>
        </w:rPr>
        <w:t xml:space="preserve">. </w:t>
      </w:r>
      <w:r w:rsidRPr="007213A1">
        <w:rPr>
          <w:b/>
          <w:bCs/>
          <w:color w:val="000000"/>
          <w:sz w:val="20"/>
          <w:szCs w:val="20"/>
          <w:lang w:val="es-AR"/>
        </w:rPr>
        <w:t>ACTIVOS FIJOS Y SUCURSALES DE LA EMISORA</w:t>
      </w:r>
    </w:p>
    <w:p w14:paraId="22A918ED" w14:textId="77777777" w:rsidR="0015704E" w:rsidRPr="007213A1" w:rsidRDefault="0015704E" w:rsidP="0015704E">
      <w:pPr>
        <w:pStyle w:val="Text"/>
        <w:spacing w:after="0"/>
        <w:ind w:firstLine="0"/>
        <w:jc w:val="center"/>
        <w:rPr>
          <w:b/>
          <w:bCs/>
          <w:color w:val="000000"/>
          <w:sz w:val="20"/>
          <w:szCs w:val="20"/>
          <w:lang w:val="es-AR"/>
        </w:rPr>
      </w:pPr>
    </w:p>
    <w:p w14:paraId="1974EA44" w14:textId="77777777" w:rsidR="0015704E" w:rsidRPr="007213A1" w:rsidRDefault="0015704E" w:rsidP="0015704E">
      <w:pPr>
        <w:pStyle w:val="Text"/>
        <w:spacing w:after="0"/>
        <w:ind w:firstLine="0"/>
        <w:rPr>
          <w:b/>
          <w:bCs/>
          <w:color w:val="000000"/>
          <w:sz w:val="20"/>
          <w:szCs w:val="20"/>
          <w:lang w:val="es-AR"/>
        </w:rPr>
      </w:pPr>
    </w:p>
    <w:p w14:paraId="354BF8C3" w14:textId="0ACDEAAA" w:rsidR="0015704E" w:rsidRPr="007213A1" w:rsidRDefault="0015704E" w:rsidP="0015704E">
      <w:pPr>
        <w:widowControl w:val="0"/>
        <w:rPr>
          <w:color w:val="000000"/>
          <w:sz w:val="20"/>
          <w:szCs w:val="20"/>
          <w:lang w:val="es-AR"/>
        </w:rPr>
      </w:pPr>
      <w:r w:rsidRPr="007213A1">
        <w:rPr>
          <w:color w:val="000000"/>
          <w:sz w:val="20"/>
          <w:szCs w:val="20"/>
          <w:lang w:val="es-AR"/>
        </w:rPr>
        <w:t>Los principales activos fijos de INVAP al 30 de junio de 2019 son los siguientes:</w:t>
      </w:r>
    </w:p>
    <w:p w14:paraId="3E93244F" w14:textId="77777777" w:rsidR="0015704E" w:rsidRPr="007213A1" w:rsidRDefault="0015704E" w:rsidP="0015704E">
      <w:pPr>
        <w:pStyle w:val="Ttulo3"/>
        <w:keepNext w:val="0"/>
        <w:rPr>
          <w:b w:val="0"/>
          <w:bCs w:val="0"/>
          <w:color w:val="000000"/>
          <w:sz w:val="20"/>
          <w:szCs w:val="20"/>
          <w:lang w:val="es-AR"/>
        </w:rPr>
      </w:pPr>
    </w:p>
    <w:tbl>
      <w:tblPr>
        <w:tblW w:w="9051" w:type="dxa"/>
        <w:tblLayout w:type="fixed"/>
        <w:tblCellMar>
          <w:left w:w="10" w:type="dxa"/>
          <w:right w:w="10" w:type="dxa"/>
        </w:tblCellMar>
        <w:tblLook w:val="0000" w:firstRow="0" w:lastRow="0" w:firstColumn="0" w:lastColumn="0" w:noHBand="0" w:noVBand="0"/>
      </w:tblPr>
      <w:tblGrid>
        <w:gridCol w:w="1095"/>
        <w:gridCol w:w="4520"/>
        <w:gridCol w:w="1447"/>
        <w:gridCol w:w="1989"/>
      </w:tblGrid>
      <w:tr w:rsidR="0015704E" w:rsidRPr="007213A1" w14:paraId="0542090C" w14:textId="77777777" w:rsidTr="00BA304B">
        <w:trPr>
          <w:trHeight w:val="21"/>
        </w:trPr>
        <w:tc>
          <w:tcPr>
            <w:tcW w:w="1095" w:type="dxa"/>
            <w:tcBorders>
              <w:top w:val="nil"/>
              <w:left w:val="nil"/>
              <w:bottom w:val="single" w:sz="6" w:space="0" w:color="auto"/>
              <w:right w:val="nil"/>
            </w:tcBorders>
            <w:vAlign w:val="center"/>
          </w:tcPr>
          <w:p w14:paraId="2DE4D1E0" w14:textId="77777777" w:rsidR="0015704E" w:rsidRPr="00112B9F" w:rsidRDefault="0015704E" w:rsidP="00003BBF">
            <w:pPr>
              <w:widowControl w:val="0"/>
              <w:rPr>
                <w:b/>
                <w:bCs/>
                <w:color w:val="000000"/>
                <w:sz w:val="20"/>
                <w:szCs w:val="20"/>
                <w:lang w:val="es-AR"/>
              </w:rPr>
            </w:pPr>
            <w:r w:rsidRPr="00112B9F">
              <w:rPr>
                <w:b/>
                <w:bCs/>
                <w:color w:val="000000"/>
                <w:sz w:val="20"/>
                <w:szCs w:val="20"/>
                <w:lang w:val="es-AR"/>
              </w:rPr>
              <w:t>Propiedades</w:t>
            </w:r>
          </w:p>
        </w:tc>
        <w:tc>
          <w:tcPr>
            <w:tcW w:w="4520" w:type="dxa"/>
            <w:tcBorders>
              <w:top w:val="nil"/>
              <w:left w:val="nil"/>
              <w:bottom w:val="single" w:sz="6" w:space="0" w:color="auto"/>
              <w:right w:val="nil"/>
            </w:tcBorders>
            <w:vAlign w:val="center"/>
          </w:tcPr>
          <w:p w14:paraId="3E545CC9" w14:textId="77777777" w:rsidR="0015704E" w:rsidRPr="00112B9F" w:rsidRDefault="0015704E" w:rsidP="00003BBF">
            <w:pPr>
              <w:widowControl w:val="0"/>
              <w:rPr>
                <w:b/>
                <w:bCs/>
                <w:color w:val="000000"/>
                <w:sz w:val="20"/>
                <w:szCs w:val="20"/>
                <w:lang w:val="es-AR"/>
              </w:rPr>
            </w:pPr>
            <w:r w:rsidRPr="00112B9F">
              <w:rPr>
                <w:b/>
                <w:bCs/>
                <w:color w:val="000000"/>
                <w:sz w:val="20"/>
                <w:szCs w:val="20"/>
                <w:lang w:val="es-AR"/>
              </w:rPr>
              <w:t>Domicilio</w:t>
            </w:r>
          </w:p>
        </w:tc>
        <w:tc>
          <w:tcPr>
            <w:tcW w:w="1447" w:type="dxa"/>
            <w:tcBorders>
              <w:top w:val="nil"/>
              <w:left w:val="nil"/>
              <w:bottom w:val="single" w:sz="6" w:space="0" w:color="auto"/>
              <w:right w:val="nil"/>
            </w:tcBorders>
            <w:vAlign w:val="center"/>
          </w:tcPr>
          <w:p w14:paraId="45785FC3" w14:textId="77777777" w:rsidR="0015704E" w:rsidRPr="00112B9F" w:rsidRDefault="0015704E" w:rsidP="00003BBF">
            <w:pPr>
              <w:widowControl w:val="0"/>
              <w:jc w:val="center"/>
              <w:rPr>
                <w:b/>
                <w:bCs/>
                <w:color w:val="000000"/>
                <w:sz w:val="20"/>
                <w:szCs w:val="20"/>
                <w:lang w:val="es-AR"/>
              </w:rPr>
            </w:pPr>
            <w:r w:rsidRPr="00112B9F">
              <w:rPr>
                <w:b/>
                <w:bCs/>
                <w:color w:val="000000"/>
                <w:sz w:val="20"/>
                <w:szCs w:val="20"/>
                <w:lang w:val="es-AR"/>
              </w:rPr>
              <w:t>Metros cuadrados construidos (aprox.)</w:t>
            </w:r>
          </w:p>
        </w:tc>
        <w:tc>
          <w:tcPr>
            <w:tcW w:w="1989" w:type="dxa"/>
            <w:tcBorders>
              <w:top w:val="nil"/>
              <w:left w:val="nil"/>
              <w:bottom w:val="single" w:sz="6" w:space="0" w:color="auto"/>
              <w:right w:val="nil"/>
            </w:tcBorders>
            <w:vAlign w:val="center"/>
          </w:tcPr>
          <w:p w14:paraId="35FEA664" w14:textId="77777777" w:rsidR="0015704E" w:rsidRPr="00112B9F" w:rsidRDefault="0015704E" w:rsidP="00003BBF">
            <w:pPr>
              <w:widowControl w:val="0"/>
              <w:jc w:val="center"/>
              <w:rPr>
                <w:color w:val="000000"/>
                <w:sz w:val="20"/>
                <w:szCs w:val="20"/>
                <w:lang w:val="es-AR"/>
              </w:rPr>
            </w:pPr>
            <w:r w:rsidRPr="00112B9F">
              <w:rPr>
                <w:b/>
                <w:bCs/>
                <w:color w:val="000000"/>
                <w:sz w:val="20"/>
                <w:szCs w:val="20"/>
                <w:lang w:val="es-AR"/>
              </w:rPr>
              <w:t>Principales funciones</w:t>
            </w:r>
          </w:p>
        </w:tc>
      </w:tr>
      <w:tr w:rsidR="0015704E" w:rsidRPr="007213A1" w14:paraId="6DC668AE" w14:textId="77777777" w:rsidTr="00BA304B">
        <w:trPr>
          <w:trHeight w:val="21"/>
        </w:trPr>
        <w:tc>
          <w:tcPr>
            <w:tcW w:w="1095" w:type="dxa"/>
            <w:tcBorders>
              <w:top w:val="single" w:sz="6" w:space="0" w:color="auto"/>
              <w:left w:val="nil"/>
              <w:bottom w:val="single" w:sz="4" w:space="0" w:color="auto"/>
              <w:right w:val="nil"/>
            </w:tcBorders>
          </w:tcPr>
          <w:p w14:paraId="5161C61C" w14:textId="77777777" w:rsidR="0015704E" w:rsidRPr="00112B9F" w:rsidRDefault="0015704E" w:rsidP="00003BBF">
            <w:pPr>
              <w:widowControl w:val="0"/>
              <w:rPr>
                <w:b/>
                <w:color w:val="000000"/>
                <w:sz w:val="20"/>
                <w:szCs w:val="20"/>
                <w:lang w:val="es-AR"/>
              </w:rPr>
            </w:pPr>
            <w:r w:rsidRPr="00112B9F">
              <w:rPr>
                <w:b/>
                <w:color w:val="000000"/>
                <w:sz w:val="20"/>
                <w:szCs w:val="20"/>
                <w:lang w:val="es-AR"/>
              </w:rPr>
              <w:t>Propios</w:t>
            </w:r>
          </w:p>
        </w:tc>
        <w:tc>
          <w:tcPr>
            <w:tcW w:w="4520" w:type="dxa"/>
            <w:tcBorders>
              <w:top w:val="single" w:sz="6" w:space="0" w:color="auto"/>
              <w:left w:val="nil"/>
              <w:bottom w:val="single" w:sz="6" w:space="0" w:color="auto"/>
              <w:right w:val="nil"/>
            </w:tcBorders>
          </w:tcPr>
          <w:p w14:paraId="2EF9F538" w14:textId="77777777" w:rsidR="0015704E" w:rsidRPr="00112B9F" w:rsidRDefault="0015704E" w:rsidP="00003BBF">
            <w:pPr>
              <w:widowControl w:val="0"/>
              <w:rPr>
                <w:bCs/>
                <w:color w:val="000000"/>
                <w:sz w:val="20"/>
                <w:szCs w:val="20"/>
                <w:lang w:val="es-AR"/>
              </w:rPr>
            </w:pPr>
            <w:r w:rsidRPr="00112B9F">
              <w:rPr>
                <w:bCs/>
                <w:color w:val="000000"/>
                <w:sz w:val="20"/>
                <w:szCs w:val="20"/>
                <w:lang w:val="es-AR"/>
              </w:rPr>
              <w:t xml:space="preserve">Comandante Luis Piedrabuena 4950 – S.C. de Bariloche </w:t>
            </w:r>
          </w:p>
        </w:tc>
        <w:tc>
          <w:tcPr>
            <w:tcW w:w="1447" w:type="dxa"/>
            <w:tcBorders>
              <w:top w:val="single" w:sz="6" w:space="0" w:color="auto"/>
              <w:left w:val="nil"/>
              <w:bottom w:val="single" w:sz="6" w:space="0" w:color="auto"/>
              <w:right w:val="nil"/>
            </w:tcBorders>
          </w:tcPr>
          <w:p w14:paraId="46411F0A" w14:textId="18B020DA" w:rsidR="0015704E" w:rsidRPr="00112B9F" w:rsidRDefault="004A4AF5" w:rsidP="00003BBF">
            <w:pPr>
              <w:widowControl w:val="0"/>
              <w:jc w:val="center"/>
              <w:rPr>
                <w:bCs/>
                <w:color w:val="000000"/>
                <w:sz w:val="20"/>
                <w:szCs w:val="20"/>
                <w:lang w:val="es-AR"/>
              </w:rPr>
            </w:pPr>
            <w:r>
              <w:rPr>
                <w:bCs/>
                <w:color w:val="000000"/>
                <w:sz w:val="20"/>
                <w:szCs w:val="20"/>
                <w:lang w:val="es-AR"/>
              </w:rPr>
              <w:t>26.993</w:t>
            </w:r>
          </w:p>
        </w:tc>
        <w:tc>
          <w:tcPr>
            <w:tcW w:w="1989" w:type="dxa"/>
            <w:tcBorders>
              <w:top w:val="single" w:sz="6" w:space="0" w:color="auto"/>
              <w:left w:val="nil"/>
              <w:bottom w:val="single" w:sz="6" w:space="0" w:color="auto"/>
              <w:right w:val="nil"/>
            </w:tcBorders>
          </w:tcPr>
          <w:p w14:paraId="4B50973A" w14:textId="77777777" w:rsidR="0015704E" w:rsidRPr="00112B9F" w:rsidRDefault="0015704E" w:rsidP="00003BBF">
            <w:pPr>
              <w:widowControl w:val="0"/>
              <w:rPr>
                <w:bCs/>
                <w:color w:val="000000"/>
                <w:sz w:val="20"/>
                <w:szCs w:val="20"/>
                <w:lang w:val="es-AR"/>
              </w:rPr>
            </w:pPr>
            <w:r w:rsidRPr="00112B9F">
              <w:rPr>
                <w:bCs/>
                <w:color w:val="000000"/>
                <w:sz w:val="20"/>
                <w:szCs w:val="20"/>
                <w:lang w:val="es-AR"/>
              </w:rPr>
              <w:t>Sede Principal</w:t>
            </w:r>
          </w:p>
        </w:tc>
      </w:tr>
      <w:tr w:rsidR="0015704E" w:rsidRPr="007213A1" w14:paraId="0697CF59" w14:textId="77777777" w:rsidTr="00BA304B">
        <w:trPr>
          <w:trHeight w:val="21"/>
        </w:trPr>
        <w:tc>
          <w:tcPr>
            <w:tcW w:w="1095" w:type="dxa"/>
            <w:tcBorders>
              <w:top w:val="single" w:sz="4" w:space="0" w:color="auto"/>
              <w:left w:val="nil"/>
              <w:bottom w:val="nil"/>
              <w:right w:val="nil"/>
            </w:tcBorders>
          </w:tcPr>
          <w:p w14:paraId="6FAAC887" w14:textId="77777777" w:rsidR="0015704E" w:rsidRPr="00112B9F" w:rsidRDefault="0015704E" w:rsidP="00003BBF">
            <w:pPr>
              <w:widowControl w:val="0"/>
              <w:rPr>
                <w:color w:val="000000"/>
                <w:sz w:val="20"/>
                <w:szCs w:val="20"/>
                <w:lang w:val="es-AR"/>
              </w:rPr>
            </w:pPr>
          </w:p>
        </w:tc>
        <w:tc>
          <w:tcPr>
            <w:tcW w:w="4520" w:type="dxa"/>
            <w:tcBorders>
              <w:top w:val="single" w:sz="6" w:space="0" w:color="auto"/>
              <w:left w:val="nil"/>
              <w:bottom w:val="single" w:sz="4" w:space="0" w:color="auto"/>
            </w:tcBorders>
          </w:tcPr>
          <w:p w14:paraId="05DBE3D9" w14:textId="77777777" w:rsidR="0015704E" w:rsidRPr="00112B9F" w:rsidRDefault="0015704E" w:rsidP="00003BBF">
            <w:pPr>
              <w:widowControl w:val="0"/>
              <w:ind w:hanging="10"/>
              <w:rPr>
                <w:bCs/>
                <w:color w:val="000000"/>
                <w:sz w:val="20"/>
                <w:szCs w:val="20"/>
                <w:lang w:val="es-AR"/>
              </w:rPr>
            </w:pPr>
            <w:r w:rsidRPr="00112B9F">
              <w:rPr>
                <w:bCs/>
                <w:color w:val="000000"/>
                <w:sz w:val="20"/>
                <w:szCs w:val="20"/>
                <w:lang w:val="es-AR"/>
              </w:rPr>
              <w:t>Villa Golf – S. C. de Bariloche</w:t>
            </w:r>
          </w:p>
        </w:tc>
        <w:tc>
          <w:tcPr>
            <w:tcW w:w="1447" w:type="dxa"/>
            <w:tcBorders>
              <w:top w:val="single" w:sz="6" w:space="0" w:color="auto"/>
              <w:bottom w:val="single" w:sz="4" w:space="0" w:color="auto"/>
            </w:tcBorders>
          </w:tcPr>
          <w:p w14:paraId="5FC0B899" w14:textId="77777777" w:rsidR="0015704E" w:rsidRPr="00112B9F" w:rsidRDefault="0015704E" w:rsidP="00003BBF">
            <w:pPr>
              <w:widowControl w:val="0"/>
              <w:jc w:val="center"/>
              <w:rPr>
                <w:bCs/>
                <w:color w:val="000000"/>
                <w:sz w:val="20"/>
                <w:szCs w:val="20"/>
                <w:lang w:val="es-AR"/>
              </w:rPr>
            </w:pPr>
            <w:r w:rsidRPr="00112B9F">
              <w:rPr>
                <w:bCs/>
                <w:color w:val="000000"/>
                <w:sz w:val="20"/>
                <w:szCs w:val="20"/>
                <w:lang w:val="es-AR"/>
              </w:rPr>
              <w:t>592</w:t>
            </w:r>
          </w:p>
        </w:tc>
        <w:tc>
          <w:tcPr>
            <w:tcW w:w="1989" w:type="dxa"/>
            <w:tcBorders>
              <w:top w:val="single" w:sz="6" w:space="0" w:color="auto"/>
              <w:bottom w:val="single" w:sz="4" w:space="0" w:color="auto"/>
              <w:right w:val="nil"/>
            </w:tcBorders>
          </w:tcPr>
          <w:p w14:paraId="7F76AB55" w14:textId="77777777" w:rsidR="0015704E" w:rsidRPr="00112B9F" w:rsidRDefault="0015704E" w:rsidP="00003BBF">
            <w:pPr>
              <w:widowControl w:val="0"/>
              <w:rPr>
                <w:bCs/>
                <w:color w:val="000000"/>
                <w:sz w:val="20"/>
                <w:szCs w:val="20"/>
                <w:lang w:val="es-AR"/>
              </w:rPr>
            </w:pPr>
            <w:r w:rsidRPr="00112B9F">
              <w:rPr>
                <w:bCs/>
                <w:color w:val="000000"/>
                <w:sz w:val="20"/>
                <w:szCs w:val="20"/>
                <w:lang w:val="es-AR"/>
              </w:rPr>
              <w:t>Oficinas Técnicas</w:t>
            </w:r>
          </w:p>
        </w:tc>
      </w:tr>
      <w:tr w:rsidR="0015704E" w:rsidRPr="007213A1" w14:paraId="5B90A0B9" w14:textId="77777777" w:rsidTr="00BA304B">
        <w:trPr>
          <w:trHeight w:val="21"/>
        </w:trPr>
        <w:tc>
          <w:tcPr>
            <w:tcW w:w="1095" w:type="dxa"/>
            <w:tcBorders>
              <w:left w:val="nil"/>
              <w:right w:val="nil"/>
            </w:tcBorders>
          </w:tcPr>
          <w:p w14:paraId="08FA395D" w14:textId="77777777" w:rsidR="0015704E" w:rsidRPr="00112B9F" w:rsidRDefault="0015704E" w:rsidP="00003BBF">
            <w:pPr>
              <w:widowControl w:val="0"/>
              <w:rPr>
                <w:color w:val="000000"/>
                <w:sz w:val="20"/>
                <w:szCs w:val="20"/>
                <w:lang w:val="es-AR"/>
              </w:rPr>
            </w:pPr>
          </w:p>
        </w:tc>
        <w:tc>
          <w:tcPr>
            <w:tcW w:w="4520" w:type="dxa"/>
            <w:tcBorders>
              <w:top w:val="single" w:sz="4" w:space="0" w:color="auto"/>
              <w:left w:val="nil"/>
              <w:bottom w:val="single" w:sz="4" w:space="0" w:color="auto"/>
            </w:tcBorders>
          </w:tcPr>
          <w:p w14:paraId="027768D3" w14:textId="77777777" w:rsidR="0015704E" w:rsidRPr="00112B9F" w:rsidRDefault="0015704E" w:rsidP="00003BBF">
            <w:pPr>
              <w:widowControl w:val="0"/>
              <w:ind w:hanging="10"/>
              <w:rPr>
                <w:bCs/>
                <w:color w:val="000000"/>
                <w:sz w:val="20"/>
                <w:szCs w:val="20"/>
                <w:lang w:val="es-AR"/>
              </w:rPr>
            </w:pPr>
            <w:r w:rsidRPr="00112B9F">
              <w:rPr>
                <w:bCs/>
                <w:color w:val="000000"/>
                <w:sz w:val="20"/>
                <w:szCs w:val="20"/>
                <w:lang w:val="es-AR"/>
              </w:rPr>
              <w:t>Villa Golf – S.C. de Bariloche</w:t>
            </w:r>
          </w:p>
        </w:tc>
        <w:tc>
          <w:tcPr>
            <w:tcW w:w="1447" w:type="dxa"/>
            <w:tcBorders>
              <w:top w:val="single" w:sz="4" w:space="0" w:color="auto"/>
              <w:bottom w:val="single" w:sz="4" w:space="0" w:color="auto"/>
            </w:tcBorders>
          </w:tcPr>
          <w:p w14:paraId="39FD176E" w14:textId="77777777" w:rsidR="0015704E" w:rsidRPr="00112B9F" w:rsidRDefault="0015704E" w:rsidP="00003BBF">
            <w:pPr>
              <w:widowControl w:val="0"/>
              <w:jc w:val="center"/>
              <w:rPr>
                <w:bCs/>
                <w:color w:val="000000"/>
                <w:sz w:val="20"/>
                <w:szCs w:val="20"/>
                <w:lang w:val="es-AR"/>
              </w:rPr>
            </w:pPr>
            <w:r w:rsidRPr="00112B9F">
              <w:rPr>
                <w:bCs/>
                <w:color w:val="000000"/>
                <w:sz w:val="20"/>
                <w:szCs w:val="20"/>
                <w:lang w:val="es-AR"/>
              </w:rPr>
              <w:t>1.094</w:t>
            </w:r>
          </w:p>
        </w:tc>
        <w:tc>
          <w:tcPr>
            <w:tcW w:w="1989" w:type="dxa"/>
            <w:tcBorders>
              <w:top w:val="single" w:sz="4" w:space="0" w:color="auto"/>
              <w:bottom w:val="single" w:sz="4" w:space="0" w:color="auto"/>
              <w:right w:val="nil"/>
            </w:tcBorders>
          </w:tcPr>
          <w:p w14:paraId="3D78BA52" w14:textId="77777777" w:rsidR="0015704E" w:rsidRPr="00112B9F" w:rsidRDefault="0015704E" w:rsidP="00003BBF">
            <w:pPr>
              <w:widowControl w:val="0"/>
              <w:rPr>
                <w:bCs/>
                <w:color w:val="000000"/>
                <w:sz w:val="20"/>
                <w:szCs w:val="20"/>
                <w:lang w:val="es-AR"/>
              </w:rPr>
            </w:pPr>
            <w:r w:rsidRPr="00112B9F">
              <w:rPr>
                <w:bCs/>
                <w:color w:val="000000"/>
                <w:sz w:val="20"/>
                <w:szCs w:val="20"/>
                <w:lang w:val="es-AR"/>
              </w:rPr>
              <w:t>Laboratorios</w:t>
            </w:r>
          </w:p>
        </w:tc>
      </w:tr>
      <w:tr w:rsidR="0015704E" w:rsidRPr="007213A1" w14:paraId="54B16C28" w14:textId="77777777" w:rsidTr="00BA304B">
        <w:trPr>
          <w:trHeight w:val="21"/>
        </w:trPr>
        <w:tc>
          <w:tcPr>
            <w:tcW w:w="1095" w:type="dxa"/>
            <w:tcBorders>
              <w:left w:val="nil"/>
              <w:right w:val="nil"/>
            </w:tcBorders>
          </w:tcPr>
          <w:p w14:paraId="5672B73E" w14:textId="77777777" w:rsidR="0015704E" w:rsidRPr="00112B9F" w:rsidRDefault="0015704E" w:rsidP="00003BBF">
            <w:pPr>
              <w:widowControl w:val="0"/>
              <w:rPr>
                <w:color w:val="000000"/>
                <w:sz w:val="20"/>
                <w:szCs w:val="20"/>
                <w:lang w:val="es-AR"/>
              </w:rPr>
            </w:pPr>
          </w:p>
        </w:tc>
        <w:tc>
          <w:tcPr>
            <w:tcW w:w="4520" w:type="dxa"/>
            <w:tcBorders>
              <w:top w:val="single" w:sz="4" w:space="0" w:color="auto"/>
              <w:left w:val="nil"/>
              <w:bottom w:val="single" w:sz="4" w:space="0" w:color="auto"/>
            </w:tcBorders>
          </w:tcPr>
          <w:p w14:paraId="09EC9DCB" w14:textId="77777777" w:rsidR="0015704E" w:rsidRPr="00112B9F" w:rsidRDefault="0015704E" w:rsidP="00003BBF">
            <w:pPr>
              <w:widowControl w:val="0"/>
              <w:ind w:hanging="10"/>
              <w:rPr>
                <w:bCs/>
                <w:color w:val="000000"/>
                <w:sz w:val="20"/>
                <w:szCs w:val="20"/>
                <w:lang w:val="es-AR"/>
              </w:rPr>
            </w:pPr>
            <w:r w:rsidRPr="00112B9F">
              <w:rPr>
                <w:bCs/>
                <w:color w:val="000000"/>
                <w:sz w:val="20"/>
                <w:szCs w:val="20"/>
                <w:lang w:val="es-AR"/>
              </w:rPr>
              <w:t>Mendoza 220/224 – S.C. de Bariloche</w:t>
            </w:r>
          </w:p>
        </w:tc>
        <w:tc>
          <w:tcPr>
            <w:tcW w:w="1447" w:type="dxa"/>
            <w:tcBorders>
              <w:top w:val="single" w:sz="4" w:space="0" w:color="auto"/>
              <w:bottom w:val="single" w:sz="4" w:space="0" w:color="auto"/>
            </w:tcBorders>
          </w:tcPr>
          <w:p w14:paraId="556E272C" w14:textId="5407681F" w:rsidR="0015704E" w:rsidRPr="00112B9F" w:rsidRDefault="0015704E" w:rsidP="00003BBF">
            <w:pPr>
              <w:widowControl w:val="0"/>
              <w:jc w:val="center"/>
              <w:rPr>
                <w:bCs/>
                <w:color w:val="000000"/>
                <w:sz w:val="20"/>
                <w:szCs w:val="20"/>
                <w:lang w:val="es-AR"/>
              </w:rPr>
            </w:pPr>
            <w:r w:rsidRPr="00112B9F">
              <w:rPr>
                <w:bCs/>
                <w:color w:val="000000"/>
                <w:sz w:val="20"/>
                <w:szCs w:val="20"/>
                <w:lang w:val="es-AR"/>
              </w:rPr>
              <w:t>1</w:t>
            </w:r>
            <w:r w:rsidR="00F85F93">
              <w:rPr>
                <w:bCs/>
                <w:color w:val="000000"/>
                <w:sz w:val="20"/>
                <w:szCs w:val="20"/>
                <w:lang w:val="es-AR"/>
              </w:rPr>
              <w:t>.</w:t>
            </w:r>
            <w:r w:rsidRPr="00112B9F">
              <w:rPr>
                <w:bCs/>
                <w:color w:val="000000"/>
                <w:sz w:val="20"/>
                <w:szCs w:val="20"/>
                <w:lang w:val="es-AR"/>
              </w:rPr>
              <w:t>022</w:t>
            </w:r>
          </w:p>
        </w:tc>
        <w:tc>
          <w:tcPr>
            <w:tcW w:w="1989" w:type="dxa"/>
            <w:tcBorders>
              <w:top w:val="single" w:sz="4" w:space="0" w:color="auto"/>
              <w:bottom w:val="single" w:sz="4" w:space="0" w:color="auto"/>
              <w:right w:val="nil"/>
            </w:tcBorders>
          </w:tcPr>
          <w:p w14:paraId="7DE1A630" w14:textId="77777777" w:rsidR="0015704E" w:rsidRPr="00112B9F" w:rsidRDefault="0015704E" w:rsidP="00003BBF">
            <w:pPr>
              <w:widowControl w:val="0"/>
              <w:rPr>
                <w:bCs/>
                <w:color w:val="000000"/>
                <w:sz w:val="20"/>
                <w:szCs w:val="20"/>
                <w:lang w:val="es-AR"/>
              </w:rPr>
            </w:pPr>
            <w:r w:rsidRPr="00112B9F">
              <w:rPr>
                <w:bCs/>
                <w:color w:val="000000"/>
                <w:sz w:val="20"/>
                <w:szCs w:val="20"/>
                <w:lang w:val="es-AR"/>
              </w:rPr>
              <w:t>Oficinas y Laboratorios</w:t>
            </w:r>
          </w:p>
        </w:tc>
      </w:tr>
      <w:tr w:rsidR="0015704E" w:rsidRPr="007213A1" w14:paraId="03A87388" w14:textId="77777777" w:rsidTr="00BA304B">
        <w:trPr>
          <w:trHeight w:val="21"/>
        </w:trPr>
        <w:tc>
          <w:tcPr>
            <w:tcW w:w="1095" w:type="dxa"/>
            <w:tcBorders>
              <w:left w:val="nil"/>
              <w:bottom w:val="nil"/>
              <w:right w:val="nil"/>
            </w:tcBorders>
          </w:tcPr>
          <w:p w14:paraId="358F29F3" w14:textId="77777777" w:rsidR="0015704E" w:rsidRPr="00112B9F" w:rsidRDefault="0015704E" w:rsidP="00003BBF">
            <w:pPr>
              <w:widowControl w:val="0"/>
              <w:rPr>
                <w:color w:val="000000"/>
                <w:sz w:val="20"/>
                <w:szCs w:val="20"/>
                <w:lang w:val="es-AR"/>
              </w:rPr>
            </w:pPr>
          </w:p>
        </w:tc>
        <w:tc>
          <w:tcPr>
            <w:tcW w:w="4520" w:type="dxa"/>
            <w:tcBorders>
              <w:top w:val="single" w:sz="4" w:space="0" w:color="auto"/>
              <w:left w:val="nil"/>
              <w:bottom w:val="single" w:sz="4" w:space="0" w:color="auto"/>
            </w:tcBorders>
          </w:tcPr>
          <w:p w14:paraId="50492CF0" w14:textId="77777777" w:rsidR="0015704E" w:rsidRPr="00112B9F" w:rsidRDefault="0015704E" w:rsidP="00003BBF">
            <w:pPr>
              <w:widowControl w:val="0"/>
              <w:ind w:hanging="10"/>
              <w:rPr>
                <w:bCs/>
                <w:color w:val="000000"/>
                <w:sz w:val="20"/>
                <w:szCs w:val="20"/>
                <w:lang w:val="es-AR"/>
              </w:rPr>
            </w:pPr>
            <w:r w:rsidRPr="00112B9F">
              <w:rPr>
                <w:bCs/>
                <w:color w:val="000000"/>
                <w:sz w:val="20"/>
                <w:szCs w:val="20"/>
                <w:lang w:val="es-AR"/>
              </w:rPr>
              <w:t>Francisco P. Moreno 1043 - S.C. de Bariloche</w:t>
            </w:r>
          </w:p>
        </w:tc>
        <w:tc>
          <w:tcPr>
            <w:tcW w:w="1447" w:type="dxa"/>
            <w:tcBorders>
              <w:top w:val="single" w:sz="4" w:space="0" w:color="auto"/>
              <w:bottom w:val="single" w:sz="4" w:space="0" w:color="auto"/>
            </w:tcBorders>
          </w:tcPr>
          <w:p w14:paraId="224DCEFA" w14:textId="77777777" w:rsidR="0015704E" w:rsidRPr="00112B9F" w:rsidRDefault="0015704E" w:rsidP="00003BBF">
            <w:pPr>
              <w:widowControl w:val="0"/>
              <w:jc w:val="center"/>
              <w:rPr>
                <w:bCs/>
                <w:color w:val="000000"/>
                <w:sz w:val="20"/>
                <w:szCs w:val="20"/>
                <w:lang w:val="es-AR"/>
              </w:rPr>
            </w:pPr>
            <w:r w:rsidRPr="00112B9F">
              <w:rPr>
                <w:bCs/>
                <w:color w:val="000000"/>
                <w:sz w:val="20"/>
                <w:szCs w:val="20"/>
                <w:lang w:val="es-AR"/>
              </w:rPr>
              <w:t>325</w:t>
            </w:r>
          </w:p>
        </w:tc>
        <w:tc>
          <w:tcPr>
            <w:tcW w:w="1989" w:type="dxa"/>
            <w:tcBorders>
              <w:top w:val="single" w:sz="4" w:space="0" w:color="auto"/>
              <w:bottom w:val="single" w:sz="4" w:space="0" w:color="auto"/>
              <w:right w:val="nil"/>
            </w:tcBorders>
          </w:tcPr>
          <w:p w14:paraId="1E0A13DB" w14:textId="77777777" w:rsidR="0015704E" w:rsidRPr="00112B9F" w:rsidRDefault="0015704E" w:rsidP="00003BBF">
            <w:pPr>
              <w:widowControl w:val="0"/>
              <w:rPr>
                <w:bCs/>
                <w:color w:val="000000"/>
                <w:sz w:val="20"/>
                <w:szCs w:val="20"/>
                <w:lang w:val="es-AR"/>
              </w:rPr>
            </w:pPr>
            <w:r w:rsidRPr="00112B9F">
              <w:rPr>
                <w:bCs/>
                <w:color w:val="000000"/>
                <w:sz w:val="20"/>
                <w:szCs w:val="20"/>
                <w:lang w:val="es-AR"/>
              </w:rPr>
              <w:t>Oficinas Técnicas</w:t>
            </w:r>
          </w:p>
        </w:tc>
      </w:tr>
      <w:tr w:rsidR="0015704E" w:rsidRPr="007213A1" w14:paraId="5CF521DF" w14:textId="77777777" w:rsidTr="00BA304B">
        <w:trPr>
          <w:trHeight w:val="21"/>
        </w:trPr>
        <w:tc>
          <w:tcPr>
            <w:tcW w:w="1095" w:type="dxa"/>
            <w:tcBorders>
              <w:top w:val="nil"/>
              <w:left w:val="nil"/>
              <w:bottom w:val="nil"/>
              <w:right w:val="nil"/>
            </w:tcBorders>
          </w:tcPr>
          <w:p w14:paraId="7064DA02" w14:textId="77777777" w:rsidR="0015704E" w:rsidRPr="00112B9F" w:rsidRDefault="0015704E" w:rsidP="00003BBF">
            <w:pPr>
              <w:widowControl w:val="0"/>
              <w:rPr>
                <w:color w:val="000000"/>
                <w:sz w:val="20"/>
                <w:szCs w:val="20"/>
                <w:lang w:val="es-AR"/>
              </w:rPr>
            </w:pPr>
          </w:p>
        </w:tc>
        <w:tc>
          <w:tcPr>
            <w:tcW w:w="4520" w:type="dxa"/>
            <w:tcBorders>
              <w:top w:val="single" w:sz="4" w:space="0" w:color="auto"/>
              <w:left w:val="nil"/>
              <w:bottom w:val="single" w:sz="4" w:space="0" w:color="auto"/>
            </w:tcBorders>
          </w:tcPr>
          <w:p w14:paraId="680C6201" w14:textId="77777777" w:rsidR="0015704E" w:rsidRPr="00112B9F" w:rsidRDefault="0015704E" w:rsidP="00003BBF">
            <w:pPr>
              <w:widowControl w:val="0"/>
              <w:ind w:hanging="10"/>
              <w:rPr>
                <w:bCs/>
                <w:color w:val="000000"/>
                <w:sz w:val="20"/>
                <w:szCs w:val="20"/>
                <w:lang w:val="es-AR"/>
              </w:rPr>
            </w:pPr>
            <w:r w:rsidRPr="00112B9F">
              <w:rPr>
                <w:bCs/>
                <w:color w:val="000000"/>
                <w:sz w:val="20"/>
                <w:szCs w:val="20"/>
                <w:lang w:val="es-AR"/>
              </w:rPr>
              <w:t>Ruiz Moreno 363 – S.C. de Bariloche</w:t>
            </w:r>
          </w:p>
        </w:tc>
        <w:tc>
          <w:tcPr>
            <w:tcW w:w="1447" w:type="dxa"/>
            <w:tcBorders>
              <w:top w:val="single" w:sz="4" w:space="0" w:color="auto"/>
              <w:bottom w:val="single" w:sz="4" w:space="0" w:color="auto"/>
            </w:tcBorders>
          </w:tcPr>
          <w:p w14:paraId="3E18B421" w14:textId="77777777" w:rsidR="0015704E" w:rsidRPr="00112B9F" w:rsidRDefault="0015704E" w:rsidP="00003BBF">
            <w:pPr>
              <w:widowControl w:val="0"/>
              <w:jc w:val="center"/>
              <w:rPr>
                <w:bCs/>
                <w:color w:val="000000"/>
                <w:sz w:val="20"/>
                <w:szCs w:val="20"/>
                <w:lang w:val="es-AR"/>
              </w:rPr>
            </w:pPr>
            <w:r w:rsidRPr="00112B9F">
              <w:rPr>
                <w:bCs/>
                <w:color w:val="000000"/>
                <w:sz w:val="20"/>
                <w:szCs w:val="20"/>
                <w:lang w:val="es-AR"/>
              </w:rPr>
              <w:t>355</w:t>
            </w:r>
          </w:p>
        </w:tc>
        <w:tc>
          <w:tcPr>
            <w:tcW w:w="1989" w:type="dxa"/>
            <w:tcBorders>
              <w:top w:val="single" w:sz="4" w:space="0" w:color="auto"/>
              <w:bottom w:val="single" w:sz="4" w:space="0" w:color="auto"/>
              <w:right w:val="nil"/>
            </w:tcBorders>
          </w:tcPr>
          <w:p w14:paraId="54C321D1" w14:textId="77777777" w:rsidR="0015704E" w:rsidRPr="00112B9F" w:rsidRDefault="0015704E" w:rsidP="00003BBF">
            <w:pPr>
              <w:widowControl w:val="0"/>
              <w:rPr>
                <w:bCs/>
                <w:color w:val="000000"/>
                <w:sz w:val="20"/>
                <w:szCs w:val="20"/>
                <w:lang w:val="es-AR"/>
              </w:rPr>
            </w:pPr>
            <w:r w:rsidRPr="00112B9F">
              <w:rPr>
                <w:bCs/>
                <w:color w:val="000000"/>
                <w:sz w:val="20"/>
                <w:szCs w:val="20"/>
                <w:lang w:val="es-AR"/>
              </w:rPr>
              <w:t>Oficinas y Laboratorio</w:t>
            </w:r>
          </w:p>
        </w:tc>
      </w:tr>
      <w:tr w:rsidR="0015704E" w:rsidRPr="007213A1" w14:paraId="6ABA9710" w14:textId="77777777" w:rsidTr="00BA304B">
        <w:trPr>
          <w:trHeight w:val="21"/>
        </w:trPr>
        <w:tc>
          <w:tcPr>
            <w:tcW w:w="1095" w:type="dxa"/>
            <w:tcBorders>
              <w:top w:val="nil"/>
              <w:left w:val="nil"/>
              <w:bottom w:val="nil"/>
              <w:right w:val="nil"/>
            </w:tcBorders>
          </w:tcPr>
          <w:p w14:paraId="432144C6" w14:textId="77777777" w:rsidR="0015704E" w:rsidRPr="00112B9F" w:rsidRDefault="0015704E" w:rsidP="00003BBF">
            <w:pPr>
              <w:widowControl w:val="0"/>
              <w:rPr>
                <w:color w:val="000000"/>
                <w:sz w:val="20"/>
                <w:szCs w:val="20"/>
                <w:lang w:val="es-AR"/>
              </w:rPr>
            </w:pPr>
          </w:p>
        </w:tc>
        <w:tc>
          <w:tcPr>
            <w:tcW w:w="4520" w:type="dxa"/>
            <w:tcBorders>
              <w:top w:val="single" w:sz="4" w:space="0" w:color="auto"/>
              <w:left w:val="nil"/>
              <w:bottom w:val="single" w:sz="4" w:space="0" w:color="auto"/>
            </w:tcBorders>
          </w:tcPr>
          <w:p w14:paraId="6E5834D2" w14:textId="37E8FB4D" w:rsidR="0015704E" w:rsidRPr="00112B9F" w:rsidRDefault="0015704E" w:rsidP="00003BBF">
            <w:pPr>
              <w:widowControl w:val="0"/>
              <w:ind w:hanging="10"/>
              <w:rPr>
                <w:bCs/>
                <w:color w:val="000000"/>
                <w:sz w:val="20"/>
                <w:szCs w:val="20"/>
                <w:lang w:val="es-AR"/>
              </w:rPr>
            </w:pPr>
            <w:r w:rsidRPr="00112B9F">
              <w:rPr>
                <w:bCs/>
                <w:color w:val="000000"/>
                <w:sz w:val="20"/>
                <w:szCs w:val="20"/>
                <w:lang w:val="es-AR"/>
              </w:rPr>
              <w:t xml:space="preserve">Santa Cruz </w:t>
            </w:r>
            <w:r w:rsidR="004A4AF5">
              <w:rPr>
                <w:bCs/>
                <w:color w:val="000000"/>
                <w:sz w:val="20"/>
                <w:szCs w:val="20"/>
                <w:lang w:val="es-AR"/>
              </w:rPr>
              <w:t>1.579</w:t>
            </w:r>
            <w:r w:rsidRPr="00112B9F">
              <w:rPr>
                <w:bCs/>
                <w:color w:val="000000"/>
                <w:sz w:val="20"/>
                <w:szCs w:val="20"/>
                <w:lang w:val="es-AR"/>
              </w:rPr>
              <w:t>– S.C. de Bariloche</w:t>
            </w:r>
          </w:p>
        </w:tc>
        <w:tc>
          <w:tcPr>
            <w:tcW w:w="1447" w:type="dxa"/>
            <w:tcBorders>
              <w:top w:val="single" w:sz="4" w:space="0" w:color="auto"/>
              <w:bottom w:val="single" w:sz="4" w:space="0" w:color="auto"/>
            </w:tcBorders>
          </w:tcPr>
          <w:p w14:paraId="48EF54C6" w14:textId="77777777" w:rsidR="0015704E" w:rsidRPr="00112B9F" w:rsidRDefault="0015704E" w:rsidP="00003BBF">
            <w:pPr>
              <w:widowControl w:val="0"/>
              <w:jc w:val="center"/>
              <w:rPr>
                <w:bCs/>
                <w:color w:val="000000"/>
                <w:sz w:val="20"/>
                <w:szCs w:val="20"/>
                <w:lang w:val="es-AR"/>
              </w:rPr>
            </w:pPr>
            <w:r w:rsidRPr="00112B9F">
              <w:rPr>
                <w:bCs/>
                <w:color w:val="000000"/>
                <w:sz w:val="20"/>
                <w:szCs w:val="20"/>
                <w:lang w:val="es-AR"/>
              </w:rPr>
              <w:t>407</w:t>
            </w:r>
          </w:p>
        </w:tc>
        <w:tc>
          <w:tcPr>
            <w:tcW w:w="1989" w:type="dxa"/>
            <w:tcBorders>
              <w:top w:val="single" w:sz="4" w:space="0" w:color="auto"/>
              <w:bottom w:val="single" w:sz="4" w:space="0" w:color="auto"/>
              <w:right w:val="nil"/>
            </w:tcBorders>
          </w:tcPr>
          <w:p w14:paraId="20940CC5" w14:textId="77777777" w:rsidR="0015704E" w:rsidRPr="00112B9F" w:rsidRDefault="0015704E" w:rsidP="00003BBF">
            <w:pPr>
              <w:widowControl w:val="0"/>
              <w:rPr>
                <w:bCs/>
                <w:color w:val="000000"/>
                <w:sz w:val="20"/>
                <w:szCs w:val="20"/>
                <w:lang w:val="es-AR"/>
              </w:rPr>
            </w:pPr>
            <w:r w:rsidRPr="00112B9F">
              <w:rPr>
                <w:bCs/>
                <w:color w:val="000000"/>
                <w:sz w:val="20"/>
                <w:szCs w:val="20"/>
                <w:lang w:val="es-AR"/>
              </w:rPr>
              <w:t>Talleres y Laboratorio</w:t>
            </w:r>
          </w:p>
        </w:tc>
      </w:tr>
      <w:tr w:rsidR="0015704E" w:rsidRPr="007213A1" w14:paraId="6CD1F288" w14:textId="77777777" w:rsidTr="00BA304B">
        <w:trPr>
          <w:trHeight w:val="21"/>
        </w:trPr>
        <w:tc>
          <w:tcPr>
            <w:tcW w:w="1095" w:type="dxa"/>
            <w:tcBorders>
              <w:top w:val="nil"/>
              <w:left w:val="nil"/>
              <w:bottom w:val="nil"/>
              <w:right w:val="nil"/>
            </w:tcBorders>
          </w:tcPr>
          <w:p w14:paraId="1342352E" w14:textId="77777777" w:rsidR="0015704E" w:rsidRPr="00112B9F" w:rsidRDefault="0015704E" w:rsidP="00003BBF">
            <w:pPr>
              <w:widowControl w:val="0"/>
              <w:rPr>
                <w:color w:val="000000"/>
                <w:sz w:val="20"/>
                <w:szCs w:val="20"/>
                <w:lang w:val="es-AR"/>
              </w:rPr>
            </w:pPr>
          </w:p>
        </w:tc>
        <w:tc>
          <w:tcPr>
            <w:tcW w:w="4520" w:type="dxa"/>
            <w:tcBorders>
              <w:top w:val="single" w:sz="4" w:space="0" w:color="auto"/>
              <w:left w:val="nil"/>
              <w:bottom w:val="single" w:sz="4" w:space="0" w:color="auto"/>
            </w:tcBorders>
          </w:tcPr>
          <w:p w14:paraId="6DFEDC8E" w14:textId="7FFD83F9" w:rsidR="0015704E" w:rsidRPr="00112B9F" w:rsidRDefault="0015704E" w:rsidP="00003BBF">
            <w:pPr>
              <w:widowControl w:val="0"/>
              <w:ind w:hanging="10"/>
              <w:rPr>
                <w:bCs/>
                <w:color w:val="000000"/>
                <w:sz w:val="20"/>
                <w:szCs w:val="20"/>
                <w:lang w:val="es-AR"/>
              </w:rPr>
            </w:pPr>
            <w:r w:rsidRPr="00112B9F">
              <w:rPr>
                <w:bCs/>
                <w:color w:val="000000"/>
                <w:sz w:val="20"/>
                <w:szCs w:val="20"/>
                <w:lang w:val="es-AR"/>
              </w:rPr>
              <w:t xml:space="preserve">Modesta Victoria </w:t>
            </w:r>
            <w:r w:rsidR="004A4AF5">
              <w:rPr>
                <w:bCs/>
                <w:color w:val="000000"/>
                <w:sz w:val="20"/>
                <w:szCs w:val="20"/>
                <w:lang w:val="es-AR"/>
              </w:rPr>
              <w:t>4.140</w:t>
            </w:r>
            <w:r w:rsidR="004A4AF5" w:rsidRPr="00112B9F">
              <w:rPr>
                <w:bCs/>
                <w:color w:val="000000"/>
                <w:sz w:val="20"/>
                <w:szCs w:val="20"/>
                <w:lang w:val="es-AR"/>
              </w:rPr>
              <w:t xml:space="preserve"> </w:t>
            </w:r>
            <w:r w:rsidRPr="00112B9F">
              <w:rPr>
                <w:bCs/>
                <w:color w:val="000000"/>
                <w:sz w:val="20"/>
                <w:szCs w:val="20"/>
                <w:lang w:val="es-AR"/>
              </w:rPr>
              <w:t>– S.C. de Bariloche</w:t>
            </w:r>
          </w:p>
        </w:tc>
        <w:tc>
          <w:tcPr>
            <w:tcW w:w="1447" w:type="dxa"/>
            <w:tcBorders>
              <w:top w:val="single" w:sz="4" w:space="0" w:color="auto"/>
              <w:bottom w:val="single" w:sz="4" w:space="0" w:color="auto"/>
            </w:tcBorders>
          </w:tcPr>
          <w:p w14:paraId="6560324A" w14:textId="77777777" w:rsidR="0015704E" w:rsidRPr="00112B9F" w:rsidRDefault="0015704E" w:rsidP="00003BBF">
            <w:pPr>
              <w:widowControl w:val="0"/>
              <w:jc w:val="center"/>
              <w:rPr>
                <w:bCs/>
                <w:color w:val="000000"/>
                <w:sz w:val="20"/>
                <w:szCs w:val="20"/>
                <w:lang w:val="es-AR"/>
              </w:rPr>
            </w:pPr>
            <w:r w:rsidRPr="00112B9F">
              <w:rPr>
                <w:bCs/>
                <w:color w:val="000000"/>
                <w:sz w:val="20"/>
                <w:szCs w:val="20"/>
                <w:lang w:val="es-AR"/>
              </w:rPr>
              <w:t>1.930</w:t>
            </w:r>
          </w:p>
        </w:tc>
        <w:tc>
          <w:tcPr>
            <w:tcW w:w="1989" w:type="dxa"/>
            <w:tcBorders>
              <w:top w:val="single" w:sz="4" w:space="0" w:color="auto"/>
              <w:bottom w:val="single" w:sz="4" w:space="0" w:color="auto"/>
              <w:right w:val="nil"/>
            </w:tcBorders>
          </w:tcPr>
          <w:p w14:paraId="367620B8" w14:textId="77777777" w:rsidR="0015704E" w:rsidRPr="00112B9F" w:rsidRDefault="0015704E" w:rsidP="00003BBF">
            <w:pPr>
              <w:widowControl w:val="0"/>
              <w:rPr>
                <w:bCs/>
                <w:color w:val="000000"/>
                <w:sz w:val="20"/>
                <w:szCs w:val="20"/>
                <w:lang w:val="es-AR"/>
              </w:rPr>
            </w:pPr>
            <w:r w:rsidRPr="00112B9F">
              <w:rPr>
                <w:bCs/>
                <w:color w:val="000000"/>
                <w:sz w:val="20"/>
                <w:szCs w:val="20"/>
                <w:lang w:val="es-AR"/>
              </w:rPr>
              <w:t>Depósito Central</w:t>
            </w:r>
          </w:p>
        </w:tc>
      </w:tr>
      <w:tr w:rsidR="0015704E" w:rsidRPr="007213A1" w14:paraId="3AF750DF" w14:textId="77777777" w:rsidTr="00BA304B">
        <w:trPr>
          <w:trHeight w:val="21"/>
        </w:trPr>
        <w:tc>
          <w:tcPr>
            <w:tcW w:w="1095" w:type="dxa"/>
            <w:tcBorders>
              <w:top w:val="nil"/>
              <w:left w:val="nil"/>
              <w:bottom w:val="nil"/>
              <w:right w:val="nil"/>
            </w:tcBorders>
          </w:tcPr>
          <w:p w14:paraId="4D523461" w14:textId="77777777" w:rsidR="0015704E" w:rsidRPr="00112B9F" w:rsidRDefault="0015704E" w:rsidP="00003BBF">
            <w:pPr>
              <w:widowControl w:val="0"/>
              <w:rPr>
                <w:color w:val="000000"/>
                <w:sz w:val="20"/>
                <w:szCs w:val="20"/>
                <w:lang w:val="es-AR"/>
              </w:rPr>
            </w:pPr>
          </w:p>
        </w:tc>
        <w:tc>
          <w:tcPr>
            <w:tcW w:w="4520" w:type="dxa"/>
            <w:tcBorders>
              <w:top w:val="single" w:sz="4" w:space="0" w:color="auto"/>
              <w:left w:val="nil"/>
              <w:bottom w:val="single" w:sz="4" w:space="0" w:color="auto"/>
            </w:tcBorders>
          </w:tcPr>
          <w:p w14:paraId="65B05982" w14:textId="77777777" w:rsidR="0015704E" w:rsidRPr="00112B9F" w:rsidRDefault="0015704E" w:rsidP="00003BBF">
            <w:pPr>
              <w:widowControl w:val="0"/>
              <w:ind w:hanging="10"/>
              <w:rPr>
                <w:bCs/>
                <w:color w:val="000000"/>
                <w:sz w:val="20"/>
                <w:szCs w:val="20"/>
                <w:lang w:val="es-AR"/>
              </w:rPr>
            </w:pPr>
            <w:r w:rsidRPr="00112B9F">
              <w:rPr>
                <w:bCs/>
                <w:color w:val="000000"/>
                <w:sz w:val="20"/>
                <w:szCs w:val="20"/>
                <w:lang w:val="es-AR"/>
              </w:rPr>
              <w:t>Esmeralda 354/56 – Ciudad Autónoma de Buenos Aires</w:t>
            </w:r>
          </w:p>
        </w:tc>
        <w:tc>
          <w:tcPr>
            <w:tcW w:w="1447" w:type="dxa"/>
            <w:tcBorders>
              <w:top w:val="single" w:sz="4" w:space="0" w:color="auto"/>
              <w:bottom w:val="single" w:sz="4" w:space="0" w:color="auto"/>
            </w:tcBorders>
          </w:tcPr>
          <w:p w14:paraId="3966BC20" w14:textId="3BBCE0D7" w:rsidR="0015704E" w:rsidRPr="00112B9F" w:rsidRDefault="004A4AF5" w:rsidP="00003BBF">
            <w:pPr>
              <w:widowControl w:val="0"/>
              <w:jc w:val="center"/>
              <w:rPr>
                <w:bCs/>
                <w:color w:val="000000"/>
                <w:sz w:val="20"/>
                <w:szCs w:val="20"/>
                <w:lang w:val="es-AR"/>
              </w:rPr>
            </w:pPr>
            <w:r>
              <w:rPr>
                <w:bCs/>
                <w:color w:val="000000"/>
                <w:sz w:val="20"/>
                <w:szCs w:val="20"/>
                <w:lang w:val="es-AR"/>
              </w:rPr>
              <w:t>1.240</w:t>
            </w:r>
          </w:p>
        </w:tc>
        <w:tc>
          <w:tcPr>
            <w:tcW w:w="1989" w:type="dxa"/>
            <w:tcBorders>
              <w:top w:val="single" w:sz="4" w:space="0" w:color="auto"/>
              <w:bottom w:val="single" w:sz="4" w:space="0" w:color="auto"/>
              <w:right w:val="nil"/>
            </w:tcBorders>
          </w:tcPr>
          <w:p w14:paraId="354BE0AE" w14:textId="77777777" w:rsidR="0015704E" w:rsidRPr="00112B9F" w:rsidRDefault="0015704E" w:rsidP="00003BBF">
            <w:pPr>
              <w:widowControl w:val="0"/>
              <w:rPr>
                <w:bCs/>
                <w:color w:val="000000"/>
                <w:sz w:val="20"/>
                <w:szCs w:val="20"/>
                <w:lang w:val="es-AR"/>
              </w:rPr>
            </w:pPr>
            <w:r w:rsidRPr="00112B9F">
              <w:rPr>
                <w:bCs/>
                <w:color w:val="000000"/>
                <w:sz w:val="20"/>
                <w:szCs w:val="20"/>
                <w:lang w:val="es-AR"/>
              </w:rPr>
              <w:t>Oficinas</w:t>
            </w:r>
          </w:p>
        </w:tc>
      </w:tr>
      <w:tr w:rsidR="0015704E" w:rsidRPr="007213A1" w14:paraId="291C0A37" w14:textId="77777777" w:rsidTr="00BA304B">
        <w:trPr>
          <w:trHeight w:val="199"/>
        </w:trPr>
        <w:tc>
          <w:tcPr>
            <w:tcW w:w="1095" w:type="dxa"/>
            <w:vMerge w:val="restart"/>
            <w:tcBorders>
              <w:top w:val="nil"/>
              <w:left w:val="nil"/>
              <w:right w:val="nil"/>
            </w:tcBorders>
          </w:tcPr>
          <w:p w14:paraId="3CE656CD" w14:textId="77777777" w:rsidR="0015704E" w:rsidRPr="00112B9F" w:rsidRDefault="0015704E" w:rsidP="00003BBF">
            <w:pPr>
              <w:widowControl w:val="0"/>
              <w:rPr>
                <w:color w:val="000000"/>
                <w:sz w:val="20"/>
                <w:szCs w:val="20"/>
                <w:lang w:val="es-AR"/>
              </w:rPr>
            </w:pPr>
          </w:p>
        </w:tc>
        <w:tc>
          <w:tcPr>
            <w:tcW w:w="4520" w:type="dxa"/>
            <w:tcBorders>
              <w:top w:val="single" w:sz="4" w:space="0" w:color="auto"/>
              <w:left w:val="nil"/>
              <w:bottom w:val="single" w:sz="4" w:space="0" w:color="auto"/>
              <w:right w:val="nil"/>
            </w:tcBorders>
          </w:tcPr>
          <w:p w14:paraId="6B9CBD81" w14:textId="77777777" w:rsidR="0015704E" w:rsidRPr="00112B9F" w:rsidRDefault="0015704E" w:rsidP="00003BBF">
            <w:pPr>
              <w:widowControl w:val="0"/>
              <w:ind w:hanging="10"/>
              <w:rPr>
                <w:bCs/>
                <w:color w:val="000000"/>
                <w:sz w:val="20"/>
                <w:szCs w:val="20"/>
                <w:lang w:val="es-AR"/>
              </w:rPr>
            </w:pPr>
            <w:r w:rsidRPr="00112B9F">
              <w:rPr>
                <w:bCs/>
                <w:color w:val="000000"/>
                <w:sz w:val="20"/>
                <w:szCs w:val="20"/>
                <w:lang w:val="es-AR"/>
              </w:rPr>
              <w:t>Remedios de Escalada 348 – S.C. de Bariloche</w:t>
            </w:r>
          </w:p>
        </w:tc>
        <w:tc>
          <w:tcPr>
            <w:tcW w:w="1447" w:type="dxa"/>
            <w:tcBorders>
              <w:top w:val="single" w:sz="4" w:space="0" w:color="auto"/>
              <w:left w:val="nil"/>
              <w:bottom w:val="single" w:sz="4" w:space="0" w:color="auto"/>
              <w:right w:val="nil"/>
            </w:tcBorders>
          </w:tcPr>
          <w:p w14:paraId="771EDF31" w14:textId="77777777" w:rsidR="0015704E" w:rsidRPr="00112B9F" w:rsidRDefault="0015704E" w:rsidP="00003BBF">
            <w:pPr>
              <w:widowControl w:val="0"/>
              <w:jc w:val="center"/>
              <w:rPr>
                <w:bCs/>
                <w:color w:val="000000"/>
                <w:sz w:val="20"/>
                <w:szCs w:val="20"/>
                <w:lang w:val="es-AR"/>
              </w:rPr>
            </w:pPr>
            <w:r w:rsidRPr="00112B9F">
              <w:rPr>
                <w:bCs/>
                <w:color w:val="000000"/>
                <w:sz w:val="20"/>
                <w:szCs w:val="20"/>
                <w:lang w:val="es-AR"/>
              </w:rPr>
              <w:t>823</w:t>
            </w:r>
          </w:p>
        </w:tc>
        <w:tc>
          <w:tcPr>
            <w:tcW w:w="1989" w:type="dxa"/>
            <w:tcBorders>
              <w:top w:val="single" w:sz="4" w:space="0" w:color="auto"/>
              <w:left w:val="nil"/>
              <w:bottom w:val="single" w:sz="4" w:space="0" w:color="auto"/>
              <w:right w:val="nil"/>
            </w:tcBorders>
          </w:tcPr>
          <w:p w14:paraId="76655934" w14:textId="580A7BD5" w:rsidR="0015704E" w:rsidRPr="00112B9F" w:rsidRDefault="004A4AF5" w:rsidP="00003BBF">
            <w:pPr>
              <w:widowControl w:val="0"/>
              <w:rPr>
                <w:bCs/>
                <w:color w:val="000000"/>
                <w:sz w:val="20"/>
                <w:szCs w:val="20"/>
                <w:lang w:val="es-AR"/>
              </w:rPr>
            </w:pPr>
            <w:r>
              <w:rPr>
                <w:bCs/>
                <w:color w:val="000000"/>
                <w:sz w:val="20"/>
                <w:szCs w:val="20"/>
                <w:lang w:val="es-AR"/>
              </w:rPr>
              <w:t>Talleres y Laboratorio (PPC)</w:t>
            </w:r>
          </w:p>
        </w:tc>
      </w:tr>
      <w:tr w:rsidR="0015704E" w:rsidRPr="007213A1" w14:paraId="6E43E8EA" w14:textId="77777777" w:rsidTr="00BA304B">
        <w:trPr>
          <w:trHeight w:val="227"/>
        </w:trPr>
        <w:tc>
          <w:tcPr>
            <w:tcW w:w="1095" w:type="dxa"/>
            <w:vMerge/>
            <w:tcBorders>
              <w:left w:val="nil"/>
              <w:bottom w:val="single" w:sz="4" w:space="0" w:color="auto"/>
              <w:right w:val="nil"/>
            </w:tcBorders>
          </w:tcPr>
          <w:p w14:paraId="33C0B03B" w14:textId="77777777" w:rsidR="0015704E" w:rsidRPr="00112B9F" w:rsidRDefault="0015704E" w:rsidP="00003BBF">
            <w:pPr>
              <w:widowControl w:val="0"/>
              <w:rPr>
                <w:color w:val="000000"/>
                <w:sz w:val="20"/>
                <w:szCs w:val="20"/>
                <w:lang w:val="es-AR"/>
              </w:rPr>
            </w:pPr>
          </w:p>
        </w:tc>
        <w:tc>
          <w:tcPr>
            <w:tcW w:w="4520" w:type="dxa"/>
            <w:tcBorders>
              <w:top w:val="single" w:sz="4" w:space="0" w:color="auto"/>
              <w:left w:val="nil"/>
              <w:bottom w:val="single" w:sz="4" w:space="0" w:color="auto"/>
              <w:right w:val="nil"/>
            </w:tcBorders>
          </w:tcPr>
          <w:p w14:paraId="02358F85" w14:textId="77777777" w:rsidR="0015704E" w:rsidRPr="00112B9F" w:rsidRDefault="0015704E" w:rsidP="00003BBF">
            <w:pPr>
              <w:widowControl w:val="0"/>
              <w:ind w:hanging="10"/>
              <w:rPr>
                <w:bCs/>
                <w:color w:val="000000"/>
                <w:sz w:val="20"/>
                <w:szCs w:val="20"/>
                <w:lang w:val="es-AR"/>
              </w:rPr>
            </w:pPr>
          </w:p>
        </w:tc>
        <w:tc>
          <w:tcPr>
            <w:tcW w:w="1447" w:type="dxa"/>
            <w:tcBorders>
              <w:top w:val="single" w:sz="4" w:space="0" w:color="auto"/>
              <w:left w:val="nil"/>
              <w:bottom w:val="single" w:sz="4" w:space="0" w:color="auto"/>
              <w:right w:val="nil"/>
            </w:tcBorders>
          </w:tcPr>
          <w:p w14:paraId="5BCF8AC0" w14:textId="77777777" w:rsidR="0015704E" w:rsidRPr="00112B9F" w:rsidRDefault="0015704E" w:rsidP="00003BBF">
            <w:pPr>
              <w:widowControl w:val="0"/>
              <w:jc w:val="center"/>
              <w:rPr>
                <w:bCs/>
                <w:color w:val="000000"/>
                <w:sz w:val="20"/>
                <w:szCs w:val="20"/>
                <w:lang w:val="es-AR"/>
              </w:rPr>
            </w:pPr>
          </w:p>
        </w:tc>
        <w:tc>
          <w:tcPr>
            <w:tcW w:w="1989" w:type="dxa"/>
            <w:tcBorders>
              <w:top w:val="single" w:sz="4" w:space="0" w:color="auto"/>
              <w:left w:val="nil"/>
              <w:bottom w:val="single" w:sz="4" w:space="0" w:color="auto"/>
              <w:right w:val="nil"/>
            </w:tcBorders>
          </w:tcPr>
          <w:p w14:paraId="440AD2C0" w14:textId="77777777" w:rsidR="0015704E" w:rsidRPr="00112B9F" w:rsidRDefault="0015704E" w:rsidP="00003BBF">
            <w:pPr>
              <w:widowControl w:val="0"/>
              <w:rPr>
                <w:bCs/>
                <w:color w:val="000000"/>
                <w:sz w:val="20"/>
                <w:szCs w:val="20"/>
                <w:lang w:val="es-AR"/>
              </w:rPr>
            </w:pPr>
          </w:p>
        </w:tc>
      </w:tr>
      <w:tr w:rsidR="00A2503F" w:rsidRPr="007213A1" w14:paraId="036327F8" w14:textId="77777777" w:rsidTr="00BA304B">
        <w:trPr>
          <w:trHeight w:val="21"/>
        </w:trPr>
        <w:tc>
          <w:tcPr>
            <w:tcW w:w="1095" w:type="dxa"/>
            <w:tcBorders>
              <w:top w:val="single" w:sz="6" w:space="0" w:color="auto"/>
              <w:left w:val="nil"/>
              <w:bottom w:val="single" w:sz="4" w:space="0" w:color="auto"/>
              <w:right w:val="nil"/>
            </w:tcBorders>
          </w:tcPr>
          <w:p w14:paraId="03271A37" w14:textId="27183E80" w:rsidR="00A2503F" w:rsidRPr="00112B9F" w:rsidRDefault="00A2503F" w:rsidP="00A2503F">
            <w:pPr>
              <w:widowControl w:val="0"/>
              <w:rPr>
                <w:b/>
                <w:color w:val="000000"/>
                <w:sz w:val="20"/>
                <w:szCs w:val="20"/>
                <w:lang w:val="es-AR"/>
              </w:rPr>
            </w:pPr>
            <w:r>
              <w:rPr>
                <w:b/>
                <w:color w:val="000000"/>
                <w:sz w:val="20"/>
                <w:szCs w:val="20"/>
                <w:lang w:val="es-AR"/>
              </w:rPr>
              <w:t>De Terceros</w:t>
            </w:r>
          </w:p>
        </w:tc>
        <w:tc>
          <w:tcPr>
            <w:tcW w:w="4520" w:type="dxa"/>
            <w:tcBorders>
              <w:top w:val="single" w:sz="6" w:space="0" w:color="auto"/>
              <w:left w:val="nil"/>
              <w:bottom w:val="single" w:sz="6" w:space="0" w:color="auto"/>
              <w:right w:val="nil"/>
            </w:tcBorders>
          </w:tcPr>
          <w:p w14:paraId="0E257345" w14:textId="68226FC4" w:rsidR="00A2503F" w:rsidRPr="00112B9F" w:rsidRDefault="00A2503F" w:rsidP="00A2503F">
            <w:pPr>
              <w:widowControl w:val="0"/>
              <w:rPr>
                <w:bCs/>
                <w:color w:val="000000"/>
                <w:sz w:val="20"/>
                <w:szCs w:val="20"/>
                <w:lang w:val="es-AR"/>
              </w:rPr>
            </w:pPr>
          </w:p>
        </w:tc>
        <w:tc>
          <w:tcPr>
            <w:tcW w:w="1447" w:type="dxa"/>
            <w:tcBorders>
              <w:top w:val="single" w:sz="6" w:space="0" w:color="auto"/>
              <w:left w:val="nil"/>
              <w:bottom w:val="single" w:sz="6" w:space="0" w:color="auto"/>
              <w:right w:val="nil"/>
            </w:tcBorders>
          </w:tcPr>
          <w:p w14:paraId="4DC3D5E4" w14:textId="08FA76BB" w:rsidR="00A2503F" w:rsidRPr="00112B9F" w:rsidRDefault="00A2503F" w:rsidP="00A2503F">
            <w:pPr>
              <w:widowControl w:val="0"/>
              <w:jc w:val="center"/>
              <w:rPr>
                <w:bCs/>
                <w:color w:val="000000"/>
                <w:sz w:val="20"/>
                <w:szCs w:val="20"/>
                <w:lang w:val="es-AR"/>
              </w:rPr>
            </w:pPr>
          </w:p>
        </w:tc>
        <w:tc>
          <w:tcPr>
            <w:tcW w:w="1989" w:type="dxa"/>
            <w:tcBorders>
              <w:top w:val="single" w:sz="6" w:space="0" w:color="auto"/>
              <w:left w:val="nil"/>
              <w:bottom w:val="single" w:sz="6" w:space="0" w:color="auto"/>
              <w:right w:val="nil"/>
            </w:tcBorders>
          </w:tcPr>
          <w:p w14:paraId="6CF162AB" w14:textId="313BABD6" w:rsidR="00A2503F" w:rsidRPr="00112B9F" w:rsidRDefault="00A2503F" w:rsidP="00A2503F">
            <w:pPr>
              <w:widowControl w:val="0"/>
              <w:rPr>
                <w:bCs/>
                <w:color w:val="000000"/>
                <w:sz w:val="20"/>
                <w:szCs w:val="20"/>
                <w:lang w:val="es-AR"/>
              </w:rPr>
            </w:pPr>
          </w:p>
        </w:tc>
      </w:tr>
      <w:tr w:rsidR="00A2503F" w:rsidRPr="007213A1" w14:paraId="60C5A998" w14:textId="77777777" w:rsidTr="00BA304B">
        <w:trPr>
          <w:trHeight w:val="21"/>
        </w:trPr>
        <w:tc>
          <w:tcPr>
            <w:tcW w:w="1095" w:type="dxa"/>
            <w:tcBorders>
              <w:top w:val="nil"/>
              <w:left w:val="nil"/>
              <w:bottom w:val="nil"/>
            </w:tcBorders>
          </w:tcPr>
          <w:p w14:paraId="5BE801C4" w14:textId="77777777" w:rsidR="00A2503F" w:rsidRPr="00112B9F" w:rsidRDefault="00A2503F" w:rsidP="00003BBF">
            <w:pPr>
              <w:widowControl w:val="0"/>
              <w:rPr>
                <w:b/>
                <w:color w:val="000000"/>
                <w:sz w:val="20"/>
                <w:szCs w:val="20"/>
                <w:lang w:val="es-AR"/>
              </w:rPr>
            </w:pPr>
          </w:p>
        </w:tc>
        <w:tc>
          <w:tcPr>
            <w:tcW w:w="4520" w:type="dxa"/>
            <w:tcBorders>
              <w:top w:val="single" w:sz="4" w:space="0" w:color="auto"/>
              <w:bottom w:val="single" w:sz="4" w:space="0" w:color="auto"/>
            </w:tcBorders>
          </w:tcPr>
          <w:p w14:paraId="6E9898E3" w14:textId="77777777" w:rsidR="00A2503F" w:rsidRPr="00112B9F" w:rsidRDefault="00A2503F" w:rsidP="00003BBF">
            <w:pPr>
              <w:widowControl w:val="0"/>
              <w:ind w:hanging="10"/>
              <w:rPr>
                <w:bCs/>
                <w:color w:val="000000"/>
                <w:sz w:val="20"/>
                <w:szCs w:val="20"/>
                <w:lang w:val="es-AR"/>
              </w:rPr>
            </w:pPr>
          </w:p>
        </w:tc>
        <w:tc>
          <w:tcPr>
            <w:tcW w:w="1447" w:type="dxa"/>
            <w:tcBorders>
              <w:top w:val="single" w:sz="4" w:space="0" w:color="auto"/>
              <w:bottom w:val="single" w:sz="4" w:space="0" w:color="auto"/>
            </w:tcBorders>
          </w:tcPr>
          <w:p w14:paraId="6F2E30C0" w14:textId="77777777" w:rsidR="00A2503F" w:rsidRPr="00112B9F" w:rsidRDefault="00A2503F" w:rsidP="00003BBF">
            <w:pPr>
              <w:widowControl w:val="0"/>
              <w:jc w:val="center"/>
              <w:rPr>
                <w:bCs/>
                <w:color w:val="000000"/>
                <w:sz w:val="20"/>
                <w:szCs w:val="20"/>
                <w:lang w:val="es-AR"/>
              </w:rPr>
            </w:pPr>
          </w:p>
        </w:tc>
        <w:tc>
          <w:tcPr>
            <w:tcW w:w="1989" w:type="dxa"/>
            <w:tcBorders>
              <w:top w:val="single" w:sz="4" w:space="0" w:color="auto"/>
              <w:bottom w:val="single" w:sz="4" w:space="0" w:color="auto"/>
            </w:tcBorders>
          </w:tcPr>
          <w:p w14:paraId="5A11325B" w14:textId="77777777" w:rsidR="00A2503F" w:rsidRPr="00112B9F" w:rsidRDefault="00A2503F" w:rsidP="00003BBF">
            <w:pPr>
              <w:widowControl w:val="0"/>
              <w:rPr>
                <w:bCs/>
                <w:color w:val="000000"/>
                <w:sz w:val="20"/>
                <w:szCs w:val="20"/>
                <w:lang w:val="es-AR"/>
              </w:rPr>
            </w:pPr>
          </w:p>
        </w:tc>
      </w:tr>
      <w:tr w:rsidR="0015704E" w:rsidRPr="007213A1" w14:paraId="4BA4B043" w14:textId="77777777" w:rsidTr="00BA304B">
        <w:trPr>
          <w:trHeight w:val="21"/>
        </w:trPr>
        <w:tc>
          <w:tcPr>
            <w:tcW w:w="1095" w:type="dxa"/>
            <w:tcBorders>
              <w:top w:val="nil"/>
              <w:left w:val="nil"/>
              <w:bottom w:val="nil"/>
            </w:tcBorders>
          </w:tcPr>
          <w:p w14:paraId="555A298B" w14:textId="77777777" w:rsidR="0015704E" w:rsidRPr="00112B9F" w:rsidRDefault="0015704E" w:rsidP="00003BBF">
            <w:pPr>
              <w:widowControl w:val="0"/>
              <w:rPr>
                <w:b/>
                <w:color w:val="000000"/>
                <w:sz w:val="20"/>
                <w:szCs w:val="20"/>
                <w:lang w:val="es-AR"/>
              </w:rPr>
            </w:pPr>
          </w:p>
        </w:tc>
        <w:tc>
          <w:tcPr>
            <w:tcW w:w="4520" w:type="dxa"/>
            <w:tcBorders>
              <w:top w:val="single" w:sz="4" w:space="0" w:color="auto"/>
              <w:bottom w:val="single" w:sz="4" w:space="0" w:color="auto"/>
            </w:tcBorders>
          </w:tcPr>
          <w:p w14:paraId="7EF8A697" w14:textId="77777777" w:rsidR="0015704E" w:rsidRPr="00112B9F" w:rsidRDefault="0015704E" w:rsidP="00003BBF">
            <w:pPr>
              <w:widowControl w:val="0"/>
              <w:ind w:hanging="10"/>
              <w:rPr>
                <w:bCs/>
                <w:color w:val="000000"/>
                <w:sz w:val="20"/>
                <w:szCs w:val="20"/>
                <w:lang w:val="es-AR"/>
              </w:rPr>
            </w:pPr>
            <w:r w:rsidRPr="00112B9F">
              <w:rPr>
                <w:bCs/>
                <w:color w:val="000000"/>
                <w:sz w:val="20"/>
                <w:szCs w:val="20"/>
                <w:lang w:val="es-AR"/>
              </w:rPr>
              <w:t>Paimun s/n – S.C. de Bariloche</w:t>
            </w:r>
          </w:p>
        </w:tc>
        <w:tc>
          <w:tcPr>
            <w:tcW w:w="1447" w:type="dxa"/>
            <w:tcBorders>
              <w:top w:val="single" w:sz="4" w:space="0" w:color="auto"/>
              <w:bottom w:val="single" w:sz="4" w:space="0" w:color="auto"/>
            </w:tcBorders>
          </w:tcPr>
          <w:p w14:paraId="241BDAAE" w14:textId="77777777" w:rsidR="0015704E" w:rsidRPr="00112B9F" w:rsidRDefault="0015704E" w:rsidP="00003BBF">
            <w:pPr>
              <w:widowControl w:val="0"/>
              <w:jc w:val="center"/>
              <w:rPr>
                <w:bCs/>
                <w:color w:val="000000"/>
                <w:sz w:val="20"/>
                <w:szCs w:val="20"/>
                <w:lang w:val="es-AR"/>
              </w:rPr>
            </w:pPr>
            <w:r w:rsidRPr="00112B9F">
              <w:rPr>
                <w:bCs/>
                <w:color w:val="000000"/>
                <w:sz w:val="20"/>
                <w:szCs w:val="20"/>
                <w:lang w:val="es-AR"/>
              </w:rPr>
              <w:t>600</w:t>
            </w:r>
          </w:p>
        </w:tc>
        <w:tc>
          <w:tcPr>
            <w:tcW w:w="1989" w:type="dxa"/>
            <w:tcBorders>
              <w:top w:val="single" w:sz="4" w:space="0" w:color="auto"/>
              <w:bottom w:val="single" w:sz="4" w:space="0" w:color="auto"/>
            </w:tcBorders>
          </w:tcPr>
          <w:p w14:paraId="5BA1075F" w14:textId="77777777" w:rsidR="0015704E" w:rsidRPr="00112B9F" w:rsidRDefault="0015704E" w:rsidP="00003BBF">
            <w:pPr>
              <w:widowControl w:val="0"/>
              <w:rPr>
                <w:bCs/>
                <w:color w:val="000000"/>
                <w:sz w:val="20"/>
                <w:szCs w:val="20"/>
                <w:lang w:val="es-AR"/>
              </w:rPr>
            </w:pPr>
            <w:r w:rsidRPr="00112B9F">
              <w:rPr>
                <w:bCs/>
                <w:color w:val="000000"/>
                <w:sz w:val="20"/>
                <w:szCs w:val="20"/>
                <w:lang w:val="es-AR"/>
              </w:rPr>
              <w:t>Depósito</w:t>
            </w:r>
          </w:p>
        </w:tc>
      </w:tr>
      <w:tr w:rsidR="0015704E" w:rsidRPr="007213A1" w14:paraId="17ED6FB6" w14:textId="77777777" w:rsidTr="00BA304B">
        <w:trPr>
          <w:trHeight w:val="21"/>
        </w:trPr>
        <w:tc>
          <w:tcPr>
            <w:tcW w:w="1095" w:type="dxa"/>
            <w:tcBorders>
              <w:top w:val="nil"/>
              <w:left w:val="nil"/>
              <w:bottom w:val="nil"/>
            </w:tcBorders>
          </w:tcPr>
          <w:p w14:paraId="080AD1A3" w14:textId="77777777" w:rsidR="0015704E" w:rsidRPr="00112B9F" w:rsidRDefault="0015704E" w:rsidP="00003BBF">
            <w:pPr>
              <w:widowControl w:val="0"/>
              <w:rPr>
                <w:b/>
                <w:color w:val="000000"/>
                <w:sz w:val="20"/>
                <w:szCs w:val="20"/>
                <w:lang w:val="es-AR"/>
              </w:rPr>
            </w:pPr>
          </w:p>
        </w:tc>
        <w:tc>
          <w:tcPr>
            <w:tcW w:w="4520" w:type="dxa"/>
            <w:tcBorders>
              <w:top w:val="single" w:sz="4" w:space="0" w:color="auto"/>
              <w:bottom w:val="single" w:sz="4" w:space="0" w:color="auto"/>
            </w:tcBorders>
          </w:tcPr>
          <w:p w14:paraId="2218FEC8" w14:textId="77777777" w:rsidR="0015704E" w:rsidRPr="00112B9F" w:rsidRDefault="0015704E" w:rsidP="00003BBF">
            <w:pPr>
              <w:widowControl w:val="0"/>
              <w:ind w:hanging="10"/>
              <w:rPr>
                <w:bCs/>
                <w:color w:val="000000"/>
                <w:sz w:val="20"/>
                <w:szCs w:val="20"/>
                <w:lang w:val="es-AR"/>
              </w:rPr>
            </w:pPr>
            <w:r w:rsidRPr="00112B9F">
              <w:rPr>
                <w:bCs/>
                <w:color w:val="000000"/>
                <w:sz w:val="20"/>
                <w:szCs w:val="20"/>
                <w:lang w:val="es-AR"/>
              </w:rPr>
              <w:t>Bustillo Km 9.5 – S. C. de Bariloche</w:t>
            </w:r>
          </w:p>
        </w:tc>
        <w:tc>
          <w:tcPr>
            <w:tcW w:w="1447" w:type="dxa"/>
            <w:tcBorders>
              <w:top w:val="single" w:sz="4" w:space="0" w:color="auto"/>
              <w:bottom w:val="single" w:sz="4" w:space="0" w:color="auto"/>
            </w:tcBorders>
          </w:tcPr>
          <w:p w14:paraId="33F30AB6" w14:textId="3B32553A" w:rsidR="0015704E" w:rsidRPr="00112B9F" w:rsidRDefault="0015704E" w:rsidP="00003BBF">
            <w:pPr>
              <w:widowControl w:val="0"/>
              <w:jc w:val="center"/>
              <w:rPr>
                <w:bCs/>
                <w:color w:val="000000"/>
                <w:sz w:val="20"/>
                <w:szCs w:val="20"/>
                <w:lang w:val="es-AR"/>
              </w:rPr>
            </w:pPr>
            <w:r w:rsidRPr="00112B9F">
              <w:rPr>
                <w:bCs/>
                <w:color w:val="000000"/>
                <w:sz w:val="20"/>
                <w:szCs w:val="20"/>
                <w:lang w:val="es-AR"/>
              </w:rPr>
              <w:t>3</w:t>
            </w:r>
            <w:r w:rsidR="00F85F93">
              <w:rPr>
                <w:bCs/>
                <w:color w:val="000000"/>
                <w:sz w:val="20"/>
                <w:szCs w:val="20"/>
                <w:lang w:val="es-AR"/>
              </w:rPr>
              <w:t>.</w:t>
            </w:r>
            <w:r w:rsidRPr="00112B9F">
              <w:rPr>
                <w:bCs/>
                <w:color w:val="000000"/>
                <w:sz w:val="20"/>
                <w:szCs w:val="20"/>
                <w:lang w:val="es-AR"/>
              </w:rPr>
              <w:t>080</w:t>
            </w:r>
          </w:p>
        </w:tc>
        <w:tc>
          <w:tcPr>
            <w:tcW w:w="1989" w:type="dxa"/>
            <w:tcBorders>
              <w:top w:val="single" w:sz="4" w:space="0" w:color="auto"/>
              <w:bottom w:val="single" w:sz="4" w:space="0" w:color="auto"/>
            </w:tcBorders>
          </w:tcPr>
          <w:p w14:paraId="0DEEA99C" w14:textId="2E1B41D8" w:rsidR="0015704E" w:rsidRPr="00112B9F" w:rsidRDefault="008B0A2D" w:rsidP="00003BBF">
            <w:pPr>
              <w:widowControl w:val="0"/>
              <w:rPr>
                <w:bCs/>
                <w:color w:val="000000"/>
                <w:sz w:val="20"/>
                <w:szCs w:val="20"/>
                <w:lang w:val="es-AR"/>
              </w:rPr>
            </w:pPr>
            <w:r w:rsidRPr="00A34445">
              <w:rPr>
                <w:bCs/>
                <w:color w:val="000000"/>
                <w:sz w:val="20"/>
                <w:szCs w:val="20"/>
                <w:lang w:val="es-AR"/>
              </w:rPr>
              <w:t>Talleres</w:t>
            </w:r>
          </w:p>
        </w:tc>
      </w:tr>
      <w:tr w:rsidR="0015704E" w:rsidRPr="007213A1" w14:paraId="44AC16F9" w14:textId="77777777" w:rsidTr="00BA304B">
        <w:trPr>
          <w:trHeight w:val="21"/>
        </w:trPr>
        <w:tc>
          <w:tcPr>
            <w:tcW w:w="1095" w:type="dxa"/>
            <w:tcBorders>
              <w:top w:val="nil"/>
              <w:left w:val="nil"/>
              <w:bottom w:val="nil"/>
            </w:tcBorders>
          </w:tcPr>
          <w:p w14:paraId="0AE348C6" w14:textId="77777777" w:rsidR="0015704E" w:rsidRPr="00112B9F" w:rsidRDefault="0015704E" w:rsidP="00003BBF">
            <w:pPr>
              <w:widowControl w:val="0"/>
              <w:rPr>
                <w:b/>
                <w:color w:val="000000"/>
                <w:sz w:val="20"/>
                <w:szCs w:val="20"/>
                <w:lang w:val="es-AR"/>
              </w:rPr>
            </w:pPr>
          </w:p>
        </w:tc>
        <w:tc>
          <w:tcPr>
            <w:tcW w:w="4520" w:type="dxa"/>
            <w:tcBorders>
              <w:top w:val="single" w:sz="4" w:space="0" w:color="auto"/>
              <w:bottom w:val="single" w:sz="4" w:space="0" w:color="auto"/>
            </w:tcBorders>
          </w:tcPr>
          <w:p w14:paraId="4C6B9B7C" w14:textId="77777777" w:rsidR="0015704E" w:rsidRPr="00112B9F" w:rsidRDefault="0015704E" w:rsidP="00003BBF">
            <w:pPr>
              <w:widowControl w:val="0"/>
              <w:ind w:hanging="10"/>
              <w:rPr>
                <w:bCs/>
                <w:color w:val="000000"/>
                <w:sz w:val="20"/>
                <w:szCs w:val="20"/>
                <w:lang w:val="es-AR"/>
              </w:rPr>
            </w:pPr>
            <w:r w:rsidRPr="00112B9F">
              <w:rPr>
                <w:bCs/>
                <w:color w:val="000000"/>
                <w:sz w:val="20"/>
                <w:szCs w:val="20"/>
                <w:lang w:val="es-AR"/>
              </w:rPr>
              <w:t>Pilcaniyeu – Depósito</w:t>
            </w:r>
          </w:p>
        </w:tc>
        <w:tc>
          <w:tcPr>
            <w:tcW w:w="1447" w:type="dxa"/>
            <w:tcBorders>
              <w:top w:val="single" w:sz="4" w:space="0" w:color="auto"/>
              <w:bottom w:val="single" w:sz="4" w:space="0" w:color="auto"/>
            </w:tcBorders>
          </w:tcPr>
          <w:p w14:paraId="5738CFCB" w14:textId="77777777" w:rsidR="0015704E" w:rsidRPr="00112B9F" w:rsidRDefault="0015704E" w:rsidP="00003BBF">
            <w:pPr>
              <w:widowControl w:val="0"/>
              <w:jc w:val="center"/>
              <w:rPr>
                <w:bCs/>
                <w:color w:val="000000"/>
                <w:sz w:val="20"/>
                <w:szCs w:val="20"/>
                <w:lang w:val="es-AR"/>
              </w:rPr>
            </w:pPr>
            <w:r w:rsidRPr="00112B9F">
              <w:rPr>
                <w:bCs/>
                <w:color w:val="000000"/>
                <w:sz w:val="20"/>
                <w:szCs w:val="20"/>
                <w:lang w:val="es-AR"/>
              </w:rPr>
              <w:t>2.000</w:t>
            </w:r>
          </w:p>
        </w:tc>
        <w:tc>
          <w:tcPr>
            <w:tcW w:w="1989" w:type="dxa"/>
            <w:tcBorders>
              <w:top w:val="single" w:sz="4" w:space="0" w:color="auto"/>
              <w:bottom w:val="single" w:sz="4" w:space="0" w:color="auto"/>
            </w:tcBorders>
          </w:tcPr>
          <w:p w14:paraId="3988803B" w14:textId="77777777" w:rsidR="0015704E" w:rsidRPr="00112B9F" w:rsidRDefault="0015704E" w:rsidP="00003BBF">
            <w:pPr>
              <w:widowControl w:val="0"/>
              <w:rPr>
                <w:bCs/>
                <w:color w:val="000000"/>
                <w:sz w:val="20"/>
                <w:szCs w:val="20"/>
                <w:lang w:val="es-AR"/>
              </w:rPr>
            </w:pPr>
            <w:r w:rsidRPr="00112B9F">
              <w:rPr>
                <w:bCs/>
                <w:color w:val="000000"/>
                <w:sz w:val="20"/>
                <w:szCs w:val="20"/>
                <w:lang w:val="es-AR"/>
              </w:rPr>
              <w:t>Depósito y Facilidades</w:t>
            </w:r>
          </w:p>
        </w:tc>
      </w:tr>
      <w:tr w:rsidR="0015704E" w:rsidRPr="007213A1" w14:paraId="6E66AC6A" w14:textId="77777777" w:rsidTr="00BA304B">
        <w:trPr>
          <w:trHeight w:val="21"/>
        </w:trPr>
        <w:tc>
          <w:tcPr>
            <w:tcW w:w="1095" w:type="dxa"/>
            <w:tcBorders>
              <w:top w:val="nil"/>
              <w:left w:val="nil"/>
              <w:bottom w:val="nil"/>
            </w:tcBorders>
          </w:tcPr>
          <w:p w14:paraId="43D38642" w14:textId="77777777" w:rsidR="0015704E" w:rsidRPr="00112B9F" w:rsidRDefault="0015704E" w:rsidP="00003BBF">
            <w:pPr>
              <w:widowControl w:val="0"/>
              <w:rPr>
                <w:b/>
                <w:color w:val="000000"/>
                <w:sz w:val="20"/>
                <w:szCs w:val="20"/>
                <w:lang w:val="es-AR"/>
              </w:rPr>
            </w:pPr>
          </w:p>
        </w:tc>
        <w:tc>
          <w:tcPr>
            <w:tcW w:w="4520" w:type="dxa"/>
            <w:tcBorders>
              <w:top w:val="single" w:sz="4" w:space="0" w:color="auto"/>
              <w:bottom w:val="single" w:sz="4" w:space="0" w:color="auto"/>
            </w:tcBorders>
          </w:tcPr>
          <w:p w14:paraId="24D25F28" w14:textId="77777777" w:rsidR="0015704E" w:rsidRPr="00112B9F" w:rsidRDefault="0015704E" w:rsidP="00003BBF">
            <w:pPr>
              <w:widowControl w:val="0"/>
              <w:ind w:hanging="10"/>
              <w:rPr>
                <w:bCs/>
                <w:color w:val="000000"/>
                <w:sz w:val="20"/>
                <w:szCs w:val="20"/>
                <w:lang w:val="es-AR"/>
              </w:rPr>
            </w:pPr>
            <w:r w:rsidRPr="00112B9F">
              <w:rPr>
                <w:bCs/>
                <w:color w:val="000000"/>
                <w:sz w:val="20"/>
                <w:szCs w:val="20"/>
                <w:lang w:val="es-AR"/>
              </w:rPr>
              <w:t>Esmeralda 354/6/8 – Ciudad Autónoma de Buenos Aires</w:t>
            </w:r>
          </w:p>
        </w:tc>
        <w:tc>
          <w:tcPr>
            <w:tcW w:w="1447" w:type="dxa"/>
            <w:tcBorders>
              <w:top w:val="single" w:sz="4" w:space="0" w:color="auto"/>
              <w:bottom w:val="single" w:sz="4" w:space="0" w:color="auto"/>
            </w:tcBorders>
          </w:tcPr>
          <w:p w14:paraId="35993874" w14:textId="253D9184" w:rsidR="0015704E" w:rsidRPr="00112B9F" w:rsidRDefault="004A4AF5" w:rsidP="00003BBF">
            <w:pPr>
              <w:widowControl w:val="0"/>
              <w:jc w:val="center"/>
              <w:rPr>
                <w:bCs/>
                <w:color w:val="000000"/>
                <w:sz w:val="20"/>
                <w:szCs w:val="20"/>
                <w:lang w:val="es-AR"/>
              </w:rPr>
            </w:pPr>
            <w:r>
              <w:rPr>
                <w:bCs/>
                <w:color w:val="000000"/>
                <w:sz w:val="20"/>
                <w:szCs w:val="20"/>
                <w:lang w:val="es-AR"/>
              </w:rPr>
              <w:t>401</w:t>
            </w:r>
          </w:p>
        </w:tc>
        <w:tc>
          <w:tcPr>
            <w:tcW w:w="1989" w:type="dxa"/>
            <w:tcBorders>
              <w:top w:val="single" w:sz="4" w:space="0" w:color="auto"/>
              <w:bottom w:val="single" w:sz="4" w:space="0" w:color="auto"/>
            </w:tcBorders>
          </w:tcPr>
          <w:p w14:paraId="52179973" w14:textId="77777777" w:rsidR="0015704E" w:rsidRPr="00112B9F" w:rsidRDefault="0015704E" w:rsidP="00003BBF">
            <w:pPr>
              <w:widowControl w:val="0"/>
              <w:rPr>
                <w:bCs/>
                <w:color w:val="000000"/>
                <w:sz w:val="20"/>
                <w:szCs w:val="20"/>
                <w:lang w:val="es-AR"/>
              </w:rPr>
            </w:pPr>
            <w:r w:rsidRPr="00112B9F">
              <w:rPr>
                <w:bCs/>
                <w:color w:val="000000"/>
                <w:sz w:val="20"/>
                <w:szCs w:val="20"/>
                <w:lang w:val="es-AR"/>
              </w:rPr>
              <w:t>Oficinas</w:t>
            </w:r>
          </w:p>
        </w:tc>
      </w:tr>
      <w:tr w:rsidR="0015704E" w:rsidRPr="007213A1" w14:paraId="4B8D4154" w14:textId="77777777" w:rsidTr="00BA304B">
        <w:trPr>
          <w:trHeight w:val="21"/>
        </w:trPr>
        <w:tc>
          <w:tcPr>
            <w:tcW w:w="1095" w:type="dxa"/>
            <w:tcBorders>
              <w:top w:val="nil"/>
              <w:left w:val="nil"/>
              <w:bottom w:val="nil"/>
            </w:tcBorders>
          </w:tcPr>
          <w:p w14:paraId="73F13DF7" w14:textId="77777777" w:rsidR="0015704E" w:rsidRPr="00112B9F" w:rsidRDefault="0015704E" w:rsidP="00003BBF">
            <w:pPr>
              <w:widowControl w:val="0"/>
              <w:rPr>
                <w:b/>
                <w:color w:val="000000"/>
                <w:sz w:val="20"/>
                <w:szCs w:val="20"/>
                <w:lang w:val="es-AR"/>
              </w:rPr>
            </w:pPr>
          </w:p>
        </w:tc>
        <w:tc>
          <w:tcPr>
            <w:tcW w:w="4520" w:type="dxa"/>
            <w:tcBorders>
              <w:top w:val="single" w:sz="4" w:space="0" w:color="auto"/>
              <w:bottom w:val="single" w:sz="4" w:space="0" w:color="auto"/>
            </w:tcBorders>
          </w:tcPr>
          <w:p w14:paraId="08E31675" w14:textId="46044773" w:rsidR="0015704E" w:rsidRPr="00112B9F" w:rsidRDefault="0015704E" w:rsidP="00003BBF">
            <w:pPr>
              <w:widowControl w:val="0"/>
              <w:ind w:hanging="10"/>
              <w:rPr>
                <w:bCs/>
                <w:color w:val="000000"/>
                <w:sz w:val="20"/>
                <w:szCs w:val="20"/>
                <w:lang w:val="es-AR"/>
              </w:rPr>
            </w:pPr>
            <w:r w:rsidRPr="00112B9F">
              <w:rPr>
                <w:bCs/>
                <w:color w:val="000000"/>
                <w:sz w:val="20"/>
                <w:szCs w:val="20"/>
                <w:lang w:val="es-AR"/>
              </w:rPr>
              <w:t xml:space="preserve">Colón </w:t>
            </w:r>
            <w:r w:rsidR="004A4AF5">
              <w:rPr>
                <w:bCs/>
                <w:color w:val="000000"/>
                <w:sz w:val="20"/>
                <w:szCs w:val="20"/>
                <w:lang w:val="es-AR"/>
              </w:rPr>
              <w:t>4.050</w:t>
            </w:r>
            <w:r w:rsidR="004A4AF5" w:rsidRPr="00112B9F">
              <w:rPr>
                <w:bCs/>
                <w:color w:val="000000"/>
                <w:sz w:val="20"/>
                <w:szCs w:val="20"/>
                <w:lang w:val="es-AR"/>
              </w:rPr>
              <w:t xml:space="preserve"> </w:t>
            </w:r>
            <w:r w:rsidRPr="00112B9F">
              <w:rPr>
                <w:bCs/>
                <w:color w:val="000000"/>
                <w:sz w:val="20"/>
                <w:szCs w:val="20"/>
                <w:lang w:val="es-AR"/>
              </w:rPr>
              <w:t>– Córdoba</w:t>
            </w:r>
          </w:p>
        </w:tc>
        <w:tc>
          <w:tcPr>
            <w:tcW w:w="1447" w:type="dxa"/>
            <w:tcBorders>
              <w:top w:val="single" w:sz="4" w:space="0" w:color="auto"/>
              <w:bottom w:val="single" w:sz="4" w:space="0" w:color="auto"/>
            </w:tcBorders>
          </w:tcPr>
          <w:p w14:paraId="0AE1455F" w14:textId="2D35E018" w:rsidR="0015704E" w:rsidRPr="00112B9F" w:rsidRDefault="004A4AF5" w:rsidP="00003BBF">
            <w:pPr>
              <w:widowControl w:val="0"/>
              <w:jc w:val="center"/>
              <w:rPr>
                <w:bCs/>
                <w:color w:val="000000"/>
                <w:sz w:val="20"/>
                <w:szCs w:val="20"/>
                <w:lang w:val="es-AR"/>
              </w:rPr>
            </w:pPr>
            <w:r>
              <w:rPr>
                <w:bCs/>
                <w:color w:val="000000"/>
                <w:sz w:val="20"/>
                <w:szCs w:val="20"/>
                <w:lang w:val="es-AR"/>
              </w:rPr>
              <w:t>1.367</w:t>
            </w:r>
          </w:p>
        </w:tc>
        <w:tc>
          <w:tcPr>
            <w:tcW w:w="1989" w:type="dxa"/>
            <w:tcBorders>
              <w:top w:val="single" w:sz="4" w:space="0" w:color="auto"/>
              <w:bottom w:val="single" w:sz="4" w:space="0" w:color="auto"/>
            </w:tcBorders>
          </w:tcPr>
          <w:p w14:paraId="7F2F1032" w14:textId="77777777" w:rsidR="0015704E" w:rsidRPr="00112B9F" w:rsidRDefault="0015704E" w:rsidP="00003BBF">
            <w:pPr>
              <w:widowControl w:val="0"/>
              <w:rPr>
                <w:bCs/>
                <w:color w:val="000000"/>
                <w:sz w:val="20"/>
                <w:szCs w:val="20"/>
                <w:lang w:val="es-AR"/>
              </w:rPr>
            </w:pPr>
            <w:r w:rsidRPr="00112B9F">
              <w:rPr>
                <w:bCs/>
                <w:color w:val="000000"/>
                <w:sz w:val="20"/>
                <w:szCs w:val="20"/>
                <w:lang w:val="es-AR"/>
              </w:rPr>
              <w:t>Oficinas</w:t>
            </w:r>
          </w:p>
        </w:tc>
      </w:tr>
      <w:tr w:rsidR="0015704E" w:rsidRPr="007213A1" w14:paraId="07BDE7AE" w14:textId="77777777" w:rsidTr="00BA304B">
        <w:trPr>
          <w:trHeight w:val="21"/>
        </w:trPr>
        <w:tc>
          <w:tcPr>
            <w:tcW w:w="1095" w:type="dxa"/>
            <w:tcBorders>
              <w:top w:val="nil"/>
              <w:left w:val="nil"/>
              <w:bottom w:val="nil"/>
            </w:tcBorders>
          </w:tcPr>
          <w:p w14:paraId="05101467" w14:textId="77777777" w:rsidR="0015704E" w:rsidRPr="00112B9F" w:rsidRDefault="0015704E" w:rsidP="00003BBF">
            <w:pPr>
              <w:widowControl w:val="0"/>
              <w:rPr>
                <w:b/>
                <w:color w:val="000000"/>
                <w:sz w:val="20"/>
                <w:szCs w:val="20"/>
                <w:lang w:val="es-AR"/>
              </w:rPr>
            </w:pPr>
          </w:p>
        </w:tc>
        <w:tc>
          <w:tcPr>
            <w:tcW w:w="4520" w:type="dxa"/>
            <w:tcBorders>
              <w:top w:val="single" w:sz="4" w:space="0" w:color="auto"/>
              <w:bottom w:val="single" w:sz="4" w:space="0" w:color="auto"/>
            </w:tcBorders>
          </w:tcPr>
          <w:p w14:paraId="54EB6193" w14:textId="06E2BFFB" w:rsidR="0015704E" w:rsidRPr="00112B9F" w:rsidRDefault="004A4AF5" w:rsidP="00003BBF">
            <w:pPr>
              <w:widowControl w:val="0"/>
              <w:ind w:hanging="10"/>
              <w:rPr>
                <w:bCs/>
                <w:color w:val="000000"/>
                <w:sz w:val="20"/>
                <w:szCs w:val="20"/>
                <w:lang w:val="es-AR"/>
              </w:rPr>
            </w:pPr>
            <w:r>
              <w:rPr>
                <w:bCs/>
                <w:color w:val="000000"/>
                <w:sz w:val="20"/>
                <w:szCs w:val="20"/>
                <w:lang w:val="es-AR"/>
              </w:rPr>
              <w:t>Brown 2.063 1° - Rosario</w:t>
            </w:r>
          </w:p>
        </w:tc>
        <w:tc>
          <w:tcPr>
            <w:tcW w:w="1447" w:type="dxa"/>
            <w:tcBorders>
              <w:top w:val="single" w:sz="4" w:space="0" w:color="auto"/>
              <w:bottom w:val="single" w:sz="4" w:space="0" w:color="auto"/>
            </w:tcBorders>
          </w:tcPr>
          <w:p w14:paraId="650B1A0B" w14:textId="43EBA9B2" w:rsidR="0015704E" w:rsidRPr="00112B9F" w:rsidRDefault="004A4AF5" w:rsidP="00003BBF">
            <w:pPr>
              <w:widowControl w:val="0"/>
              <w:jc w:val="center"/>
              <w:rPr>
                <w:bCs/>
                <w:color w:val="000000"/>
                <w:sz w:val="20"/>
                <w:szCs w:val="20"/>
                <w:lang w:val="es-AR"/>
              </w:rPr>
            </w:pPr>
            <w:r>
              <w:rPr>
                <w:bCs/>
                <w:color w:val="000000"/>
                <w:sz w:val="20"/>
                <w:szCs w:val="20"/>
                <w:lang w:val="es-AR"/>
              </w:rPr>
              <w:t>200</w:t>
            </w:r>
          </w:p>
        </w:tc>
        <w:tc>
          <w:tcPr>
            <w:tcW w:w="1989" w:type="dxa"/>
            <w:tcBorders>
              <w:top w:val="single" w:sz="4" w:space="0" w:color="auto"/>
              <w:bottom w:val="single" w:sz="4" w:space="0" w:color="auto"/>
            </w:tcBorders>
          </w:tcPr>
          <w:p w14:paraId="75F3096F" w14:textId="77777777" w:rsidR="0015704E" w:rsidRPr="00112B9F" w:rsidRDefault="0015704E" w:rsidP="00003BBF">
            <w:pPr>
              <w:widowControl w:val="0"/>
              <w:rPr>
                <w:bCs/>
                <w:color w:val="000000"/>
                <w:sz w:val="20"/>
                <w:szCs w:val="20"/>
                <w:lang w:val="es-AR"/>
              </w:rPr>
            </w:pPr>
            <w:r w:rsidRPr="00112B9F">
              <w:rPr>
                <w:bCs/>
                <w:color w:val="000000"/>
                <w:sz w:val="20"/>
                <w:szCs w:val="20"/>
                <w:lang w:val="es-AR"/>
              </w:rPr>
              <w:t>Oficinas</w:t>
            </w:r>
          </w:p>
        </w:tc>
      </w:tr>
      <w:tr w:rsidR="0015704E" w:rsidRPr="007213A1" w14:paraId="48836A82" w14:textId="77777777" w:rsidTr="00BA304B">
        <w:trPr>
          <w:trHeight w:val="21"/>
        </w:trPr>
        <w:tc>
          <w:tcPr>
            <w:tcW w:w="1095" w:type="dxa"/>
            <w:tcBorders>
              <w:top w:val="nil"/>
              <w:left w:val="nil"/>
              <w:bottom w:val="nil"/>
            </w:tcBorders>
          </w:tcPr>
          <w:p w14:paraId="5534D763" w14:textId="77777777" w:rsidR="0015704E" w:rsidRPr="00112B9F" w:rsidRDefault="0015704E" w:rsidP="00003BBF">
            <w:pPr>
              <w:widowControl w:val="0"/>
              <w:rPr>
                <w:b/>
                <w:color w:val="000000"/>
                <w:sz w:val="20"/>
                <w:szCs w:val="20"/>
                <w:lang w:val="es-AR"/>
              </w:rPr>
            </w:pPr>
          </w:p>
        </w:tc>
        <w:tc>
          <w:tcPr>
            <w:tcW w:w="4520" w:type="dxa"/>
            <w:tcBorders>
              <w:top w:val="single" w:sz="4" w:space="0" w:color="auto"/>
              <w:bottom w:val="single" w:sz="4" w:space="0" w:color="auto"/>
            </w:tcBorders>
          </w:tcPr>
          <w:p w14:paraId="6737C243" w14:textId="77777777" w:rsidR="0015704E" w:rsidRPr="00112B9F" w:rsidRDefault="0015704E" w:rsidP="00003BBF">
            <w:pPr>
              <w:widowControl w:val="0"/>
              <w:ind w:hanging="10"/>
              <w:rPr>
                <w:bCs/>
                <w:color w:val="000000"/>
                <w:sz w:val="20"/>
                <w:szCs w:val="20"/>
                <w:lang w:val="es-AR"/>
              </w:rPr>
            </w:pPr>
            <w:r w:rsidRPr="00112B9F">
              <w:rPr>
                <w:bCs/>
                <w:color w:val="000000"/>
                <w:sz w:val="20"/>
                <w:szCs w:val="20"/>
                <w:lang w:val="es-AR"/>
              </w:rPr>
              <w:t>Becerra 626 – Campana, Buenos Aires</w:t>
            </w:r>
          </w:p>
        </w:tc>
        <w:tc>
          <w:tcPr>
            <w:tcW w:w="1447" w:type="dxa"/>
            <w:tcBorders>
              <w:top w:val="single" w:sz="4" w:space="0" w:color="auto"/>
              <w:bottom w:val="single" w:sz="4" w:space="0" w:color="auto"/>
            </w:tcBorders>
          </w:tcPr>
          <w:p w14:paraId="61246140" w14:textId="42D9DD44" w:rsidR="0015704E" w:rsidRPr="00112B9F" w:rsidRDefault="004A4AF5" w:rsidP="00003BBF">
            <w:pPr>
              <w:widowControl w:val="0"/>
              <w:jc w:val="center"/>
              <w:rPr>
                <w:bCs/>
                <w:color w:val="000000"/>
                <w:sz w:val="20"/>
                <w:szCs w:val="20"/>
                <w:lang w:val="es-AR"/>
              </w:rPr>
            </w:pPr>
            <w:r>
              <w:rPr>
                <w:bCs/>
                <w:color w:val="000000"/>
                <w:sz w:val="20"/>
                <w:szCs w:val="20"/>
                <w:lang w:val="es-AR"/>
              </w:rPr>
              <w:t>185</w:t>
            </w:r>
          </w:p>
        </w:tc>
        <w:tc>
          <w:tcPr>
            <w:tcW w:w="1989" w:type="dxa"/>
            <w:tcBorders>
              <w:top w:val="single" w:sz="4" w:space="0" w:color="auto"/>
              <w:bottom w:val="single" w:sz="4" w:space="0" w:color="auto"/>
            </w:tcBorders>
          </w:tcPr>
          <w:p w14:paraId="4BB3B714" w14:textId="77777777" w:rsidR="0015704E" w:rsidRPr="00112B9F" w:rsidRDefault="0015704E" w:rsidP="00003BBF">
            <w:pPr>
              <w:widowControl w:val="0"/>
              <w:rPr>
                <w:bCs/>
                <w:color w:val="000000"/>
                <w:sz w:val="20"/>
                <w:szCs w:val="20"/>
                <w:lang w:val="es-AR"/>
              </w:rPr>
            </w:pPr>
            <w:r w:rsidRPr="00112B9F">
              <w:rPr>
                <w:bCs/>
                <w:color w:val="000000"/>
                <w:sz w:val="20"/>
                <w:szCs w:val="20"/>
                <w:lang w:val="es-AR"/>
              </w:rPr>
              <w:t>Oficinas</w:t>
            </w:r>
          </w:p>
        </w:tc>
      </w:tr>
      <w:tr w:rsidR="0015704E" w:rsidRPr="007213A1" w14:paraId="2C211CD8" w14:textId="77777777" w:rsidTr="00BA304B">
        <w:trPr>
          <w:trHeight w:val="21"/>
        </w:trPr>
        <w:tc>
          <w:tcPr>
            <w:tcW w:w="1095" w:type="dxa"/>
            <w:tcBorders>
              <w:top w:val="nil"/>
              <w:left w:val="nil"/>
              <w:bottom w:val="nil"/>
            </w:tcBorders>
          </w:tcPr>
          <w:p w14:paraId="6C3F9D10" w14:textId="77777777" w:rsidR="0015704E" w:rsidRPr="00112B9F" w:rsidRDefault="0015704E" w:rsidP="00003BBF">
            <w:pPr>
              <w:widowControl w:val="0"/>
              <w:rPr>
                <w:b/>
                <w:color w:val="000000"/>
                <w:sz w:val="20"/>
                <w:szCs w:val="20"/>
                <w:lang w:val="es-AR"/>
              </w:rPr>
            </w:pPr>
          </w:p>
        </w:tc>
        <w:tc>
          <w:tcPr>
            <w:tcW w:w="4520" w:type="dxa"/>
            <w:tcBorders>
              <w:top w:val="single" w:sz="4" w:space="0" w:color="auto"/>
              <w:bottom w:val="single" w:sz="4" w:space="0" w:color="auto"/>
            </w:tcBorders>
          </w:tcPr>
          <w:p w14:paraId="5F796C20" w14:textId="77777777" w:rsidR="0015704E" w:rsidRPr="00112B9F" w:rsidRDefault="0015704E" w:rsidP="00003BBF">
            <w:pPr>
              <w:widowControl w:val="0"/>
              <w:ind w:hanging="10"/>
              <w:rPr>
                <w:bCs/>
                <w:color w:val="000000"/>
                <w:sz w:val="20"/>
                <w:szCs w:val="20"/>
                <w:lang w:val="es-AR"/>
              </w:rPr>
            </w:pPr>
            <w:r w:rsidRPr="00112B9F">
              <w:rPr>
                <w:bCs/>
                <w:color w:val="000000"/>
                <w:sz w:val="20"/>
                <w:szCs w:val="20"/>
                <w:lang w:val="es-AR"/>
              </w:rPr>
              <w:t>Otamendi y Pr. Tte. Brussa s/n – Quilmes, Buenos Aires</w:t>
            </w:r>
          </w:p>
        </w:tc>
        <w:tc>
          <w:tcPr>
            <w:tcW w:w="1447" w:type="dxa"/>
            <w:tcBorders>
              <w:top w:val="single" w:sz="4" w:space="0" w:color="auto"/>
              <w:bottom w:val="single" w:sz="4" w:space="0" w:color="auto"/>
            </w:tcBorders>
          </w:tcPr>
          <w:p w14:paraId="5035E536" w14:textId="3B0A5E1C" w:rsidR="0015704E" w:rsidRPr="00112B9F" w:rsidRDefault="004A4AF5" w:rsidP="00003BBF">
            <w:pPr>
              <w:widowControl w:val="0"/>
              <w:jc w:val="center"/>
              <w:rPr>
                <w:bCs/>
                <w:color w:val="000000"/>
                <w:sz w:val="20"/>
                <w:szCs w:val="20"/>
                <w:lang w:val="es-AR"/>
              </w:rPr>
            </w:pPr>
            <w:r>
              <w:rPr>
                <w:bCs/>
                <w:color w:val="000000"/>
                <w:sz w:val="20"/>
                <w:szCs w:val="20"/>
                <w:lang w:val="es-AR"/>
              </w:rPr>
              <w:t>3.285</w:t>
            </w:r>
          </w:p>
        </w:tc>
        <w:tc>
          <w:tcPr>
            <w:tcW w:w="1989" w:type="dxa"/>
            <w:tcBorders>
              <w:top w:val="single" w:sz="4" w:space="0" w:color="auto"/>
              <w:bottom w:val="single" w:sz="4" w:space="0" w:color="auto"/>
            </w:tcBorders>
          </w:tcPr>
          <w:p w14:paraId="3EA71D70" w14:textId="7FCC254D" w:rsidR="0015704E" w:rsidRPr="00112B9F" w:rsidRDefault="0015704E" w:rsidP="00003BBF">
            <w:pPr>
              <w:widowControl w:val="0"/>
              <w:rPr>
                <w:bCs/>
                <w:color w:val="000000"/>
                <w:sz w:val="20"/>
                <w:szCs w:val="20"/>
                <w:lang w:val="es-AR"/>
              </w:rPr>
            </w:pPr>
            <w:r w:rsidRPr="00112B9F">
              <w:rPr>
                <w:bCs/>
                <w:color w:val="000000"/>
                <w:sz w:val="20"/>
                <w:szCs w:val="20"/>
                <w:lang w:val="es-AR"/>
              </w:rPr>
              <w:t xml:space="preserve">Oficinas y </w:t>
            </w:r>
            <w:r w:rsidR="008B0A2D" w:rsidRPr="00A34445">
              <w:rPr>
                <w:bCs/>
                <w:color w:val="000000"/>
                <w:sz w:val="20"/>
                <w:szCs w:val="20"/>
                <w:lang w:val="es-AR"/>
              </w:rPr>
              <w:t>Facilidades</w:t>
            </w:r>
          </w:p>
        </w:tc>
      </w:tr>
    </w:tbl>
    <w:p w14:paraId="0D5C4511" w14:textId="77777777" w:rsidR="0015704E" w:rsidRPr="007213A1" w:rsidRDefault="0015704E" w:rsidP="0015704E">
      <w:pPr>
        <w:jc w:val="both"/>
        <w:rPr>
          <w:bCs/>
          <w:color w:val="000000"/>
          <w:sz w:val="20"/>
          <w:szCs w:val="20"/>
          <w:lang w:val="es-AR"/>
        </w:rPr>
      </w:pPr>
    </w:p>
    <w:p w14:paraId="71DD80CF" w14:textId="12C99CC4" w:rsidR="00915760" w:rsidRDefault="00776A7F" w:rsidP="00776A7F">
      <w:pPr>
        <w:rPr>
          <w:b/>
          <w:sz w:val="20"/>
          <w:szCs w:val="20"/>
          <w:lang w:val="es-AR" w:eastAsia="es-ES"/>
        </w:rPr>
      </w:pPr>
      <w:r>
        <w:rPr>
          <w:b/>
          <w:sz w:val="20"/>
          <w:szCs w:val="20"/>
          <w:lang w:val="es-AR" w:eastAsia="es-ES"/>
        </w:rPr>
        <w:br w:type="page"/>
      </w:r>
    </w:p>
    <w:p w14:paraId="2F970B7B" w14:textId="3E9E4E03" w:rsidR="008F16FC" w:rsidRPr="008F16FC" w:rsidRDefault="008F16FC" w:rsidP="008F16FC">
      <w:pPr>
        <w:widowControl w:val="0"/>
        <w:suppressLineNumbers/>
        <w:suppressAutoHyphens/>
        <w:jc w:val="center"/>
        <w:rPr>
          <w:b/>
          <w:sz w:val="20"/>
          <w:szCs w:val="20"/>
          <w:lang w:val="es-AR" w:eastAsia="es-ES"/>
        </w:rPr>
      </w:pPr>
      <w:r w:rsidRPr="008F16FC">
        <w:rPr>
          <w:b/>
          <w:sz w:val="20"/>
          <w:szCs w:val="20"/>
          <w:lang w:val="es-AR" w:eastAsia="es-ES"/>
        </w:rPr>
        <w:t>VIII</w:t>
      </w:r>
      <w:r w:rsidR="00A227AF">
        <w:rPr>
          <w:b/>
          <w:sz w:val="20"/>
          <w:szCs w:val="20"/>
          <w:lang w:val="es-AR" w:eastAsia="es-ES"/>
        </w:rPr>
        <w:t xml:space="preserve">. </w:t>
      </w:r>
      <w:r w:rsidRPr="008F16FC">
        <w:rPr>
          <w:b/>
          <w:sz w:val="20"/>
          <w:szCs w:val="20"/>
          <w:lang w:val="es-AR" w:eastAsia="es-ES"/>
        </w:rPr>
        <w:t>ANTECEDENTES FINANCIEROS</w:t>
      </w:r>
    </w:p>
    <w:p w14:paraId="50A02C2C" w14:textId="77777777" w:rsidR="008F16FC" w:rsidRPr="008F16FC" w:rsidRDefault="008F16FC" w:rsidP="008F16FC">
      <w:pPr>
        <w:widowControl w:val="0"/>
        <w:suppressLineNumbers/>
        <w:suppressAutoHyphens/>
        <w:jc w:val="center"/>
        <w:rPr>
          <w:b/>
          <w:sz w:val="20"/>
          <w:szCs w:val="20"/>
          <w:lang w:val="es-AR" w:eastAsia="es-ES"/>
        </w:rPr>
      </w:pPr>
    </w:p>
    <w:p w14:paraId="2BCB808F" w14:textId="3ECD726F" w:rsidR="008F16FC" w:rsidRPr="008F16FC" w:rsidRDefault="008F16FC" w:rsidP="008F16FC">
      <w:pPr>
        <w:widowControl w:val="0"/>
        <w:jc w:val="both"/>
        <w:rPr>
          <w:sz w:val="20"/>
          <w:szCs w:val="20"/>
          <w:lang w:val="es-MX"/>
        </w:rPr>
      </w:pPr>
      <w:r w:rsidRPr="008F16FC">
        <w:rPr>
          <w:bCs/>
          <w:sz w:val="20"/>
          <w:szCs w:val="20"/>
          <w:lang w:val="es-MX"/>
        </w:rPr>
        <w:t>La información contable y financiera se presenta al cierre del último ejercicio económico de INVAP al 30 de junio de 2019, y en forma comparativa con la información correspondiente a</w:t>
      </w:r>
      <w:r w:rsidR="0056561E">
        <w:rPr>
          <w:bCs/>
          <w:sz w:val="20"/>
          <w:szCs w:val="20"/>
          <w:lang w:val="es-MX"/>
        </w:rPr>
        <w:t>l</w:t>
      </w:r>
      <w:r w:rsidRPr="008F16FC">
        <w:rPr>
          <w:bCs/>
          <w:sz w:val="20"/>
          <w:szCs w:val="20"/>
          <w:lang w:val="es-MX"/>
        </w:rPr>
        <w:t xml:space="preserve"> ejercicio finalizado el 30 de junio de 2018. </w:t>
      </w:r>
      <w:r w:rsidRPr="008F16FC">
        <w:rPr>
          <w:sz w:val="20"/>
          <w:szCs w:val="20"/>
          <w:lang w:val="es-MX"/>
        </w:rPr>
        <w:t xml:space="preserve">A su vez, se presenta la información correspondiente al período intermedio de tres meses finalizado el 30 de septiembre de 2019, expuesta en forma comparativa con la información correspondiente al ejercicio económico finalizado el 30 de junio de 2019. Esta información ha sido extraída de los </w:t>
      </w:r>
      <w:r w:rsidRPr="008F16FC">
        <w:rPr>
          <w:bCs/>
          <w:sz w:val="20"/>
          <w:szCs w:val="20"/>
          <w:lang w:val="es-MX"/>
        </w:rPr>
        <w:t>Estados Contables</w:t>
      </w:r>
      <w:r w:rsidRPr="008F16FC">
        <w:rPr>
          <w:sz w:val="20"/>
          <w:szCs w:val="20"/>
          <w:lang w:val="es-MX"/>
        </w:rPr>
        <w:t xml:space="preserve"> auditados o con revisión limitada, según corresponda, y de las notas que los acompañan, y deben leerse junto con los mismos. </w:t>
      </w:r>
    </w:p>
    <w:p w14:paraId="390FA8FE" w14:textId="77777777" w:rsidR="008F16FC" w:rsidRPr="008F16FC" w:rsidRDefault="008F16FC" w:rsidP="008F16FC">
      <w:pPr>
        <w:widowControl w:val="0"/>
        <w:jc w:val="both"/>
        <w:rPr>
          <w:sz w:val="20"/>
          <w:szCs w:val="20"/>
          <w:lang w:val="es-MX"/>
        </w:rPr>
      </w:pPr>
    </w:p>
    <w:p w14:paraId="28D2F736" w14:textId="77777777" w:rsidR="008F16FC" w:rsidRPr="008F16FC" w:rsidRDefault="008F16FC" w:rsidP="008F16FC">
      <w:pPr>
        <w:spacing w:line="240" w:lineRule="atLeast"/>
        <w:jc w:val="both"/>
        <w:rPr>
          <w:sz w:val="20"/>
          <w:szCs w:val="20"/>
          <w:lang w:val="es-MX"/>
        </w:rPr>
      </w:pPr>
      <w:r w:rsidRPr="008F16FC">
        <w:rPr>
          <w:sz w:val="20"/>
          <w:szCs w:val="20"/>
          <w:lang w:val="es-MX"/>
        </w:rPr>
        <w:t>Los mencionados estados financieros, a excepción de lo dispuesto en el párrafo siguiente, reconocen los efectos de las variaciones en el poder adquisitivo de la moneda en forma integral mediante la aplicación del método de reexpresión en moneda constante establecido por la Norma Internacional de Contabilidad 29 (“</w:t>
      </w:r>
      <w:r w:rsidRPr="008F16FC">
        <w:rPr>
          <w:sz w:val="20"/>
          <w:szCs w:val="20"/>
          <w:u w:val="single"/>
          <w:lang w:val="es-MX"/>
        </w:rPr>
        <w:t>NIC 29</w:t>
      </w:r>
      <w:r w:rsidRPr="008F16FC">
        <w:rPr>
          <w:sz w:val="20"/>
          <w:szCs w:val="20"/>
          <w:lang w:val="es-MX"/>
        </w:rPr>
        <w:t>”).</w:t>
      </w:r>
    </w:p>
    <w:p w14:paraId="40628B6A" w14:textId="77777777" w:rsidR="008F16FC" w:rsidRPr="008F16FC" w:rsidRDefault="008F16FC" w:rsidP="008F16FC">
      <w:pPr>
        <w:spacing w:line="240" w:lineRule="atLeast"/>
        <w:jc w:val="both"/>
        <w:rPr>
          <w:sz w:val="20"/>
          <w:szCs w:val="20"/>
          <w:lang w:val="es-MX"/>
        </w:rPr>
      </w:pPr>
    </w:p>
    <w:p w14:paraId="1F8B2F36" w14:textId="77777777" w:rsidR="008F16FC" w:rsidRPr="008F16FC" w:rsidRDefault="008F16FC" w:rsidP="008F16FC">
      <w:pPr>
        <w:spacing w:line="240" w:lineRule="atLeast"/>
        <w:jc w:val="both"/>
        <w:rPr>
          <w:sz w:val="20"/>
          <w:szCs w:val="20"/>
          <w:lang w:val="es-MX"/>
        </w:rPr>
      </w:pPr>
      <w:r w:rsidRPr="008F16FC">
        <w:rPr>
          <w:sz w:val="20"/>
          <w:szCs w:val="20"/>
          <w:lang w:val="es-MX"/>
        </w:rPr>
        <w:t>Adicionalmente, se presenta la información al ejercicio finalizado el 30 de junio de 2017 en moneda corriente, no siendo comparable con la información correspondiente a los ejercicios finalizados el 30 de junio de 2018 y el 30 de junio de 2019.</w:t>
      </w:r>
    </w:p>
    <w:p w14:paraId="399EEBF5" w14:textId="77777777" w:rsidR="008F16FC" w:rsidRPr="008F16FC" w:rsidRDefault="008F16FC" w:rsidP="008F16FC">
      <w:pPr>
        <w:spacing w:line="240" w:lineRule="atLeast"/>
        <w:jc w:val="both"/>
        <w:rPr>
          <w:sz w:val="20"/>
          <w:szCs w:val="20"/>
          <w:lang w:val="es-MX"/>
        </w:rPr>
      </w:pPr>
    </w:p>
    <w:p w14:paraId="20CED878" w14:textId="77777777" w:rsidR="008F16FC" w:rsidRPr="008F16FC" w:rsidRDefault="008F16FC" w:rsidP="008F16FC">
      <w:pPr>
        <w:spacing w:line="240" w:lineRule="atLeast"/>
        <w:jc w:val="both"/>
        <w:rPr>
          <w:sz w:val="20"/>
          <w:szCs w:val="20"/>
          <w:lang w:val="es-MX"/>
        </w:rPr>
      </w:pPr>
      <w:r w:rsidRPr="008F16FC">
        <w:rPr>
          <w:sz w:val="20"/>
          <w:szCs w:val="20"/>
          <w:lang w:val="es-MX"/>
        </w:rPr>
        <w:t>Los estados financieros de la Emisora han sido preparados de acuerdo con las Normas Internacionales de Información Financiera (NIIF) adoptadas por la Federación Argentina de Consejos Profesionales de Ciencias Económicas como normas contables profesionales, tal como fueron aprobadas por el Consejo de Normas Internacionales de Contabilidad (“</w:t>
      </w:r>
      <w:r w:rsidRPr="008F16FC">
        <w:rPr>
          <w:sz w:val="20"/>
          <w:szCs w:val="20"/>
          <w:u w:val="single"/>
          <w:lang w:val="es-MX"/>
        </w:rPr>
        <w:t>IASB</w:t>
      </w:r>
      <w:r w:rsidRPr="008F16FC">
        <w:rPr>
          <w:sz w:val="20"/>
          <w:szCs w:val="20"/>
          <w:lang w:val="es-MX"/>
        </w:rPr>
        <w:t>”, por su sigla en inglés), e incorporadas por las Normas de la CNV, y por lo tanto es responsable de la preparación y presentación de los estados financieros intermedios condensados adjuntos, de acuerdo con la Norma Internacional de Contabilidad 34, “Información financiera intermedia (NIC 34)”.</w:t>
      </w:r>
    </w:p>
    <w:p w14:paraId="3A532B7E" w14:textId="77777777" w:rsidR="008F16FC" w:rsidRPr="008F16FC" w:rsidRDefault="008F16FC" w:rsidP="008F16FC">
      <w:pPr>
        <w:widowControl w:val="0"/>
        <w:jc w:val="both"/>
        <w:rPr>
          <w:sz w:val="20"/>
          <w:szCs w:val="20"/>
          <w:lang w:val="es-MX"/>
        </w:rPr>
      </w:pPr>
    </w:p>
    <w:p w14:paraId="23B84795" w14:textId="77777777" w:rsidR="008F16FC" w:rsidRPr="008F16FC" w:rsidRDefault="008F16FC" w:rsidP="008F16FC">
      <w:pPr>
        <w:widowControl w:val="0"/>
        <w:jc w:val="both"/>
        <w:rPr>
          <w:bCs/>
          <w:smallCaps/>
          <w:sz w:val="20"/>
          <w:szCs w:val="20"/>
          <w:lang w:val="es-MX"/>
        </w:rPr>
      </w:pPr>
      <w:r w:rsidRPr="008F16FC">
        <w:rPr>
          <w:bCs/>
          <w:smallCaps/>
          <w:sz w:val="20"/>
          <w:szCs w:val="20"/>
          <w:lang w:val="es-MX"/>
        </w:rPr>
        <w:t>Criterios utilizados</w:t>
      </w:r>
    </w:p>
    <w:p w14:paraId="6F9EEB8E" w14:textId="77777777" w:rsidR="008F16FC" w:rsidRPr="008F16FC" w:rsidRDefault="008F16FC" w:rsidP="008F16FC">
      <w:pPr>
        <w:widowControl w:val="0"/>
        <w:jc w:val="both"/>
        <w:rPr>
          <w:bCs/>
          <w:smallCaps/>
          <w:sz w:val="20"/>
          <w:szCs w:val="20"/>
          <w:lang w:val="es-MX"/>
        </w:rPr>
      </w:pPr>
    </w:p>
    <w:p w14:paraId="3EBF8AEA" w14:textId="77777777" w:rsidR="008F16FC" w:rsidRPr="008F16FC" w:rsidRDefault="008F16FC" w:rsidP="008F16FC">
      <w:pPr>
        <w:widowControl w:val="0"/>
        <w:jc w:val="both"/>
        <w:rPr>
          <w:bCs/>
          <w:sz w:val="20"/>
          <w:szCs w:val="20"/>
          <w:lang w:val="es-MX"/>
        </w:rPr>
      </w:pPr>
      <w:r w:rsidRPr="008F16FC">
        <w:rPr>
          <w:bCs/>
          <w:sz w:val="20"/>
          <w:szCs w:val="20"/>
          <w:lang w:val="es-MX"/>
        </w:rPr>
        <w:t xml:space="preserve">Los siguientes cuadros presentan un resumen de la información contable y otra información de INVAP a las fechas y por los ejercicios indicados. </w:t>
      </w:r>
    </w:p>
    <w:p w14:paraId="5541153D" w14:textId="77777777" w:rsidR="008F16FC" w:rsidRPr="008F16FC" w:rsidRDefault="008F16FC" w:rsidP="008F16FC">
      <w:pPr>
        <w:widowControl w:val="0"/>
        <w:jc w:val="both"/>
        <w:rPr>
          <w:bCs/>
          <w:sz w:val="20"/>
          <w:szCs w:val="20"/>
          <w:lang w:val="es-MX"/>
        </w:rPr>
      </w:pPr>
    </w:p>
    <w:p w14:paraId="3CD8A405" w14:textId="77777777" w:rsidR="008F16FC" w:rsidRPr="008F16FC" w:rsidRDefault="008F16FC" w:rsidP="008F16FC">
      <w:pPr>
        <w:widowControl w:val="0"/>
        <w:jc w:val="both"/>
        <w:rPr>
          <w:bCs/>
          <w:sz w:val="20"/>
          <w:szCs w:val="20"/>
          <w:lang w:val="es-MX"/>
        </w:rPr>
      </w:pPr>
      <w:r w:rsidRPr="008F16FC">
        <w:rPr>
          <w:bCs/>
          <w:sz w:val="20"/>
          <w:szCs w:val="20"/>
          <w:lang w:val="es-MX"/>
        </w:rPr>
        <w:t>Los siguientes datos deben interpretarse en forma conjunta con el punto g) del presente Prospecto “</w:t>
      </w:r>
      <w:r w:rsidRPr="008F16FC">
        <w:rPr>
          <w:bCs/>
          <w:i/>
          <w:iCs/>
          <w:sz w:val="20"/>
          <w:szCs w:val="20"/>
          <w:lang w:val="es-MX"/>
        </w:rPr>
        <w:t>Reseña y perspectiva operativa y financiera</w:t>
      </w:r>
      <w:r w:rsidRPr="008F16FC">
        <w:rPr>
          <w:bCs/>
          <w:sz w:val="20"/>
          <w:szCs w:val="20"/>
          <w:lang w:val="es-MX"/>
        </w:rPr>
        <w:t>” y con los Estados Contables de la Emisora a las fechas indicadas, y se complementa en su totalidad con información más detallada que se incluye en los mismos.</w:t>
      </w:r>
    </w:p>
    <w:p w14:paraId="5E192C01" w14:textId="77777777" w:rsidR="008F16FC" w:rsidRPr="008F16FC" w:rsidRDefault="008F16FC" w:rsidP="008F16FC">
      <w:pPr>
        <w:widowControl w:val="0"/>
        <w:jc w:val="both"/>
        <w:rPr>
          <w:bCs/>
          <w:sz w:val="20"/>
          <w:szCs w:val="20"/>
          <w:lang w:val="es-MX"/>
        </w:rPr>
      </w:pPr>
    </w:p>
    <w:p w14:paraId="06BA1A8D" w14:textId="77777777" w:rsidR="008F16FC" w:rsidRPr="008F16FC" w:rsidRDefault="008F16FC" w:rsidP="008F16FC">
      <w:pPr>
        <w:widowControl w:val="0"/>
        <w:suppressLineNumbers/>
        <w:suppressAutoHyphens/>
        <w:rPr>
          <w:bCs/>
          <w:sz w:val="20"/>
          <w:szCs w:val="20"/>
          <w:lang w:val="es-MX"/>
        </w:rPr>
      </w:pPr>
      <w:r w:rsidRPr="008F16FC">
        <w:rPr>
          <w:bCs/>
          <w:sz w:val="20"/>
          <w:szCs w:val="20"/>
          <w:lang w:val="es-MX"/>
        </w:rPr>
        <w:t>Todas las cifras se encuentran expresadas en Pesos</w:t>
      </w:r>
    </w:p>
    <w:p w14:paraId="2C995430" w14:textId="77777777" w:rsidR="008F16FC" w:rsidRPr="008F16FC" w:rsidRDefault="008F16FC" w:rsidP="008F16FC">
      <w:pPr>
        <w:widowControl w:val="0"/>
        <w:suppressLineNumbers/>
        <w:suppressAutoHyphens/>
        <w:rPr>
          <w:bCs/>
          <w:sz w:val="20"/>
          <w:szCs w:val="20"/>
          <w:lang w:val="es-MX"/>
        </w:rPr>
      </w:pPr>
    </w:p>
    <w:p w14:paraId="113F7B6C" w14:textId="77777777" w:rsidR="008F16FC" w:rsidRPr="008F16FC" w:rsidRDefault="008F16FC" w:rsidP="008F16FC">
      <w:pPr>
        <w:widowControl w:val="0"/>
        <w:jc w:val="both"/>
        <w:outlineLvl w:val="1"/>
        <w:rPr>
          <w:rFonts w:eastAsia="Calibri"/>
          <w:b/>
          <w:sz w:val="20"/>
          <w:szCs w:val="20"/>
          <w:lang w:val="es-MX"/>
        </w:rPr>
      </w:pPr>
      <w:r w:rsidRPr="008F16FC">
        <w:rPr>
          <w:rFonts w:eastAsia="Calibri"/>
          <w:b/>
          <w:bCs/>
          <w:sz w:val="20"/>
          <w:szCs w:val="20"/>
          <w:lang w:val="es-MX"/>
        </w:rPr>
        <w:t xml:space="preserve">a) </w:t>
      </w:r>
      <w:r w:rsidRPr="008F16FC">
        <w:rPr>
          <w:rFonts w:eastAsia="Calibri"/>
          <w:b/>
          <w:sz w:val="20"/>
          <w:szCs w:val="20"/>
          <w:lang w:val="es-MX"/>
        </w:rPr>
        <w:t xml:space="preserve">Estados Financieros </w:t>
      </w:r>
    </w:p>
    <w:p w14:paraId="4B6EAABC" w14:textId="77777777" w:rsidR="008F16FC" w:rsidRPr="008F16FC" w:rsidRDefault="008F16FC" w:rsidP="008F16FC">
      <w:pPr>
        <w:widowControl w:val="0"/>
        <w:jc w:val="both"/>
        <w:outlineLvl w:val="1"/>
        <w:rPr>
          <w:rFonts w:eastAsia="Calibri"/>
          <w:b/>
          <w:bCs/>
          <w:sz w:val="20"/>
          <w:szCs w:val="20"/>
          <w:lang w:val="es-MX"/>
        </w:rPr>
      </w:pPr>
    </w:p>
    <w:p w14:paraId="6F98D997" w14:textId="77777777" w:rsidR="008F16FC" w:rsidRPr="008F16FC" w:rsidRDefault="008F16FC" w:rsidP="008F16FC">
      <w:pPr>
        <w:jc w:val="both"/>
        <w:rPr>
          <w:rFonts w:eastAsia="Calibri"/>
          <w:color w:val="000000"/>
          <w:sz w:val="20"/>
          <w:szCs w:val="20"/>
          <w:lang w:val="es-MX"/>
        </w:rPr>
      </w:pPr>
      <w:r w:rsidRPr="008F16FC">
        <w:rPr>
          <w:rFonts w:eastAsia="Calibri"/>
          <w:color w:val="000000"/>
          <w:sz w:val="20"/>
          <w:szCs w:val="20"/>
          <w:lang w:val="es-MX"/>
        </w:rPr>
        <w:t>Los cuadros expuestos a continuación presentan una breve síntesis de resultados y de la situación patrimonial de INVAP para los ejercicios económicos anuales finalizados el 30 de junio de los años 2019, 2018 y 2017.</w:t>
      </w:r>
    </w:p>
    <w:p w14:paraId="55E07A41" w14:textId="77777777" w:rsidR="008F16FC" w:rsidRPr="008F16FC" w:rsidRDefault="008F16FC" w:rsidP="008F16FC">
      <w:pPr>
        <w:jc w:val="both"/>
        <w:rPr>
          <w:rFonts w:eastAsia="Calibri"/>
          <w:color w:val="000000"/>
          <w:sz w:val="20"/>
          <w:szCs w:val="20"/>
          <w:lang w:val="es-MX"/>
        </w:rPr>
      </w:pPr>
    </w:p>
    <w:p w14:paraId="1FBEE7F5" w14:textId="77777777" w:rsidR="008F16FC" w:rsidRPr="008F16FC" w:rsidRDefault="008F16FC" w:rsidP="008F16FC">
      <w:pPr>
        <w:rPr>
          <w:rFonts w:eastAsia="Calibri"/>
          <w:b/>
          <w:i/>
          <w:iCs/>
          <w:sz w:val="20"/>
          <w:szCs w:val="20"/>
          <w:lang w:val="es-MX"/>
        </w:rPr>
      </w:pPr>
      <w:r w:rsidRPr="008F16FC">
        <w:rPr>
          <w:rFonts w:eastAsia="Calibri"/>
          <w:b/>
          <w:i/>
          <w:iCs/>
          <w:sz w:val="20"/>
          <w:szCs w:val="20"/>
          <w:lang w:val="es-MX"/>
        </w:rPr>
        <w:t>1.Estado de Resultados y Otros Resultados Integrales</w:t>
      </w:r>
    </w:p>
    <w:p w14:paraId="79D55B65" w14:textId="77777777" w:rsidR="008F16FC" w:rsidRPr="008F16FC" w:rsidRDefault="008F16FC" w:rsidP="008F16FC">
      <w:pPr>
        <w:widowControl w:val="0"/>
        <w:rPr>
          <w:rFonts w:eastAsia="Calibri"/>
          <w:sz w:val="20"/>
          <w:szCs w:val="20"/>
          <w:lang w:val="es-MX"/>
        </w:rPr>
      </w:pPr>
    </w:p>
    <w:p w14:paraId="09203724" w14:textId="77777777" w:rsidR="008F16FC" w:rsidRPr="008F16FC" w:rsidRDefault="008F16FC" w:rsidP="008F16FC">
      <w:pPr>
        <w:widowControl w:val="0"/>
        <w:rPr>
          <w:rFonts w:eastAsia="Calibri"/>
          <w:sz w:val="20"/>
          <w:szCs w:val="20"/>
          <w:lang w:val="es-MX"/>
        </w:rPr>
      </w:pPr>
      <w:r w:rsidRPr="008F16FC">
        <w:rPr>
          <w:rFonts w:eastAsia="Calibri"/>
          <w:sz w:val="20"/>
          <w:szCs w:val="20"/>
          <w:lang w:val="es-MX"/>
        </w:rPr>
        <w:t>A continuación, se detalla el Estado de Resultados de la Compañía por los ejercicios económicos anuales finalizados el 30 de junio de 2019 y 2018 (expresado en miles de Pesos).</w:t>
      </w:r>
    </w:p>
    <w:p w14:paraId="33F026E3" w14:textId="77777777" w:rsidR="008F16FC" w:rsidRPr="008F16FC" w:rsidRDefault="008F16FC" w:rsidP="008F16FC">
      <w:pPr>
        <w:rPr>
          <w:rFonts w:eastAsia="Calibri"/>
          <w:b/>
          <w:i/>
          <w:iCs/>
          <w:sz w:val="20"/>
          <w:szCs w:val="20"/>
          <w:lang w:val="es-MX"/>
        </w:rPr>
      </w:pPr>
    </w:p>
    <w:tbl>
      <w:tblPr>
        <w:tblW w:w="7288" w:type="dxa"/>
        <w:tblInd w:w="70" w:type="dxa"/>
        <w:tblCellMar>
          <w:left w:w="70" w:type="dxa"/>
          <w:right w:w="70" w:type="dxa"/>
        </w:tblCellMar>
        <w:tblLook w:val="04A0" w:firstRow="1" w:lastRow="0" w:firstColumn="1" w:lastColumn="0" w:noHBand="0" w:noVBand="1"/>
      </w:tblPr>
      <w:tblGrid>
        <w:gridCol w:w="4576"/>
        <w:gridCol w:w="1356"/>
        <w:gridCol w:w="1356"/>
      </w:tblGrid>
      <w:tr w:rsidR="008F16FC" w:rsidRPr="008F16FC" w14:paraId="560B74D4" w14:textId="77777777" w:rsidTr="00BA304B">
        <w:trPr>
          <w:trHeight w:val="255"/>
        </w:trPr>
        <w:tc>
          <w:tcPr>
            <w:tcW w:w="4576" w:type="dxa"/>
            <w:tcBorders>
              <w:top w:val="nil"/>
              <w:left w:val="nil"/>
              <w:bottom w:val="nil"/>
              <w:right w:val="nil"/>
            </w:tcBorders>
            <w:shd w:val="clear" w:color="auto" w:fill="auto"/>
            <w:noWrap/>
            <w:vAlign w:val="bottom"/>
            <w:hideMark/>
          </w:tcPr>
          <w:p w14:paraId="1F109EE5" w14:textId="77777777" w:rsidR="008F16FC" w:rsidRPr="008F16FC" w:rsidRDefault="008F16FC" w:rsidP="008F16FC">
            <w:pPr>
              <w:rPr>
                <w:color w:val="000000"/>
                <w:sz w:val="20"/>
                <w:szCs w:val="20"/>
                <w:lang w:val="es-ES"/>
              </w:rPr>
            </w:pPr>
          </w:p>
        </w:tc>
        <w:tc>
          <w:tcPr>
            <w:tcW w:w="1356" w:type="dxa"/>
            <w:tcBorders>
              <w:top w:val="nil"/>
              <w:left w:val="nil"/>
              <w:bottom w:val="nil"/>
              <w:right w:val="nil"/>
            </w:tcBorders>
            <w:shd w:val="clear" w:color="auto" w:fill="auto"/>
            <w:noWrap/>
            <w:vAlign w:val="bottom"/>
            <w:hideMark/>
          </w:tcPr>
          <w:p w14:paraId="5BAC7528" w14:textId="77777777" w:rsidR="008F16FC" w:rsidRPr="008F16FC" w:rsidRDefault="008F16FC" w:rsidP="008F16FC">
            <w:pPr>
              <w:jc w:val="right"/>
              <w:rPr>
                <w:b/>
                <w:bCs/>
                <w:color w:val="000000"/>
                <w:sz w:val="20"/>
                <w:szCs w:val="20"/>
              </w:rPr>
            </w:pPr>
            <w:r w:rsidRPr="008F16FC">
              <w:rPr>
                <w:b/>
                <w:bCs/>
                <w:color w:val="000000"/>
                <w:sz w:val="20"/>
                <w:szCs w:val="20"/>
              </w:rPr>
              <w:t>30/06/2019</w:t>
            </w:r>
          </w:p>
        </w:tc>
        <w:tc>
          <w:tcPr>
            <w:tcW w:w="1356" w:type="dxa"/>
            <w:tcBorders>
              <w:top w:val="nil"/>
              <w:left w:val="nil"/>
              <w:bottom w:val="nil"/>
              <w:right w:val="nil"/>
            </w:tcBorders>
            <w:shd w:val="clear" w:color="auto" w:fill="auto"/>
            <w:noWrap/>
            <w:vAlign w:val="bottom"/>
            <w:hideMark/>
          </w:tcPr>
          <w:p w14:paraId="021761B1" w14:textId="77777777" w:rsidR="008F16FC" w:rsidRPr="008F16FC" w:rsidRDefault="008F16FC" w:rsidP="008F16FC">
            <w:pPr>
              <w:jc w:val="right"/>
              <w:rPr>
                <w:b/>
                <w:bCs/>
                <w:color w:val="000000"/>
                <w:sz w:val="20"/>
                <w:szCs w:val="20"/>
              </w:rPr>
            </w:pPr>
            <w:r w:rsidRPr="008F16FC">
              <w:rPr>
                <w:b/>
                <w:bCs/>
                <w:color w:val="000000"/>
                <w:sz w:val="20"/>
                <w:szCs w:val="20"/>
              </w:rPr>
              <w:t>30/06/2018</w:t>
            </w:r>
          </w:p>
        </w:tc>
      </w:tr>
      <w:tr w:rsidR="008F16FC" w:rsidRPr="008F16FC" w14:paraId="72F57500" w14:textId="77777777" w:rsidTr="00BA304B">
        <w:trPr>
          <w:trHeight w:val="255"/>
        </w:trPr>
        <w:tc>
          <w:tcPr>
            <w:tcW w:w="4576" w:type="dxa"/>
            <w:tcBorders>
              <w:top w:val="nil"/>
              <w:left w:val="nil"/>
              <w:bottom w:val="nil"/>
              <w:right w:val="nil"/>
            </w:tcBorders>
            <w:shd w:val="clear" w:color="auto" w:fill="auto"/>
            <w:noWrap/>
            <w:vAlign w:val="bottom"/>
            <w:hideMark/>
          </w:tcPr>
          <w:p w14:paraId="108DC555" w14:textId="77777777" w:rsidR="008F16FC" w:rsidRPr="008F16FC" w:rsidRDefault="008F16FC" w:rsidP="008F16FC">
            <w:pPr>
              <w:rPr>
                <w:color w:val="000000"/>
                <w:sz w:val="20"/>
                <w:szCs w:val="20"/>
                <w:lang w:val="es-ES"/>
              </w:rPr>
            </w:pPr>
            <w:r w:rsidRPr="008F16FC">
              <w:rPr>
                <w:color w:val="000000"/>
                <w:sz w:val="20"/>
                <w:szCs w:val="20"/>
                <w:lang w:val="es-ES"/>
              </w:rPr>
              <w:t>Ingresos por contratos de construcción</w:t>
            </w:r>
          </w:p>
        </w:tc>
        <w:tc>
          <w:tcPr>
            <w:tcW w:w="1356" w:type="dxa"/>
            <w:tcBorders>
              <w:top w:val="nil"/>
              <w:left w:val="nil"/>
              <w:bottom w:val="nil"/>
              <w:right w:val="nil"/>
            </w:tcBorders>
            <w:shd w:val="clear" w:color="auto" w:fill="auto"/>
            <w:noWrap/>
            <w:vAlign w:val="bottom"/>
            <w:hideMark/>
          </w:tcPr>
          <w:p w14:paraId="29D80FF8" w14:textId="77777777" w:rsidR="008F16FC" w:rsidRPr="008F16FC" w:rsidRDefault="008F16FC" w:rsidP="008F16FC">
            <w:pPr>
              <w:jc w:val="right"/>
              <w:rPr>
                <w:color w:val="000000"/>
                <w:sz w:val="20"/>
                <w:szCs w:val="20"/>
              </w:rPr>
            </w:pPr>
            <w:r w:rsidRPr="008F16FC">
              <w:rPr>
                <w:color w:val="000000"/>
                <w:sz w:val="20"/>
                <w:szCs w:val="20"/>
              </w:rPr>
              <w:t>7.553.565</w:t>
            </w:r>
          </w:p>
        </w:tc>
        <w:tc>
          <w:tcPr>
            <w:tcW w:w="1356" w:type="dxa"/>
            <w:tcBorders>
              <w:top w:val="nil"/>
              <w:left w:val="nil"/>
              <w:bottom w:val="nil"/>
              <w:right w:val="nil"/>
            </w:tcBorders>
            <w:shd w:val="clear" w:color="auto" w:fill="auto"/>
            <w:noWrap/>
            <w:vAlign w:val="bottom"/>
            <w:hideMark/>
          </w:tcPr>
          <w:p w14:paraId="60E95883" w14:textId="77777777" w:rsidR="008F16FC" w:rsidRPr="008F16FC" w:rsidRDefault="008F16FC" w:rsidP="008F16FC">
            <w:pPr>
              <w:jc w:val="right"/>
              <w:rPr>
                <w:color w:val="000000"/>
                <w:sz w:val="20"/>
                <w:szCs w:val="20"/>
              </w:rPr>
            </w:pPr>
            <w:r w:rsidRPr="008F16FC">
              <w:rPr>
                <w:color w:val="000000"/>
                <w:sz w:val="20"/>
                <w:szCs w:val="20"/>
              </w:rPr>
              <w:t>6.474.004</w:t>
            </w:r>
          </w:p>
        </w:tc>
      </w:tr>
      <w:tr w:rsidR="008F16FC" w:rsidRPr="008F16FC" w14:paraId="2A60E225" w14:textId="77777777" w:rsidTr="00BA304B">
        <w:trPr>
          <w:trHeight w:val="255"/>
        </w:trPr>
        <w:tc>
          <w:tcPr>
            <w:tcW w:w="4576" w:type="dxa"/>
            <w:tcBorders>
              <w:top w:val="nil"/>
              <w:left w:val="nil"/>
              <w:bottom w:val="nil"/>
              <w:right w:val="nil"/>
            </w:tcBorders>
            <w:shd w:val="clear" w:color="auto" w:fill="auto"/>
            <w:noWrap/>
            <w:vAlign w:val="bottom"/>
            <w:hideMark/>
          </w:tcPr>
          <w:p w14:paraId="4D9671EB" w14:textId="77777777" w:rsidR="008F16FC" w:rsidRPr="008F16FC" w:rsidRDefault="008F16FC" w:rsidP="008F16FC">
            <w:pPr>
              <w:rPr>
                <w:color w:val="000000"/>
                <w:sz w:val="20"/>
                <w:szCs w:val="20"/>
                <w:lang w:val="es-ES"/>
              </w:rPr>
            </w:pPr>
            <w:r w:rsidRPr="008F16FC">
              <w:rPr>
                <w:color w:val="000000"/>
                <w:sz w:val="20"/>
                <w:szCs w:val="20"/>
                <w:lang w:val="es-ES"/>
              </w:rPr>
              <w:t>Costo de ejecución de los contratos</w:t>
            </w:r>
          </w:p>
        </w:tc>
        <w:tc>
          <w:tcPr>
            <w:tcW w:w="1356" w:type="dxa"/>
            <w:tcBorders>
              <w:top w:val="nil"/>
              <w:left w:val="nil"/>
              <w:bottom w:val="nil"/>
              <w:right w:val="nil"/>
            </w:tcBorders>
            <w:shd w:val="clear" w:color="auto" w:fill="auto"/>
            <w:noWrap/>
            <w:vAlign w:val="bottom"/>
            <w:hideMark/>
          </w:tcPr>
          <w:p w14:paraId="1F9D1406" w14:textId="77777777" w:rsidR="008F16FC" w:rsidRPr="008F16FC" w:rsidRDefault="008F16FC" w:rsidP="008F16FC">
            <w:pPr>
              <w:jc w:val="right"/>
              <w:rPr>
                <w:color w:val="000000"/>
                <w:sz w:val="20"/>
                <w:szCs w:val="20"/>
              </w:rPr>
            </w:pPr>
            <w:r w:rsidRPr="008F16FC">
              <w:rPr>
                <w:color w:val="000000"/>
                <w:sz w:val="20"/>
                <w:szCs w:val="20"/>
              </w:rPr>
              <w:t>(5.654.938)</w:t>
            </w:r>
          </w:p>
        </w:tc>
        <w:tc>
          <w:tcPr>
            <w:tcW w:w="1356" w:type="dxa"/>
            <w:tcBorders>
              <w:top w:val="nil"/>
              <w:left w:val="nil"/>
              <w:bottom w:val="nil"/>
              <w:right w:val="nil"/>
            </w:tcBorders>
            <w:shd w:val="clear" w:color="auto" w:fill="auto"/>
            <w:noWrap/>
            <w:vAlign w:val="bottom"/>
            <w:hideMark/>
          </w:tcPr>
          <w:p w14:paraId="6815E0E0" w14:textId="77777777" w:rsidR="008F16FC" w:rsidRPr="008F16FC" w:rsidRDefault="008F16FC" w:rsidP="008F16FC">
            <w:pPr>
              <w:jc w:val="right"/>
              <w:rPr>
                <w:color w:val="000000"/>
                <w:sz w:val="20"/>
                <w:szCs w:val="20"/>
              </w:rPr>
            </w:pPr>
            <w:r w:rsidRPr="008F16FC">
              <w:rPr>
                <w:color w:val="000000"/>
                <w:sz w:val="20"/>
                <w:szCs w:val="20"/>
              </w:rPr>
              <w:t>(5.585.442)</w:t>
            </w:r>
          </w:p>
        </w:tc>
      </w:tr>
      <w:tr w:rsidR="008F16FC" w:rsidRPr="008F16FC" w14:paraId="41BEC683" w14:textId="77777777" w:rsidTr="00BA304B">
        <w:trPr>
          <w:trHeight w:val="255"/>
        </w:trPr>
        <w:tc>
          <w:tcPr>
            <w:tcW w:w="4576" w:type="dxa"/>
            <w:tcBorders>
              <w:top w:val="nil"/>
              <w:left w:val="nil"/>
              <w:bottom w:val="nil"/>
              <w:right w:val="nil"/>
            </w:tcBorders>
            <w:shd w:val="clear" w:color="000000" w:fill="D9D9D9"/>
            <w:noWrap/>
            <w:vAlign w:val="bottom"/>
            <w:hideMark/>
          </w:tcPr>
          <w:p w14:paraId="61D06714" w14:textId="77777777" w:rsidR="008F16FC" w:rsidRPr="008F16FC" w:rsidRDefault="008F16FC" w:rsidP="008F16FC">
            <w:pPr>
              <w:rPr>
                <w:b/>
                <w:bCs/>
                <w:color w:val="000000"/>
                <w:sz w:val="20"/>
                <w:szCs w:val="20"/>
              </w:rPr>
            </w:pPr>
            <w:r w:rsidRPr="008F16FC">
              <w:rPr>
                <w:b/>
                <w:bCs/>
                <w:color w:val="000000"/>
                <w:sz w:val="20"/>
                <w:szCs w:val="20"/>
              </w:rPr>
              <w:t>Ganancia Bruta</w:t>
            </w:r>
          </w:p>
        </w:tc>
        <w:tc>
          <w:tcPr>
            <w:tcW w:w="1356" w:type="dxa"/>
            <w:tcBorders>
              <w:top w:val="nil"/>
              <w:left w:val="nil"/>
              <w:bottom w:val="nil"/>
              <w:right w:val="nil"/>
            </w:tcBorders>
            <w:shd w:val="clear" w:color="000000" w:fill="D9D9D9"/>
            <w:noWrap/>
            <w:vAlign w:val="bottom"/>
            <w:hideMark/>
          </w:tcPr>
          <w:p w14:paraId="130F489A" w14:textId="77777777" w:rsidR="008F16FC" w:rsidRPr="008F16FC" w:rsidRDefault="008F16FC" w:rsidP="008F16FC">
            <w:pPr>
              <w:jc w:val="right"/>
              <w:rPr>
                <w:b/>
                <w:bCs/>
                <w:color w:val="000000"/>
                <w:sz w:val="20"/>
                <w:szCs w:val="20"/>
              </w:rPr>
            </w:pPr>
            <w:r w:rsidRPr="008F16FC">
              <w:rPr>
                <w:b/>
                <w:bCs/>
                <w:color w:val="000000"/>
                <w:sz w:val="20"/>
                <w:szCs w:val="20"/>
              </w:rPr>
              <w:t>1.898.628</w:t>
            </w:r>
          </w:p>
        </w:tc>
        <w:tc>
          <w:tcPr>
            <w:tcW w:w="1356" w:type="dxa"/>
            <w:tcBorders>
              <w:top w:val="nil"/>
              <w:left w:val="nil"/>
              <w:bottom w:val="nil"/>
              <w:right w:val="nil"/>
            </w:tcBorders>
            <w:shd w:val="clear" w:color="000000" w:fill="D9D9D9"/>
            <w:noWrap/>
            <w:vAlign w:val="bottom"/>
            <w:hideMark/>
          </w:tcPr>
          <w:p w14:paraId="4C6109B8" w14:textId="77777777" w:rsidR="008F16FC" w:rsidRPr="008F16FC" w:rsidRDefault="008F16FC" w:rsidP="008F16FC">
            <w:pPr>
              <w:jc w:val="right"/>
              <w:rPr>
                <w:b/>
                <w:bCs/>
                <w:color w:val="000000"/>
                <w:sz w:val="20"/>
                <w:szCs w:val="20"/>
              </w:rPr>
            </w:pPr>
            <w:r w:rsidRPr="008F16FC">
              <w:rPr>
                <w:b/>
                <w:bCs/>
                <w:color w:val="000000"/>
                <w:sz w:val="20"/>
                <w:szCs w:val="20"/>
              </w:rPr>
              <w:t>888.562</w:t>
            </w:r>
          </w:p>
        </w:tc>
      </w:tr>
      <w:tr w:rsidR="008F16FC" w:rsidRPr="008F16FC" w14:paraId="2E8AA84D" w14:textId="77777777" w:rsidTr="00BA304B">
        <w:trPr>
          <w:trHeight w:val="255"/>
        </w:trPr>
        <w:tc>
          <w:tcPr>
            <w:tcW w:w="4576" w:type="dxa"/>
            <w:tcBorders>
              <w:top w:val="nil"/>
              <w:left w:val="nil"/>
              <w:bottom w:val="nil"/>
              <w:right w:val="nil"/>
            </w:tcBorders>
            <w:shd w:val="clear" w:color="auto" w:fill="auto"/>
            <w:noWrap/>
            <w:vAlign w:val="bottom"/>
            <w:hideMark/>
          </w:tcPr>
          <w:p w14:paraId="4ED2744B"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hideMark/>
          </w:tcPr>
          <w:p w14:paraId="7AC43FE1"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hideMark/>
          </w:tcPr>
          <w:p w14:paraId="55D38463" w14:textId="77777777" w:rsidR="008F16FC" w:rsidRPr="008F16FC" w:rsidRDefault="008F16FC" w:rsidP="008F16FC">
            <w:pPr>
              <w:rPr>
                <w:color w:val="000000"/>
                <w:sz w:val="20"/>
                <w:szCs w:val="20"/>
              </w:rPr>
            </w:pPr>
          </w:p>
        </w:tc>
      </w:tr>
      <w:tr w:rsidR="008F16FC" w:rsidRPr="008F16FC" w14:paraId="25DE6605" w14:textId="77777777" w:rsidTr="00BA304B">
        <w:trPr>
          <w:trHeight w:val="255"/>
        </w:trPr>
        <w:tc>
          <w:tcPr>
            <w:tcW w:w="4576" w:type="dxa"/>
            <w:tcBorders>
              <w:top w:val="nil"/>
              <w:left w:val="nil"/>
              <w:bottom w:val="nil"/>
              <w:right w:val="nil"/>
            </w:tcBorders>
            <w:shd w:val="clear" w:color="auto" w:fill="auto"/>
            <w:noWrap/>
            <w:vAlign w:val="bottom"/>
            <w:hideMark/>
          </w:tcPr>
          <w:p w14:paraId="18675FC0" w14:textId="77777777" w:rsidR="008F16FC" w:rsidRPr="008F16FC" w:rsidRDefault="008F16FC" w:rsidP="008F16FC">
            <w:pPr>
              <w:rPr>
                <w:color w:val="000000"/>
                <w:sz w:val="20"/>
                <w:szCs w:val="20"/>
              </w:rPr>
            </w:pPr>
            <w:r w:rsidRPr="008F16FC">
              <w:rPr>
                <w:color w:val="000000"/>
                <w:sz w:val="20"/>
                <w:szCs w:val="20"/>
              </w:rPr>
              <w:t>Gastos de administración</w:t>
            </w:r>
          </w:p>
        </w:tc>
        <w:tc>
          <w:tcPr>
            <w:tcW w:w="1356" w:type="dxa"/>
            <w:tcBorders>
              <w:top w:val="nil"/>
              <w:left w:val="nil"/>
              <w:bottom w:val="nil"/>
              <w:right w:val="nil"/>
            </w:tcBorders>
            <w:shd w:val="clear" w:color="auto" w:fill="auto"/>
            <w:noWrap/>
            <w:vAlign w:val="bottom"/>
            <w:hideMark/>
          </w:tcPr>
          <w:p w14:paraId="50D1110E" w14:textId="77777777" w:rsidR="008F16FC" w:rsidRPr="008F16FC" w:rsidRDefault="008F16FC" w:rsidP="008F16FC">
            <w:pPr>
              <w:jc w:val="right"/>
              <w:rPr>
                <w:color w:val="000000"/>
                <w:sz w:val="20"/>
                <w:szCs w:val="20"/>
              </w:rPr>
            </w:pPr>
            <w:r w:rsidRPr="008F16FC">
              <w:rPr>
                <w:color w:val="000000"/>
                <w:sz w:val="20"/>
                <w:szCs w:val="20"/>
              </w:rPr>
              <w:t>(605.189)</w:t>
            </w:r>
          </w:p>
        </w:tc>
        <w:tc>
          <w:tcPr>
            <w:tcW w:w="1356" w:type="dxa"/>
            <w:tcBorders>
              <w:top w:val="nil"/>
              <w:left w:val="nil"/>
              <w:bottom w:val="nil"/>
              <w:right w:val="nil"/>
            </w:tcBorders>
            <w:shd w:val="clear" w:color="auto" w:fill="auto"/>
            <w:noWrap/>
            <w:vAlign w:val="bottom"/>
            <w:hideMark/>
          </w:tcPr>
          <w:p w14:paraId="7F882AC9" w14:textId="77777777" w:rsidR="008F16FC" w:rsidRPr="008F16FC" w:rsidRDefault="008F16FC" w:rsidP="008F16FC">
            <w:pPr>
              <w:jc w:val="right"/>
              <w:rPr>
                <w:color w:val="000000"/>
                <w:sz w:val="20"/>
                <w:szCs w:val="20"/>
              </w:rPr>
            </w:pPr>
            <w:r w:rsidRPr="008F16FC">
              <w:rPr>
                <w:color w:val="000000"/>
                <w:sz w:val="20"/>
                <w:szCs w:val="20"/>
              </w:rPr>
              <w:t>(441.324)</w:t>
            </w:r>
          </w:p>
        </w:tc>
      </w:tr>
      <w:tr w:rsidR="008F16FC" w:rsidRPr="008F16FC" w14:paraId="4B21C520" w14:textId="77777777" w:rsidTr="00BA304B">
        <w:trPr>
          <w:trHeight w:val="255"/>
        </w:trPr>
        <w:tc>
          <w:tcPr>
            <w:tcW w:w="4576" w:type="dxa"/>
            <w:tcBorders>
              <w:top w:val="nil"/>
              <w:left w:val="nil"/>
              <w:bottom w:val="nil"/>
              <w:right w:val="nil"/>
            </w:tcBorders>
            <w:shd w:val="clear" w:color="auto" w:fill="auto"/>
            <w:noWrap/>
            <w:vAlign w:val="bottom"/>
            <w:hideMark/>
          </w:tcPr>
          <w:p w14:paraId="5FFC912D" w14:textId="77777777" w:rsidR="008F16FC" w:rsidRPr="008F16FC" w:rsidRDefault="008F16FC" w:rsidP="008F16FC">
            <w:pPr>
              <w:rPr>
                <w:color w:val="000000"/>
                <w:sz w:val="20"/>
                <w:szCs w:val="20"/>
              </w:rPr>
            </w:pPr>
            <w:r w:rsidRPr="008F16FC">
              <w:rPr>
                <w:color w:val="000000"/>
                <w:sz w:val="20"/>
                <w:szCs w:val="20"/>
              </w:rPr>
              <w:t>Gastos de comercialización</w:t>
            </w:r>
          </w:p>
        </w:tc>
        <w:tc>
          <w:tcPr>
            <w:tcW w:w="1356" w:type="dxa"/>
            <w:tcBorders>
              <w:top w:val="nil"/>
              <w:left w:val="nil"/>
              <w:bottom w:val="nil"/>
              <w:right w:val="nil"/>
            </w:tcBorders>
            <w:shd w:val="clear" w:color="auto" w:fill="auto"/>
            <w:noWrap/>
            <w:vAlign w:val="bottom"/>
            <w:hideMark/>
          </w:tcPr>
          <w:p w14:paraId="775A507F" w14:textId="77777777" w:rsidR="008F16FC" w:rsidRPr="008F16FC" w:rsidRDefault="008F16FC" w:rsidP="008F16FC">
            <w:pPr>
              <w:jc w:val="right"/>
              <w:rPr>
                <w:color w:val="000000"/>
                <w:sz w:val="20"/>
                <w:szCs w:val="20"/>
              </w:rPr>
            </w:pPr>
            <w:r w:rsidRPr="008F16FC">
              <w:rPr>
                <w:color w:val="000000"/>
                <w:sz w:val="20"/>
                <w:szCs w:val="20"/>
              </w:rPr>
              <w:t>(138.688)</w:t>
            </w:r>
          </w:p>
        </w:tc>
        <w:tc>
          <w:tcPr>
            <w:tcW w:w="1356" w:type="dxa"/>
            <w:tcBorders>
              <w:top w:val="nil"/>
              <w:left w:val="nil"/>
              <w:bottom w:val="nil"/>
              <w:right w:val="nil"/>
            </w:tcBorders>
            <w:shd w:val="clear" w:color="auto" w:fill="auto"/>
            <w:noWrap/>
            <w:vAlign w:val="bottom"/>
            <w:hideMark/>
          </w:tcPr>
          <w:p w14:paraId="5ECF2094" w14:textId="77777777" w:rsidR="008F16FC" w:rsidRPr="008F16FC" w:rsidRDefault="008F16FC" w:rsidP="008F16FC">
            <w:pPr>
              <w:jc w:val="right"/>
              <w:rPr>
                <w:color w:val="000000"/>
                <w:sz w:val="20"/>
                <w:szCs w:val="20"/>
              </w:rPr>
            </w:pPr>
            <w:r w:rsidRPr="008F16FC">
              <w:rPr>
                <w:color w:val="000000"/>
                <w:sz w:val="20"/>
                <w:szCs w:val="20"/>
              </w:rPr>
              <w:t>(151.546)</w:t>
            </w:r>
          </w:p>
        </w:tc>
      </w:tr>
      <w:tr w:rsidR="008F16FC" w:rsidRPr="008F16FC" w14:paraId="7DA8F8C6" w14:textId="77777777" w:rsidTr="00BA304B">
        <w:trPr>
          <w:trHeight w:val="255"/>
        </w:trPr>
        <w:tc>
          <w:tcPr>
            <w:tcW w:w="4576" w:type="dxa"/>
            <w:tcBorders>
              <w:top w:val="nil"/>
              <w:left w:val="nil"/>
              <w:bottom w:val="nil"/>
              <w:right w:val="nil"/>
            </w:tcBorders>
            <w:shd w:val="clear" w:color="auto" w:fill="auto"/>
            <w:noWrap/>
            <w:vAlign w:val="bottom"/>
            <w:hideMark/>
          </w:tcPr>
          <w:p w14:paraId="69944406" w14:textId="77777777" w:rsidR="008F16FC" w:rsidRPr="008F16FC" w:rsidRDefault="008F16FC" w:rsidP="008F16FC">
            <w:pPr>
              <w:rPr>
                <w:color w:val="000000"/>
                <w:sz w:val="20"/>
                <w:szCs w:val="20"/>
              </w:rPr>
            </w:pPr>
            <w:r w:rsidRPr="008F16FC">
              <w:rPr>
                <w:color w:val="000000"/>
                <w:sz w:val="20"/>
                <w:szCs w:val="20"/>
              </w:rPr>
              <w:t>Otros ingresos</w:t>
            </w:r>
          </w:p>
        </w:tc>
        <w:tc>
          <w:tcPr>
            <w:tcW w:w="1356" w:type="dxa"/>
            <w:tcBorders>
              <w:top w:val="nil"/>
              <w:left w:val="nil"/>
              <w:bottom w:val="nil"/>
              <w:right w:val="nil"/>
            </w:tcBorders>
            <w:shd w:val="clear" w:color="auto" w:fill="auto"/>
            <w:noWrap/>
            <w:vAlign w:val="bottom"/>
            <w:hideMark/>
          </w:tcPr>
          <w:p w14:paraId="78028D7E" w14:textId="77777777" w:rsidR="008F16FC" w:rsidRPr="008F16FC" w:rsidRDefault="008F16FC" w:rsidP="008F16FC">
            <w:pPr>
              <w:jc w:val="right"/>
              <w:rPr>
                <w:color w:val="000000"/>
                <w:sz w:val="20"/>
                <w:szCs w:val="20"/>
              </w:rPr>
            </w:pPr>
            <w:r w:rsidRPr="008F16FC">
              <w:rPr>
                <w:color w:val="000000"/>
                <w:sz w:val="20"/>
                <w:szCs w:val="20"/>
              </w:rPr>
              <w:t>27.977</w:t>
            </w:r>
          </w:p>
        </w:tc>
        <w:tc>
          <w:tcPr>
            <w:tcW w:w="1356" w:type="dxa"/>
            <w:tcBorders>
              <w:top w:val="nil"/>
              <w:left w:val="nil"/>
              <w:bottom w:val="nil"/>
              <w:right w:val="nil"/>
            </w:tcBorders>
            <w:shd w:val="clear" w:color="auto" w:fill="auto"/>
            <w:noWrap/>
            <w:vAlign w:val="bottom"/>
            <w:hideMark/>
          </w:tcPr>
          <w:p w14:paraId="14FB0985" w14:textId="77777777" w:rsidR="008F16FC" w:rsidRPr="008F16FC" w:rsidRDefault="008F16FC" w:rsidP="008F16FC">
            <w:pPr>
              <w:jc w:val="right"/>
              <w:rPr>
                <w:color w:val="000000"/>
                <w:sz w:val="20"/>
                <w:szCs w:val="20"/>
              </w:rPr>
            </w:pPr>
            <w:r w:rsidRPr="008F16FC">
              <w:rPr>
                <w:color w:val="000000"/>
                <w:sz w:val="20"/>
                <w:szCs w:val="20"/>
              </w:rPr>
              <w:t>24.918</w:t>
            </w:r>
          </w:p>
        </w:tc>
      </w:tr>
      <w:tr w:rsidR="008F16FC" w:rsidRPr="008F16FC" w14:paraId="064B23C6" w14:textId="77777777" w:rsidTr="00BA304B">
        <w:trPr>
          <w:trHeight w:val="255"/>
        </w:trPr>
        <w:tc>
          <w:tcPr>
            <w:tcW w:w="4576" w:type="dxa"/>
            <w:tcBorders>
              <w:top w:val="nil"/>
              <w:left w:val="nil"/>
              <w:bottom w:val="nil"/>
              <w:right w:val="nil"/>
            </w:tcBorders>
            <w:shd w:val="clear" w:color="auto" w:fill="auto"/>
            <w:noWrap/>
            <w:vAlign w:val="bottom"/>
            <w:hideMark/>
          </w:tcPr>
          <w:p w14:paraId="565CAC61" w14:textId="77777777" w:rsidR="008F16FC" w:rsidRPr="008F16FC" w:rsidRDefault="008F16FC" w:rsidP="008F16FC">
            <w:pPr>
              <w:rPr>
                <w:color w:val="000000"/>
                <w:sz w:val="20"/>
                <w:szCs w:val="20"/>
              </w:rPr>
            </w:pPr>
            <w:r w:rsidRPr="008F16FC">
              <w:rPr>
                <w:color w:val="000000"/>
                <w:sz w:val="20"/>
                <w:szCs w:val="20"/>
              </w:rPr>
              <w:t>Otros gastos</w:t>
            </w:r>
          </w:p>
        </w:tc>
        <w:tc>
          <w:tcPr>
            <w:tcW w:w="1356" w:type="dxa"/>
            <w:tcBorders>
              <w:top w:val="nil"/>
              <w:left w:val="nil"/>
              <w:bottom w:val="nil"/>
              <w:right w:val="nil"/>
            </w:tcBorders>
            <w:shd w:val="clear" w:color="auto" w:fill="auto"/>
            <w:noWrap/>
            <w:vAlign w:val="bottom"/>
            <w:hideMark/>
          </w:tcPr>
          <w:p w14:paraId="3C4DE72C" w14:textId="77777777" w:rsidR="008F16FC" w:rsidRPr="008F16FC" w:rsidRDefault="008F16FC" w:rsidP="008F16FC">
            <w:pPr>
              <w:jc w:val="right"/>
              <w:rPr>
                <w:color w:val="000000"/>
                <w:sz w:val="20"/>
                <w:szCs w:val="20"/>
              </w:rPr>
            </w:pPr>
            <w:r w:rsidRPr="008F16FC">
              <w:rPr>
                <w:color w:val="000000"/>
                <w:sz w:val="20"/>
                <w:szCs w:val="20"/>
              </w:rPr>
              <w:t>(66.280)</w:t>
            </w:r>
          </w:p>
        </w:tc>
        <w:tc>
          <w:tcPr>
            <w:tcW w:w="1356" w:type="dxa"/>
            <w:tcBorders>
              <w:top w:val="nil"/>
              <w:left w:val="nil"/>
              <w:bottom w:val="nil"/>
              <w:right w:val="nil"/>
            </w:tcBorders>
            <w:shd w:val="clear" w:color="auto" w:fill="auto"/>
            <w:noWrap/>
            <w:vAlign w:val="bottom"/>
            <w:hideMark/>
          </w:tcPr>
          <w:p w14:paraId="13AA45F9" w14:textId="77777777" w:rsidR="008F16FC" w:rsidRPr="008F16FC" w:rsidRDefault="008F16FC" w:rsidP="008F16FC">
            <w:pPr>
              <w:jc w:val="right"/>
              <w:rPr>
                <w:color w:val="000000"/>
                <w:sz w:val="20"/>
                <w:szCs w:val="20"/>
              </w:rPr>
            </w:pPr>
            <w:r w:rsidRPr="008F16FC">
              <w:rPr>
                <w:color w:val="000000"/>
                <w:sz w:val="20"/>
                <w:szCs w:val="20"/>
              </w:rPr>
              <w:t>(30.632)</w:t>
            </w:r>
          </w:p>
        </w:tc>
      </w:tr>
      <w:tr w:rsidR="008F16FC" w:rsidRPr="008F16FC" w14:paraId="16D321E2" w14:textId="77777777" w:rsidTr="00BA304B">
        <w:trPr>
          <w:trHeight w:val="255"/>
        </w:trPr>
        <w:tc>
          <w:tcPr>
            <w:tcW w:w="4576" w:type="dxa"/>
            <w:tcBorders>
              <w:top w:val="nil"/>
              <w:left w:val="nil"/>
              <w:bottom w:val="nil"/>
              <w:right w:val="nil"/>
            </w:tcBorders>
            <w:shd w:val="clear" w:color="000000" w:fill="D9D9D9"/>
            <w:noWrap/>
            <w:vAlign w:val="bottom"/>
            <w:hideMark/>
          </w:tcPr>
          <w:p w14:paraId="0BA80CE5" w14:textId="77777777" w:rsidR="008F16FC" w:rsidRPr="008F16FC" w:rsidRDefault="008F16FC" w:rsidP="008F16FC">
            <w:pPr>
              <w:rPr>
                <w:b/>
                <w:bCs/>
                <w:color w:val="000000"/>
                <w:sz w:val="20"/>
                <w:szCs w:val="20"/>
              </w:rPr>
            </w:pPr>
            <w:r w:rsidRPr="008F16FC">
              <w:rPr>
                <w:b/>
                <w:bCs/>
                <w:color w:val="000000"/>
                <w:sz w:val="20"/>
                <w:szCs w:val="20"/>
              </w:rPr>
              <w:t>Ganancia Operativa</w:t>
            </w:r>
          </w:p>
        </w:tc>
        <w:tc>
          <w:tcPr>
            <w:tcW w:w="1356" w:type="dxa"/>
            <w:tcBorders>
              <w:top w:val="nil"/>
              <w:left w:val="nil"/>
              <w:bottom w:val="nil"/>
              <w:right w:val="nil"/>
            </w:tcBorders>
            <w:shd w:val="clear" w:color="000000" w:fill="D9D9D9"/>
            <w:noWrap/>
            <w:vAlign w:val="bottom"/>
            <w:hideMark/>
          </w:tcPr>
          <w:p w14:paraId="490355E1" w14:textId="77777777" w:rsidR="008F16FC" w:rsidRPr="008F16FC" w:rsidRDefault="008F16FC" w:rsidP="008F16FC">
            <w:pPr>
              <w:jc w:val="right"/>
              <w:rPr>
                <w:b/>
                <w:bCs/>
                <w:color w:val="000000"/>
                <w:sz w:val="20"/>
                <w:szCs w:val="20"/>
              </w:rPr>
            </w:pPr>
            <w:r w:rsidRPr="008F16FC">
              <w:rPr>
                <w:b/>
                <w:bCs/>
                <w:color w:val="000000"/>
                <w:sz w:val="20"/>
                <w:szCs w:val="20"/>
              </w:rPr>
              <w:t>1.116.448</w:t>
            </w:r>
          </w:p>
        </w:tc>
        <w:tc>
          <w:tcPr>
            <w:tcW w:w="1356" w:type="dxa"/>
            <w:tcBorders>
              <w:top w:val="nil"/>
              <w:left w:val="nil"/>
              <w:bottom w:val="nil"/>
              <w:right w:val="nil"/>
            </w:tcBorders>
            <w:shd w:val="clear" w:color="000000" w:fill="D9D9D9"/>
            <w:noWrap/>
            <w:vAlign w:val="bottom"/>
            <w:hideMark/>
          </w:tcPr>
          <w:p w14:paraId="2002646B" w14:textId="77777777" w:rsidR="008F16FC" w:rsidRPr="008F16FC" w:rsidRDefault="008F16FC" w:rsidP="008F16FC">
            <w:pPr>
              <w:jc w:val="right"/>
              <w:rPr>
                <w:b/>
                <w:bCs/>
                <w:color w:val="000000"/>
                <w:sz w:val="20"/>
                <w:szCs w:val="20"/>
              </w:rPr>
            </w:pPr>
            <w:r w:rsidRPr="008F16FC">
              <w:rPr>
                <w:b/>
                <w:bCs/>
                <w:color w:val="000000"/>
                <w:sz w:val="20"/>
                <w:szCs w:val="20"/>
              </w:rPr>
              <w:t>289.978</w:t>
            </w:r>
          </w:p>
        </w:tc>
      </w:tr>
      <w:tr w:rsidR="008F16FC" w:rsidRPr="008F16FC" w14:paraId="4CDD52B4" w14:textId="77777777" w:rsidTr="00BA304B">
        <w:trPr>
          <w:trHeight w:val="255"/>
        </w:trPr>
        <w:tc>
          <w:tcPr>
            <w:tcW w:w="4576" w:type="dxa"/>
            <w:tcBorders>
              <w:top w:val="nil"/>
              <w:left w:val="nil"/>
              <w:bottom w:val="nil"/>
              <w:right w:val="nil"/>
            </w:tcBorders>
            <w:shd w:val="clear" w:color="auto" w:fill="auto"/>
            <w:noWrap/>
            <w:vAlign w:val="bottom"/>
            <w:hideMark/>
          </w:tcPr>
          <w:p w14:paraId="3CC799BE"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hideMark/>
          </w:tcPr>
          <w:p w14:paraId="5061E22B"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hideMark/>
          </w:tcPr>
          <w:p w14:paraId="562E64C9" w14:textId="77777777" w:rsidR="008F16FC" w:rsidRPr="008F16FC" w:rsidRDefault="008F16FC" w:rsidP="008F16FC">
            <w:pPr>
              <w:rPr>
                <w:color w:val="000000"/>
                <w:sz w:val="20"/>
                <w:szCs w:val="20"/>
              </w:rPr>
            </w:pPr>
          </w:p>
        </w:tc>
      </w:tr>
      <w:tr w:rsidR="008F16FC" w:rsidRPr="008F16FC" w14:paraId="196E3117" w14:textId="77777777" w:rsidTr="00BA304B">
        <w:trPr>
          <w:trHeight w:val="255"/>
        </w:trPr>
        <w:tc>
          <w:tcPr>
            <w:tcW w:w="4576" w:type="dxa"/>
            <w:tcBorders>
              <w:top w:val="nil"/>
              <w:left w:val="nil"/>
              <w:bottom w:val="nil"/>
              <w:right w:val="nil"/>
            </w:tcBorders>
            <w:shd w:val="clear" w:color="auto" w:fill="auto"/>
            <w:noWrap/>
            <w:vAlign w:val="bottom"/>
            <w:hideMark/>
          </w:tcPr>
          <w:p w14:paraId="61BA9B81" w14:textId="77777777" w:rsidR="008F16FC" w:rsidRPr="008F16FC" w:rsidRDefault="008F16FC" w:rsidP="008F16FC">
            <w:pPr>
              <w:rPr>
                <w:color w:val="000000"/>
                <w:sz w:val="20"/>
                <w:szCs w:val="20"/>
                <w:lang w:val="es-ES"/>
              </w:rPr>
            </w:pPr>
            <w:r w:rsidRPr="008F16FC">
              <w:rPr>
                <w:color w:val="000000"/>
                <w:sz w:val="20"/>
                <w:szCs w:val="20"/>
                <w:lang w:val="es-ES"/>
              </w:rPr>
              <w:t>Resultados de Inversiones en Asociadas</w:t>
            </w:r>
          </w:p>
        </w:tc>
        <w:tc>
          <w:tcPr>
            <w:tcW w:w="1356" w:type="dxa"/>
            <w:tcBorders>
              <w:top w:val="nil"/>
              <w:left w:val="nil"/>
              <w:bottom w:val="nil"/>
              <w:right w:val="nil"/>
            </w:tcBorders>
            <w:shd w:val="clear" w:color="auto" w:fill="auto"/>
            <w:noWrap/>
            <w:vAlign w:val="bottom"/>
            <w:hideMark/>
          </w:tcPr>
          <w:p w14:paraId="4EEC9514" w14:textId="77777777" w:rsidR="008F16FC" w:rsidRPr="008F16FC" w:rsidRDefault="008F16FC" w:rsidP="008F16FC">
            <w:pPr>
              <w:jc w:val="right"/>
              <w:rPr>
                <w:color w:val="000000"/>
                <w:sz w:val="20"/>
                <w:szCs w:val="20"/>
              </w:rPr>
            </w:pPr>
            <w:r w:rsidRPr="008F16FC">
              <w:rPr>
                <w:color w:val="000000"/>
                <w:sz w:val="20"/>
                <w:szCs w:val="20"/>
              </w:rPr>
              <w:t>3.750</w:t>
            </w:r>
          </w:p>
        </w:tc>
        <w:tc>
          <w:tcPr>
            <w:tcW w:w="1356" w:type="dxa"/>
            <w:tcBorders>
              <w:top w:val="nil"/>
              <w:left w:val="nil"/>
              <w:bottom w:val="nil"/>
              <w:right w:val="nil"/>
            </w:tcBorders>
            <w:shd w:val="clear" w:color="auto" w:fill="auto"/>
            <w:noWrap/>
            <w:vAlign w:val="bottom"/>
            <w:hideMark/>
          </w:tcPr>
          <w:p w14:paraId="65200BB6" w14:textId="77777777" w:rsidR="008F16FC" w:rsidRPr="008F16FC" w:rsidRDefault="008F16FC" w:rsidP="008F16FC">
            <w:pPr>
              <w:jc w:val="right"/>
              <w:rPr>
                <w:color w:val="000000"/>
                <w:sz w:val="20"/>
                <w:szCs w:val="20"/>
              </w:rPr>
            </w:pPr>
            <w:r w:rsidRPr="008F16FC">
              <w:rPr>
                <w:color w:val="000000"/>
                <w:sz w:val="20"/>
                <w:szCs w:val="20"/>
              </w:rPr>
              <w:t>(18.248)</w:t>
            </w:r>
          </w:p>
        </w:tc>
      </w:tr>
      <w:tr w:rsidR="008F16FC" w:rsidRPr="008F16FC" w14:paraId="46DBBF04" w14:textId="77777777" w:rsidTr="00BA304B">
        <w:trPr>
          <w:trHeight w:val="255"/>
        </w:trPr>
        <w:tc>
          <w:tcPr>
            <w:tcW w:w="4576" w:type="dxa"/>
            <w:tcBorders>
              <w:top w:val="nil"/>
              <w:left w:val="nil"/>
              <w:bottom w:val="nil"/>
              <w:right w:val="nil"/>
            </w:tcBorders>
            <w:shd w:val="clear" w:color="auto" w:fill="auto"/>
            <w:noWrap/>
            <w:vAlign w:val="bottom"/>
            <w:hideMark/>
          </w:tcPr>
          <w:p w14:paraId="335E0F61" w14:textId="77777777" w:rsidR="008F16FC" w:rsidRPr="008F16FC" w:rsidRDefault="008F16FC" w:rsidP="008F16FC">
            <w:pPr>
              <w:rPr>
                <w:color w:val="000000"/>
                <w:sz w:val="20"/>
                <w:szCs w:val="20"/>
              </w:rPr>
            </w:pPr>
            <w:r w:rsidRPr="008F16FC">
              <w:rPr>
                <w:color w:val="000000"/>
                <w:sz w:val="20"/>
                <w:szCs w:val="20"/>
              </w:rPr>
              <w:t>Resultados Financieros</w:t>
            </w:r>
          </w:p>
        </w:tc>
        <w:tc>
          <w:tcPr>
            <w:tcW w:w="1356" w:type="dxa"/>
            <w:tcBorders>
              <w:top w:val="nil"/>
              <w:left w:val="nil"/>
              <w:bottom w:val="nil"/>
              <w:right w:val="nil"/>
            </w:tcBorders>
            <w:shd w:val="clear" w:color="auto" w:fill="auto"/>
            <w:noWrap/>
            <w:vAlign w:val="bottom"/>
            <w:hideMark/>
          </w:tcPr>
          <w:p w14:paraId="3A80D5C7" w14:textId="77777777" w:rsidR="008F16FC" w:rsidRPr="008F16FC" w:rsidRDefault="008F16FC" w:rsidP="008F16FC">
            <w:pPr>
              <w:jc w:val="right"/>
              <w:rPr>
                <w:color w:val="000000"/>
                <w:sz w:val="20"/>
                <w:szCs w:val="20"/>
              </w:rPr>
            </w:pPr>
            <w:r w:rsidRPr="008F16FC">
              <w:rPr>
                <w:color w:val="000000"/>
                <w:sz w:val="20"/>
                <w:szCs w:val="20"/>
              </w:rPr>
              <w:t>20.477</w:t>
            </w:r>
          </w:p>
        </w:tc>
        <w:tc>
          <w:tcPr>
            <w:tcW w:w="1356" w:type="dxa"/>
            <w:tcBorders>
              <w:top w:val="nil"/>
              <w:left w:val="nil"/>
              <w:bottom w:val="nil"/>
              <w:right w:val="nil"/>
            </w:tcBorders>
            <w:shd w:val="clear" w:color="auto" w:fill="auto"/>
            <w:noWrap/>
            <w:vAlign w:val="bottom"/>
            <w:hideMark/>
          </w:tcPr>
          <w:p w14:paraId="7B960F74" w14:textId="77777777" w:rsidR="008F16FC" w:rsidRPr="008F16FC" w:rsidRDefault="008F16FC" w:rsidP="008F16FC">
            <w:pPr>
              <w:jc w:val="right"/>
              <w:rPr>
                <w:color w:val="000000"/>
                <w:sz w:val="20"/>
                <w:szCs w:val="20"/>
              </w:rPr>
            </w:pPr>
            <w:r w:rsidRPr="008F16FC">
              <w:rPr>
                <w:color w:val="000000"/>
                <w:sz w:val="20"/>
                <w:szCs w:val="20"/>
              </w:rPr>
              <w:t>(34.956)</w:t>
            </w:r>
          </w:p>
        </w:tc>
      </w:tr>
      <w:tr w:rsidR="008F16FC" w:rsidRPr="008F16FC" w14:paraId="4FB57FC8" w14:textId="77777777" w:rsidTr="00BA304B">
        <w:trPr>
          <w:trHeight w:val="255"/>
        </w:trPr>
        <w:tc>
          <w:tcPr>
            <w:tcW w:w="4576" w:type="dxa"/>
            <w:tcBorders>
              <w:top w:val="nil"/>
              <w:left w:val="nil"/>
              <w:bottom w:val="nil"/>
              <w:right w:val="nil"/>
            </w:tcBorders>
            <w:shd w:val="clear" w:color="auto" w:fill="auto"/>
            <w:noWrap/>
            <w:vAlign w:val="bottom"/>
            <w:hideMark/>
          </w:tcPr>
          <w:p w14:paraId="773BC940" w14:textId="77777777" w:rsidR="008F16FC" w:rsidRPr="008F16FC" w:rsidRDefault="008F16FC" w:rsidP="008F16FC">
            <w:pPr>
              <w:rPr>
                <w:color w:val="000000"/>
                <w:sz w:val="20"/>
                <w:szCs w:val="20"/>
                <w:lang w:val="es-ES"/>
              </w:rPr>
            </w:pPr>
            <w:r w:rsidRPr="008F16FC">
              <w:rPr>
                <w:color w:val="000000"/>
                <w:sz w:val="20"/>
                <w:szCs w:val="20"/>
                <w:lang w:val="es-ES"/>
              </w:rPr>
              <w:t>Resultados de la posición monetaria neta (RECPAM)</w:t>
            </w:r>
          </w:p>
        </w:tc>
        <w:tc>
          <w:tcPr>
            <w:tcW w:w="1356" w:type="dxa"/>
            <w:tcBorders>
              <w:top w:val="nil"/>
              <w:left w:val="nil"/>
              <w:bottom w:val="nil"/>
              <w:right w:val="nil"/>
            </w:tcBorders>
            <w:shd w:val="clear" w:color="auto" w:fill="auto"/>
            <w:noWrap/>
            <w:vAlign w:val="bottom"/>
            <w:hideMark/>
          </w:tcPr>
          <w:p w14:paraId="4BA4A36C" w14:textId="77777777" w:rsidR="008F16FC" w:rsidRPr="008F16FC" w:rsidRDefault="008F16FC" w:rsidP="008F16FC">
            <w:pPr>
              <w:jc w:val="right"/>
              <w:rPr>
                <w:color w:val="000000"/>
                <w:sz w:val="20"/>
                <w:szCs w:val="20"/>
              </w:rPr>
            </w:pPr>
            <w:r w:rsidRPr="008F16FC">
              <w:rPr>
                <w:color w:val="000000"/>
                <w:sz w:val="20"/>
                <w:szCs w:val="20"/>
              </w:rPr>
              <w:t>(571.785)</w:t>
            </w:r>
          </w:p>
        </w:tc>
        <w:tc>
          <w:tcPr>
            <w:tcW w:w="1356" w:type="dxa"/>
            <w:tcBorders>
              <w:top w:val="nil"/>
              <w:left w:val="nil"/>
              <w:bottom w:val="nil"/>
              <w:right w:val="nil"/>
            </w:tcBorders>
            <w:shd w:val="clear" w:color="auto" w:fill="auto"/>
            <w:noWrap/>
            <w:vAlign w:val="bottom"/>
            <w:hideMark/>
          </w:tcPr>
          <w:p w14:paraId="061E33CA" w14:textId="77777777" w:rsidR="008F16FC" w:rsidRPr="008F16FC" w:rsidRDefault="008F16FC" w:rsidP="008F16FC">
            <w:pPr>
              <w:jc w:val="right"/>
              <w:rPr>
                <w:color w:val="000000"/>
                <w:sz w:val="20"/>
                <w:szCs w:val="20"/>
              </w:rPr>
            </w:pPr>
            <w:r w:rsidRPr="008F16FC">
              <w:rPr>
                <w:color w:val="000000"/>
                <w:sz w:val="20"/>
                <w:szCs w:val="20"/>
              </w:rPr>
              <w:t>(507.837)</w:t>
            </w:r>
          </w:p>
        </w:tc>
      </w:tr>
      <w:tr w:rsidR="008F16FC" w:rsidRPr="008F16FC" w14:paraId="3CD26971" w14:textId="77777777" w:rsidTr="00BA304B">
        <w:trPr>
          <w:trHeight w:val="255"/>
        </w:trPr>
        <w:tc>
          <w:tcPr>
            <w:tcW w:w="4576" w:type="dxa"/>
            <w:tcBorders>
              <w:top w:val="nil"/>
              <w:left w:val="nil"/>
              <w:bottom w:val="nil"/>
              <w:right w:val="nil"/>
            </w:tcBorders>
            <w:shd w:val="clear" w:color="000000" w:fill="D9D9D9"/>
            <w:noWrap/>
            <w:vAlign w:val="bottom"/>
            <w:hideMark/>
          </w:tcPr>
          <w:p w14:paraId="00F40CBA" w14:textId="77777777" w:rsidR="008F16FC" w:rsidRPr="008F16FC" w:rsidRDefault="008F16FC" w:rsidP="008F16FC">
            <w:pPr>
              <w:rPr>
                <w:b/>
                <w:bCs/>
                <w:color w:val="000000"/>
                <w:sz w:val="20"/>
                <w:szCs w:val="20"/>
                <w:lang w:val="es-ES"/>
              </w:rPr>
            </w:pPr>
            <w:r w:rsidRPr="008F16FC">
              <w:rPr>
                <w:b/>
                <w:bCs/>
                <w:color w:val="000000"/>
                <w:sz w:val="20"/>
                <w:szCs w:val="20"/>
                <w:lang w:val="es-ES"/>
              </w:rPr>
              <w:t>Ganancia antes del impuesto a las ganancias</w:t>
            </w:r>
          </w:p>
        </w:tc>
        <w:tc>
          <w:tcPr>
            <w:tcW w:w="1356" w:type="dxa"/>
            <w:tcBorders>
              <w:top w:val="nil"/>
              <w:left w:val="nil"/>
              <w:bottom w:val="nil"/>
              <w:right w:val="nil"/>
            </w:tcBorders>
            <w:shd w:val="clear" w:color="000000" w:fill="D9D9D9"/>
            <w:noWrap/>
            <w:vAlign w:val="bottom"/>
            <w:hideMark/>
          </w:tcPr>
          <w:p w14:paraId="2D98F2B8" w14:textId="77777777" w:rsidR="008F16FC" w:rsidRPr="008F16FC" w:rsidRDefault="008F16FC" w:rsidP="008F16FC">
            <w:pPr>
              <w:jc w:val="right"/>
              <w:rPr>
                <w:b/>
                <w:bCs/>
                <w:color w:val="000000"/>
                <w:sz w:val="20"/>
                <w:szCs w:val="20"/>
              </w:rPr>
            </w:pPr>
            <w:r w:rsidRPr="008F16FC">
              <w:rPr>
                <w:b/>
                <w:bCs/>
                <w:color w:val="000000"/>
                <w:sz w:val="20"/>
                <w:szCs w:val="20"/>
              </w:rPr>
              <w:t>568.891</w:t>
            </w:r>
          </w:p>
        </w:tc>
        <w:tc>
          <w:tcPr>
            <w:tcW w:w="1356" w:type="dxa"/>
            <w:tcBorders>
              <w:top w:val="nil"/>
              <w:left w:val="nil"/>
              <w:bottom w:val="nil"/>
              <w:right w:val="nil"/>
            </w:tcBorders>
            <w:shd w:val="clear" w:color="000000" w:fill="D9D9D9"/>
            <w:noWrap/>
            <w:vAlign w:val="bottom"/>
            <w:hideMark/>
          </w:tcPr>
          <w:p w14:paraId="5FA44AB2" w14:textId="77777777" w:rsidR="008F16FC" w:rsidRPr="008F16FC" w:rsidRDefault="008F16FC" w:rsidP="008F16FC">
            <w:pPr>
              <w:jc w:val="right"/>
              <w:rPr>
                <w:b/>
                <w:bCs/>
                <w:color w:val="000000"/>
                <w:sz w:val="20"/>
                <w:szCs w:val="20"/>
              </w:rPr>
            </w:pPr>
            <w:r w:rsidRPr="008F16FC">
              <w:rPr>
                <w:b/>
                <w:bCs/>
                <w:color w:val="000000"/>
                <w:sz w:val="20"/>
                <w:szCs w:val="20"/>
              </w:rPr>
              <w:t>(271.064)</w:t>
            </w:r>
          </w:p>
        </w:tc>
      </w:tr>
      <w:tr w:rsidR="008F16FC" w:rsidRPr="008F16FC" w14:paraId="69FEC2E5" w14:textId="77777777" w:rsidTr="00BA304B">
        <w:trPr>
          <w:trHeight w:val="255"/>
        </w:trPr>
        <w:tc>
          <w:tcPr>
            <w:tcW w:w="4576" w:type="dxa"/>
            <w:tcBorders>
              <w:top w:val="nil"/>
              <w:left w:val="nil"/>
              <w:bottom w:val="nil"/>
              <w:right w:val="nil"/>
            </w:tcBorders>
            <w:shd w:val="clear" w:color="auto" w:fill="auto"/>
            <w:noWrap/>
            <w:vAlign w:val="bottom"/>
            <w:hideMark/>
          </w:tcPr>
          <w:p w14:paraId="6F23DCE1"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hideMark/>
          </w:tcPr>
          <w:p w14:paraId="4DDD92DB"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hideMark/>
          </w:tcPr>
          <w:p w14:paraId="4857C3C9" w14:textId="77777777" w:rsidR="008F16FC" w:rsidRPr="008F16FC" w:rsidRDefault="008F16FC" w:rsidP="008F16FC">
            <w:pPr>
              <w:rPr>
                <w:color w:val="000000"/>
                <w:sz w:val="20"/>
                <w:szCs w:val="20"/>
              </w:rPr>
            </w:pPr>
          </w:p>
        </w:tc>
      </w:tr>
      <w:tr w:rsidR="008F16FC" w:rsidRPr="008F16FC" w14:paraId="3DCBFA79" w14:textId="77777777" w:rsidTr="00BA304B">
        <w:trPr>
          <w:trHeight w:val="255"/>
        </w:trPr>
        <w:tc>
          <w:tcPr>
            <w:tcW w:w="4576" w:type="dxa"/>
            <w:tcBorders>
              <w:top w:val="nil"/>
              <w:left w:val="nil"/>
              <w:bottom w:val="nil"/>
              <w:right w:val="nil"/>
            </w:tcBorders>
            <w:shd w:val="clear" w:color="auto" w:fill="auto"/>
            <w:noWrap/>
            <w:vAlign w:val="bottom"/>
            <w:hideMark/>
          </w:tcPr>
          <w:p w14:paraId="6D87B2F7" w14:textId="77777777" w:rsidR="008F16FC" w:rsidRPr="008F16FC" w:rsidRDefault="008F16FC" w:rsidP="008F16FC">
            <w:pPr>
              <w:rPr>
                <w:color w:val="000000"/>
                <w:sz w:val="20"/>
                <w:szCs w:val="20"/>
                <w:lang w:val="es-ES"/>
              </w:rPr>
            </w:pPr>
            <w:r w:rsidRPr="008F16FC">
              <w:rPr>
                <w:color w:val="000000"/>
                <w:sz w:val="20"/>
                <w:szCs w:val="20"/>
                <w:lang w:val="es-ES"/>
              </w:rPr>
              <w:t>(Gasto) Ingreso por impuesto a las ganancias</w:t>
            </w:r>
          </w:p>
        </w:tc>
        <w:tc>
          <w:tcPr>
            <w:tcW w:w="1356" w:type="dxa"/>
            <w:tcBorders>
              <w:top w:val="nil"/>
              <w:left w:val="nil"/>
              <w:bottom w:val="nil"/>
              <w:right w:val="nil"/>
            </w:tcBorders>
            <w:shd w:val="clear" w:color="auto" w:fill="auto"/>
            <w:noWrap/>
            <w:vAlign w:val="bottom"/>
            <w:hideMark/>
          </w:tcPr>
          <w:p w14:paraId="09E99D87" w14:textId="77777777" w:rsidR="008F16FC" w:rsidRPr="008F16FC" w:rsidRDefault="008F16FC" w:rsidP="008F16FC">
            <w:pPr>
              <w:jc w:val="right"/>
              <w:rPr>
                <w:color w:val="000000"/>
                <w:sz w:val="20"/>
                <w:szCs w:val="20"/>
              </w:rPr>
            </w:pPr>
            <w:r w:rsidRPr="008F16FC">
              <w:rPr>
                <w:color w:val="000000"/>
                <w:sz w:val="20"/>
                <w:szCs w:val="20"/>
              </w:rPr>
              <w:t>(300.655)</w:t>
            </w:r>
          </w:p>
        </w:tc>
        <w:tc>
          <w:tcPr>
            <w:tcW w:w="1356" w:type="dxa"/>
            <w:tcBorders>
              <w:top w:val="nil"/>
              <w:left w:val="nil"/>
              <w:bottom w:val="nil"/>
              <w:right w:val="nil"/>
            </w:tcBorders>
            <w:shd w:val="clear" w:color="auto" w:fill="auto"/>
            <w:noWrap/>
            <w:vAlign w:val="bottom"/>
            <w:hideMark/>
          </w:tcPr>
          <w:p w14:paraId="624CF7D1" w14:textId="77777777" w:rsidR="008F16FC" w:rsidRPr="008F16FC" w:rsidRDefault="008F16FC" w:rsidP="008F16FC">
            <w:pPr>
              <w:jc w:val="right"/>
              <w:rPr>
                <w:color w:val="000000"/>
                <w:sz w:val="20"/>
                <w:szCs w:val="20"/>
              </w:rPr>
            </w:pPr>
            <w:r w:rsidRPr="008F16FC">
              <w:rPr>
                <w:color w:val="000000"/>
                <w:sz w:val="20"/>
                <w:szCs w:val="20"/>
              </w:rPr>
              <w:t>(114.978)</w:t>
            </w:r>
          </w:p>
        </w:tc>
      </w:tr>
      <w:tr w:rsidR="008F16FC" w:rsidRPr="008F16FC" w14:paraId="0761D2C3" w14:textId="77777777" w:rsidTr="00BA304B">
        <w:trPr>
          <w:trHeight w:val="255"/>
        </w:trPr>
        <w:tc>
          <w:tcPr>
            <w:tcW w:w="4576" w:type="dxa"/>
            <w:tcBorders>
              <w:top w:val="nil"/>
              <w:left w:val="nil"/>
              <w:bottom w:val="nil"/>
              <w:right w:val="nil"/>
            </w:tcBorders>
            <w:shd w:val="clear" w:color="000000" w:fill="A6A6A6"/>
            <w:noWrap/>
            <w:vAlign w:val="bottom"/>
            <w:hideMark/>
          </w:tcPr>
          <w:p w14:paraId="5554BCDC" w14:textId="77777777" w:rsidR="008F16FC" w:rsidRPr="008F16FC" w:rsidRDefault="008F16FC" w:rsidP="008F16FC">
            <w:pPr>
              <w:rPr>
                <w:b/>
                <w:bCs/>
                <w:color w:val="000000"/>
                <w:sz w:val="20"/>
                <w:szCs w:val="20"/>
              </w:rPr>
            </w:pPr>
            <w:r w:rsidRPr="008F16FC">
              <w:rPr>
                <w:b/>
                <w:bCs/>
                <w:color w:val="000000"/>
                <w:sz w:val="20"/>
                <w:szCs w:val="20"/>
              </w:rPr>
              <w:t>Ganancia del período</w:t>
            </w:r>
          </w:p>
        </w:tc>
        <w:tc>
          <w:tcPr>
            <w:tcW w:w="1356" w:type="dxa"/>
            <w:tcBorders>
              <w:top w:val="nil"/>
              <w:left w:val="nil"/>
              <w:bottom w:val="nil"/>
              <w:right w:val="nil"/>
            </w:tcBorders>
            <w:shd w:val="clear" w:color="000000" w:fill="A6A6A6"/>
            <w:noWrap/>
            <w:vAlign w:val="bottom"/>
            <w:hideMark/>
          </w:tcPr>
          <w:p w14:paraId="2EDE3A03" w14:textId="77777777" w:rsidR="008F16FC" w:rsidRPr="008F16FC" w:rsidRDefault="008F16FC" w:rsidP="008F16FC">
            <w:pPr>
              <w:jc w:val="right"/>
              <w:rPr>
                <w:b/>
                <w:bCs/>
                <w:color w:val="000000"/>
                <w:sz w:val="20"/>
                <w:szCs w:val="20"/>
              </w:rPr>
            </w:pPr>
            <w:r w:rsidRPr="008F16FC">
              <w:rPr>
                <w:b/>
                <w:bCs/>
                <w:color w:val="000000"/>
                <w:sz w:val="20"/>
                <w:szCs w:val="20"/>
              </w:rPr>
              <w:t>268.236</w:t>
            </w:r>
          </w:p>
        </w:tc>
        <w:tc>
          <w:tcPr>
            <w:tcW w:w="1356" w:type="dxa"/>
            <w:tcBorders>
              <w:top w:val="nil"/>
              <w:left w:val="nil"/>
              <w:bottom w:val="nil"/>
              <w:right w:val="nil"/>
            </w:tcBorders>
            <w:shd w:val="clear" w:color="000000" w:fill="A6A6A6"/>
            <w:noWrap/>
            <w:vAlign w:val="bottom"/>
            <w:hideMark/>
          </w:tcPr>
          <w:p w14:paraId="1E6442C2" w14:textId="77777777" w:rsidR="008F16FC" w:rsidRPr="008F16FC" w:rsidRDefault="008F16FC" w:rsidP="008F16FC">
            <w:pPr>
              <w:jc w:val="right"/>
              <w:rPr>
                <w:b/>
                <w:bCs/>
                <w:color w:val="000000"/>
                <w:sz w:val="20"/>
                <w:szCs w:val="20"/>
              </w:rPr>
            </w:pPr>
            <w:r w:rsidRPr="008F16FC">
              <w:rPr>
                <w:b/>
                <w:bCs/>
                <w:color w:val="000000"/>
                <w:sz w:val="20"/>
                <w:szCs w:val="20"/>
              </w:rPr>
              <w:t>(386.042)</w:t>
            </w:r>
          </w:p>
        </w:tc>
      </w:tr>
      <w:tr w:rsidR="008F16FC" w:rsidRPr="008F16FC" w14:paraId="53905A85" w14:textId="77777777" w:rsidTr="00BA304B">
        <w:trPr>
          <w:trHeight w:val="255"/>
        </w:trPr>
        <w:tc>
          <w:tcPr>
            <w:tcW w:w="4576" w:type="dxa"/>
            <w:tcBorders>
              <w:top w:val="nil"/>
              <w:left w:val="nil"/>
              <w:bottom w:val="nil"/>
              <w:right w:val="nil"/>
            </w:tcBorders>
            <w:shd w:val="clear" w:color="auto" w:fill="auto"/>
            <w:noWrap/>
            <w:vAlign w:val="bottom"/>
            <w:hideMark/>
          </w:tcPr>
          <w:p w14:paraId="4EDF44DA"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hideMark/>
          </w:tcPr>
          <w:p w14:paraId="66613A02"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hideMark/>
          </w:tcPr>
          <w:p w14:paraId="3AFB3E43" w14:textId="77777777" w:rsidR="008F16FC" w:rsidRPr="008F16FC" w:rsidRDefault="008F16FC" w:rsidP="008F16FC">
            <w:pPr>
              <w:rPr>
                <w:color w:val="000000"/>
                <w:sz w:val="20"/>
                <w:szCs w:val="20"/>
              </w:rPr>
            </w:pPr>
          </w:p>
        </w:tc>
      </w:tr>
      <w:tr w:rsidR="008F16FC" w:rsidRPr="008F16FC" w14:paraId="3763AC22" w14:textId="77777777" w:rsidTr="00BA304B">
        <w:trPr>
          <w:trHeight w:val="255"/>
        </w:trPr>
        <w:tc>
          <w:tcPr>
            <w:tcW w:w="4576" w:type="dxa"/>
            <w:tcBorders>
              <w:top w:val="nil"/>
              <w:left w:val="nil"/>
              <w:bottom w:val="nil"/>
              <w:right w:val="nil"/>
            </w:tcBorders>
            <w:shd w:val="clear" w:color="auto" w:fill="auto"/>
            <w:noWrap/>
            <w:vAlign w:val="bottom"/>
            <w:hideMark/>
          </w:tcPr>
          <w:p w14:paraId="63ED7369"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hideMark/>
          </w:tcPr>
          <w:p w14:paraId="27716DD8"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hideMark/>
          </w:tcPr>
          <w:p w14:paraId="458FC41F" w14:textId="77777777" w:rsidR="008F16FC" w:rsidRPr="008F16FC" w:rsidRDefault="008F16FC" w:rsidP="008F16FC">
            <w:pPr>
              <w:rPr>
                <w:color w:val="000000"/>
                <w:sz w:val="20"/>
                <w:szCs w:val="20"/>
              </w:rPr>
            </w:pPr>
          </w:p>
        </w:tc>
      </w:tr>
      <w:tr w:rsidR="008F16FC" w:rsidRPr="00512442" w14:paraId="6D9ABF9B" w14:textId="77777777" w:rsidTr="00BA304B">
        <w:trPr>
          <w:trHeight w:val="255"/>
        </w:trPr>
        <w:tc>
          <w:tcPr>
            <w:tcW w:w="4576" w:type="dxa"/>
            <w:tcBorders>
              <w:top w:val="nil"/>
              <w:left w:val="nil"/>
              <w:bottom w:val="nil"/>
              <w:right w:val="nil"/>
            </w:tcBorders>
            <w:shd w:val="clear" w:color="auto" w:fill="auto"/>
            <w:noWrap/>
            <w:vAlign w:val="bottom"/>
            <w:hideMark/>
          </w:tcPr>
          <w:p w14:paraId="05CF6A26" w14:textId="77777777" w:rsidR="008F16FC" w:rsidRPr="008F16FC" w:rsidRDefault="008F16FC" w:rsidP="008F16FC">
            <w:pPr>
              <w:rPr>
                <w:b/>
                <w:bCs/>
                <w:color w:val="000000"/>
                <w:sz w:val="20"/>
                <w:szCs w:val="20"/>
                <w:lang w:val="es-ES"/>
              </w:rPr>
            </w:pPr>
            <w:r w:rsidRPr="008F16FC">
              <w:rPr>
                <w:b/>
                <w:bCs/>
                <w:color w:val="000000"/>
                <w:sz w:val="20"/>
                <w:szCs w:val="20"/>
                <w:lang w:val="es-ES"/>
              </w:rPr>
              <w:t>OTRO RESULTADO INTEGRAL DEL PERIODO</w:t>
            </w:r>
          </w:p>
        </w:tc>
        <w:tc>
          <w:tcPr>
            <w:tcW w:w="1356" w:type="dxa"/>
            <w:tcBorders>
              <w:top w:val="nil"/>
              <w:left w:val="nil"/>
              <w:bottom w:val="nil"/>
              <w:right w:val="nil"/>
            </w:tcBorders>
            <w:shd w:val="clear" w:color="auto" w:fill="auto"/>
            <w:noWrap/>
            <w:vAlign w:val="bottom"/>
            <w:hideMark/>
          </w:tcPr>
          <w:p w14:paraId="0127E676" w14:textId="77777777" w:rsidR="008F16FC" w:rsidRPr="008F16FC" w:rsidRDefault="008F16FC" w:rsidP="008F16FC">
            <w:pPr>
              <w:rPr>
                <w:b/>
                <w:bCs/>
                <w:color w:val="000000"/>
                <w:sz w:val="20"/>
                <w:szCs w:val="20"/>
                <w:lang w:val="es-ES"/>
              </w:rPr>
            </w:pPr>
          </w:p>
        </w:tc>
        <w:tc>
          <w:tcPr>
            <w:tcW w:w="1356" w:type="dxa"/>
            <w:tcBorders>
              <w:top w:val="nil"/>
              <w:left w:val="nil"/>
              <w:bottom w:val="nil"/>
              <w:right w:val="nil"/>
            </w:tcBorders>
            <w:shd w:val="clear" w:color="auto" w:fill="auto"/>
            <w:noWrap/>
            <w:vAlign w:val="bottom"/>
            <w:hideMark/>
          </w:tcPr>
          <w:p w14:paraId="72C0E83F" w14:textId="77777777" w:rsidR="008F16FC" w:rsidRPr="008F16FC" w:rsidRDefault="008F16FC" w:rsidP="008F16FC">
            <w:pPr>
              <w:rPr>
                <w:b/>
                <w:bCs/>
                <w:color w:val="000000"/>
                <w:sz w:val="20"/>
                <w:szCs w:val="20"/>
                <w:lang w:val="es-ES"/>
              </w:rPr>
            </w:pPr>
          </w:p>
        </w:tc>
      </w:tr>
      <w:tr w:rsidR="008F16FC" w:rsidRPr="00512442" w14:paraId="5D5585B1" w14:textId="77777777" w:rsidTr="00BA304B">
        <w:trPr>
          <w:trHeight w:val="255"/>
        </w:trPr>
        <w:tc>
          <w:tcPr>
            <w:tcW w:w="4576" w:type="dxa"/>
            <w:tcBorders>
              <w:top w:val="nil"/>
              <w:left w:val="nil"/>
              <w:bottom w:val="nil"/>
              <w:right w:val="nil"/>
            </w:tcBorders>
            <w:shd w:val="clear" w:color="auto" w:fill="auto"/>
            <w:noWrap/>
            <w:vAlign w:val="bottom"/>
            <w:hideMark/>
          </w:tcPr>
          <w:p w14:paraId="64B59950" w14:textId="77777777" w:rsidR="008F16FC" w:rsidRPr="008F16FC" w:rsidRDefault="008F16FC" w:rsidP="008F16FC">
            <w:pPr>
              <w:rPr>
                <w:b/>
                <w:bCs/>
                <w:color w:val="000000"/>
                <w:sz w:val="20"/>
                <w:szCs w:val="20"/>
                <w:lang w:val="es-ES"/>
              </w:rPr>
            </w:pPr>
            <w:r w:rsidRPr="008F16FC">
              <w:rPr>
                <w:b/>
                <w:bCs/>
                <w:color w:val="000000"/>
                <w:sz w:val="20"/>
                <w:szCs w:val="20"/>
                <w:lang w:val="es-ES"/>
              </w:rPr>
              <w:t>Que se clasificará en resultados</w:t>
            </w:r>
          </w:p>
        </w:tc>
        <w:tc>
          <w:tcPr>
            <w:tcW w:w="1356" w:type="dxa"/>
            <w:tcBorders>
              <w:top w:val="nil"/>
              <w:left w:val="nil"/>
              <w:bottom w:val="nil"/>
              <w:right w:val="nil"/>
            </w:tcBorders>
            <w:shd w:val="clear" w:color="auto" w:fill="auto"/>
            <w:noWrap/>
            <w:vAlign w:val="bottom"/>
            <w:hideMark/>
          </w:tcPr>
          <w:p w14:paraId="25C78395" w14:textId="77777777" w:rsidR="008F16FC" w:rsidRPr="008F16FC" w:rsidRDefault="008F16FC" w:rsidP="008F16FC">
            <w:pPr>
              <w:rPr>
                <w:b/>
                <w:bCs/>
                <w:color w:val="000000"/>
                <w:sz w:val="20"/>
                <w:szCs w:val="20"/>
                <w:lang w:val="es-ES"/>
              </w:rPr>
            </w:pPr>
          </w:p>
        </w:tc>
        <w:tc>
          <w:tcPr>
            <w:tcW w:w="1356" w:type="dxa"/>
            <w:tcBorders>
              <w:top w:val="nil"/>
              <w:left w:val="nil"/>
              <w:bottom w:val="nil"/>
              <w:right w:val="nil"/>
            </w:tcBorders>
            <w:shd w:val="clear" w:color="auto" w:fill="auto"/>
            <w:noWrap/>
            <w:vAlign w:val="bottom"/>
            <w:hideMark/>
          </w:tcPr>
          <w:p w14:paraId="720FA5B8" w14:textId="77777777" w:rsidR="008F16FC" w:rsidRPr="008F16FC" w:rsidRDefault="008F16FC" w:rsidP="008F16FC">
            <w:pPr>
              <w:rPr>
                <w:b/>
                <w:bCs/>
                <w:color w:val="000000"/>
                <w:sz w:val="20"/>
                <w:szCs w:val="20"/>
                <w:lang w:val="es-ES"/>
              </w:rPr>
            </w:pPr>
          </w:p>
        </w:tc>
      </w:tr>
      <w:tr w:rsidR="008F16FC" w:rsidRPr="008F16FC" w14:paraId="77E4C2E3" w14:textId="77777777" w:rsidTr="00BA304B">
        <w:trPr>
          <w:trHeight w:val="255"/>
        </w:trPr>
        <w:tc>
          <w:tcPr>
            <w:tcW w:w="4576" w:type="dxa"/>
            <w:tcBorders>
              <w:top w:val="nil"/>
              <w:left w:val="nil"/>
              <w:bottom w:val="nil"/>
              <w:right w:val="nil"/>
            </w:tcBorders>
            <w:shd w:val="clear" w:color="auto" w:fill="auto"/>
            <w:noWrap/>
            <w:vAlign w:val="bottom"/>
            <w:hideMark/>
          </w:tcPr>
          <w:p w14:paraId="34F6CF43" w14:textId="77777777" w:rsidR="008F16FC" w:rsidRPr="008F16FC" w:rsidRDefault="008F16FC" w:rsidP="008F16FC">
            <w:pPr>
              <w:rPr>
                <w:color w:val="000000"/>
                <w:sz w:val="20"/>
                <w:szCs w:val="20"/>
              </w:rPr>
            </w:pPr>
            <w:r w:rsidRPr="008F16FC">
              <w:rPr>
                <w:color w:val="000000"/>
                <w:sz w:val="20"/>
                <w:szCs w:val="20"/>
              </w:rPr>
              <w:t>Diferencias de conversión</w:t>
            </w:r>
          </w:p>
        </w:tc>
        <w:tc>
          <w:tcPr>
            <w:tcW w:w="1356" w:type="dxa"/>
            <w:tcBorders>
              <w:top w:val="nil"/>
              <w:left w:val="nil"/>
              <w:bottom w:val="nil"/>
              <w:right w:val="nil"/>
            </w:tcBorders>
            <w:shd w:val="clear" w:color="auto" w:fill="auto"/>
            <w:noWrap/>
            <w:vAlign w:val="bottom"/>
            <w:hideMark/>
          </w:tcPr>
          <w:p w14:paraId="7B7A0FC2" w14:textId="77777777" w:rsidR="008F16FC" w:rsidRPr="008F16FC" w:rsidRDefault="008F16FC" w:rsidP="008F16FC">
            <w:pPr>
              <w:jc w:val="right"/>
              <w:rPr>
                <w:color w:val="000000"/>
                <w:sz w:val="20"/>
                <w:szCs w:val="20"/>
              </w:rPr>
            </w:pPr>
            <w:r w:rsidRPr="008F16FC">
              <w:rPr>
                <w:color w:val="000000"/>
                <w:sz w:val="20"/>
                <w:szCs w:val="20"/>
              </w:rPr>
              <w:t>(49.042)</w:t>
            </w:r>
          </w:p>
        </w:tc>
        <w:tc>
          <w:tcPr>
            <w:tcW w:w="1356" w:type="dxa"/>
            <w:tcBorders>
              <w:top w:val="nil"/>
              <w:left w:val="nil"/>
              <w:bottom w:val="nil"/>
              <w:right w:val="nil"/>
            </w:tcBorders>
            <w:shd w:val="clear" w:color="auto" w:fill="auto"/>
            <w:noWrap/>
            <w:vAlign w:val="bottom"/>
            <w:hideMark/>
          </w:tcPr>
          <w:p w14:paraId="14BB7E30" w14:textId="77777777" w:rsidR="008F16FC" w:rsidRPr="008F16FC" w:rsidRDefault="008F16FC" w:rsidP="008F16FC">
            <w:pPr>
              <w:jc w:val="right"/>
              <w:rPr>
                <w:color w:val="000000"/>
                <w:sz w:val="20"/>
                <w:szCs w:val="20"/>
              </w:rPr>
            </w:pPr>
            <w:r w:rsidRPr="008F16FC">
              <w:rPr>
                <w:color w:val="000000"/>
                <w:sz w:val="20"/>
                <w:szCs w:val="20"/>
              </w:rPr>
              <w:t>(29.025)</w:t>
            </w:r>
          </w:p>
        </w:tc>
      </w:tr>
      <w:tr w:rsidR="008F16FC" w:rsidRPr="008F16FC" w14:paraId="6AA20798" w14:textId="77777777" w:rsidTr="00BA304B">
        <w:trPr>
          <w:trHeight w:val="255"/>
        </w:trPr>
        <w:tc>
          <w:tcPr>
            <w:tcW w:w="4576" w:type="dxa"/>
            <w:tcBorders>
              <w:top w:val="nil"/>
              <w:left w:val="nil"/>
              <w:bottom w:val="nil"/>
              <w:right w:val="nil"/>
            </w:tcBorders>
            <w:shd w:val="clear" w:color="auto" w:fill="auto"/>
            <w:noWrap/>
            <w:vAlign w:val="bottom"/>
            <w:hideMark/>
          </w:tcPr>
          <w:p w14:paraId="1E157B4C" w14:textId="77777777" w:rsidR="008F16FC" w:rsidRPr="008F16FC" w:rsidRDefault="008F16FC" w:rsidP="008F16FC">
            <w:pPr>
              <w:rPr>
                <w:color w:val="000000"/>
                <w:sz w:val="20"/>
                <w:szCs w:val="20"/>
              </w:rPr>
            </w:pPr>
            <w:r w:rsidRPr="008F16FC">
              <w:rPr>
                <w:color w:val="000000"/>
                <w:sz w:val="20"/>
                <w:szCs w:val="20"/>
              </w:rPr>
              <w:t>Superávit de revaluación</w:t>
            </w:r>
          </w:p>
        </w:tc>
        <w:tc>
          <w:tcPr>
            <w:tcW w:w="1356" w:type="dxa"/>
            <w:tcBorders>
              <w:top w:val="nil"/>
              <w:left w:val="nil"/>
              <w:bottom w:val="nil"/>
              <w:right w:val="nil"/>
            </w:tcBorders>
            <w:shd w:val="clear" w:color="auto" w:fill="auto"/>
            <w:noWrap/>
            <w:vAlign w:val="bottom"/>
            <w:hideMark/>
          </w:tcPr>
          <w:p w14:paraId="3927DDC3" w14:textId="77777777" w:rsidR="008F16FC" w:rsidRPr="008F16FC" w:rsidRDefault="008F16FC" w:rsidP="008F16FC">
            <w:pPr>
              <w:jc w:val="right"/>
              <w:rPr>
                <w:color w:val="000000"/>
                <w:sz w:val="20"/>
                <w:szCs w:val="20"/>
              </w:rPr>
            </w:pPr>
            <w:r w:rsidRPr="008F16FC">
              <w:rPr>
                <w:color w:val="000000"/>
                <w:sz w:val="20"/>
                <w:szCs w:val="20"/>
              </w:rPr>
              <w:t>(157.097)</w:t>
            </w:r>
          </w:p>
        </w:tc>
        <w:tc>
          <w:tcPr>
            <w:tcW w:w="1356" w:type="dxa"/>
            <w:tcBorders>
              <w:top w:val="nil"/>
              <w:left w:val="nil"/>
              <w:bottom w:val="nil"/>
              <w:right w:val="nil"/>
            </w:tcBorders>
            <w:shd w:val="clear" w:color="auto" w:fill="auto"/>
            <w:noWrap/>
            <w:vAlign w:val="bottom"/>
            <w:hideMark/>
          </w:tcPr>
          <w:p w14:paraId="497362CC" w14:textId="77777777" w:rsidR="008F16FC" w:rsidRPr="008F16FC" w:rsidRDefault="008F16FC" w:rsidP="008F16FC">
            <w:pPr>
              <w:jc w:val="right"/>
              <w:rPr>
                <w:color w:val="000000"/>
                <w:sz w:val="20"/>
                <w:szCs w:val="20"/>
              </w:rPr>
            </w:pPr>
            <w:r w:rsidRPr="008F16FC">
              <w:rPr>
                <w:color w:val="000000"/>
                <w:sz w:val="20"/>
                <w:szCs w:val="20"/>
              </w:rPr>
              <w:t>436.358</w:t>
            </w:r>
          </w:p>
        </w:tc>
      </w:tr>
      <w:tr w:rsidR="008F16FC" w:rsidRPr="008F16FC" w14:paraId="70B27133" w14:textId="77777777" w:rsidTr="00BA304B">
        <w:trPr>
          <w:trHeight w:val="91"/>
        </w:trPr>
        <w:tc>
          <w:tcPr>
            <w:tcW w:w="4576" w:type="dxa"/>
            <w:tcBorders>
              <w:top w:val="nil"/>
              <w:left w:val="nil"/>
              <w:bottom w:val="nil"/>
              <w:right w:val="nil"/>
            </w:tcBorders>
            <w:shd w:val="clear" w:color="000000" w:fill="A6A6A6"/>
            <w:noWrap/>
            <w:vAlign w:val="bottom"/>
            <w:hideMark/>
          </w:tcPr>
          <w:p w14:paraId="650A4A1A" w14:textId="77777777" w:rsidR="008F16FC" w:rsidRPr="008F16FC" w:rsidRDefault="008F16FC" w:rsidP="008F16FC">
            <w:pPr>
              <w:rPr>
                <w:b/>
                <w:bCs/>
                <w:color w:val="000000"/>
                <w:sz w:val="20"/>
                <w:szCs w:val="20"/>
              </w:rPr>
            </w:pPr>
            <w:r w:rsidRPr="008F16FC">
              <w:rPr>
                <w:b/>
                <w:bCs/>
                <w:color w:val="000000"/>
                <w:sz w:val="20"/>
                <w:szCs w:val="20"/>
              </w:rPr>
              <w:t>Total</w:t>
            </w:r>
          </w:p>
        </w:tc>
        <w:tc>
          <w:tcPr>
            <w:tcW w:w="1356" w:type="dxa"/>
            <w:tcBorders>
              <w:top w:val="nil"/>
              <w:left w:val="nil"/>
              <w:bottom w:val="nil"/>
              <w:right w:val="nil"/>
            </w:tcBorders>
            <w:shd w:val="clear" w:color="000000" w:fill="A6A6A6"/>
            <w:noWrap/>
            <w:vAlign w:val="bottom"/>
            <w:hideMark/>
          </w:tcPr>
          <w:p w14:paraId="56C9B943" w14:textId="77777777" w:rsidR="008F16FC" w:rsidRPr="008F16FC" w:rsidRDefault="008F16FC" w:rsidP="008F16FC">
            <w:pPr>
              <w:jc w:val="right"/>
              <w:rPr>
                <w:b/>
                <w:bCs/>
                <w:color w:val="000000"/>
                <w:sz w:val="20"/>
                <w:szCs w:val="20"/>
              </w:rPr>
            </w:pPr>
            <w:r w:rsidRPr="008F16FC">
              <w:rPr>
                <w:b/>
                <w:bCs/>
                <w:color w:val="000000"/>
                <w:sz w:val="20"/>
                <w:szCs w:val="20"/>
              </w:rPr>
              <w:t>(206.139)</w:t>
            </w:r>
          </w:p>
        </w:tc>
        <w:tc>
          <w:tcPr>
            <w:tcW w:w="1356" w:type="dxa"/>
            <w:tcBorders>
              <w:top w:val="nil"/>
              <w:left w:val="nil"/>
              <w:bottom w:val="nil"/>
              <w:right w:val="nil"/>
            </w:tcBorders>
            <w:shd w:val="clear" w:color="000000" w:fill="A6A6A6"/>
            <w:noWrap/>
            <w:vAlign w:val="bottom"/>
            <w:hideMark/>
          </w:tcPr>
          <w:p w14:paraId="13D515CF" w14:textId="77777777" w:rsidR="008F16FC" w:rsidRPr="008F16FC" w:rsidRDefault="008F16FC" w:rsidP="008F16FC">
            <w:pPr>
              <w:jc w:val="right"/>
              <w:rPr>
                <w:b/>
                <w:bCs/>
                <w:color w:val="000000"/>
                <w:sz w:val="20"/>
                <w:szCs w:val="20"/>
              </w:rPr>
            </w:pPr>
            <w:r w:rsidRPr="008F16FC">
              <w:rPr>
                <w:b/>
                <w:bCs/>
                <w:color w:val="000000"/>
                <w:sz w:val="20"/>
                <w:szCs w:val="20"/>
              </w:rPr>
              <w:t>407.332</w:t>
            </w:r>
          </w:p>
        </w:tc>
      </w:tr>
      <w:tr w:rsidR="008F16FC" w:rsidRPr="008F16FC" w14:paraId="496C49CD" w14:textId="77777777" w:rsidTr="00BA304B">
        <w:trPr>
          <w:trHeight w:val="255"/>
        </w:trPr>
        <w:tc>
          <w:tcPr>
            <w:tcW w:w="4576" w:type="dxa"/>
            <w:tcBorders>
              <w:top w:val="nil"/>
              <w:left w:val="nil"/>
              <w:bottom w:val="nil"/>
              <w:right w:val="nil"/>
            </w:tcBorders>
            <w:shd w:val="clear" w:color="000000" w:fill="A6A6A6"/>
            <w:noWrap/>
            <w:vAlign w:val="bottom"/>
            <w:hideMark/>
          </w:tcPr>
          <w:p w14:paraId="08ADAAEA" w14:textId="77777777" w:rsidR="008F16FC" w:rsidRPr="008F16FC" w:rsidRDefault="008F16FC" w:rsidP="008F16FC">
            <w:pPr>
              <w:rPr>
                <w:b/>
                <w:bCs/>
                <w:color w:val="000000"/>
                <w:sz w:val="20"/>
                <w:szCs w:val="20"/>
                <w:lang w:val="es-ES"/>
              </w:rPr>
            </w:pPr>
            <w:r w:rsidRPr="008F16FC">
              <w:rPr>
                <w:b/>
                <w:bCs/>
                <w:color w:val="000000"/>
                <w:sz w:val="20"/>
                <w:szCs w:val="20"/>
                <w:lang w:val="es-ES"/>
              </w:rPr>
              <w:t>Resultado integral total del período</w:t>
            </w:r>
          </w:p>
        </w:tc>
        <w:tc>
          <w:tcPr>
            <w:tcW w:w="1356" w:type="dxa"/>
            <w:tcBorders>
              <w:top w:val="nil"/>
              <w:left w:val="nil"/>
              <w:bottom w:val="nil"/>
              <w:right w:val="nil"/>
            </w:tcBorders>
            <w:shd w:val="clear" w:color="000000" w:fill="A6A6A6"/>
            <w:noWrap/>
            <w:vAlign w:val="bottom"/>
            <w:hideMark/>
          </w:tcPr>
          <w:p w14:paraId="09829061" w14:textId="77777777" w:rsidR="008F16FC" w:rsidRPr="008F16FC" w:rsidRDefault="008F16FC" w:rsidP="008F16FC">
            <w:pPr>
              <w:jc w:val="right"/>
              <w:rPr>
                <w:b/>
                <w:bCs/>
                <w:color w:val="000000"/>
                <w:sz w:val="20"/>
                <w:szCs w:val="20"/>
              </w:rPr>
            </w:pPr>
            <w:r w:rsidRPr="008F16FC">
              <w:rPr>
                <w:b/>
                <w:bCs/>
                <w:color w:val="000000"/>
                <w:sz w:val="20"/>
                <w:szCs w:val="20"/>
              </w:rPr>
              <w:t>62.097</w:t>
            </w:r>
          </w:p>
        </w:tc>
        <w:tc>
          <w:tcPr>
            <w:tcW w:w="1356" w:type="dxa"/>
            <w:tcBorders>
              <w:top w:val="nil"/>
              <w:left w:val="nil"/>
              <w:bottom w:val="nil"/>
              <w:right w:val="nil"/>
            </w:tcBorders>
            <w:shd w:val="clear" w:color="000000" w:fill="A6A6A6"/>
            <w:noWrap/>
            <w:vAlign w:val="bottom"/>
            <w:hideMark/>
          </w:tcPr>
          <w:p w14:paraId="70E983A5" w14:textId="77777777" w:rsidR="008F16FC" w:rsidRPr="008F16FC" w:rsidRDefault="008F16FC" w:rsidP="008F16FC">
            <w:pPr>
              <w:jc w:val="right"/>
              <w:rPr>
                <w:b/>
                <w:bCs/>
                <w:color w:val="000000"/>
                <w:sz w:val="20"/>
                <w:szCs w:val="20"/>
              </w:rPr>
            </w:pPr>
            <w:r w:rsidRPr="008F16FC">
              <w:rPr>
                <w:b/>
                <w:bCs/>
                <w:color w:val="000000"/>
                <w:sz w:val="20"/>
                <w:szCs w:val="20"/>
              </w:rPr>
              <w:t>21.290</w:t>
            </w:r>
          </w:p>
        </w:tc>
      </w:tr>
    </w:tbl>
    <w:p w14:paraId="5A5816DC" w14:textId="77777777" w:rsidR="008F16FC" w:rsidRPr="008F16FC" w:rsidRDefault="008F16FC" w:rsidP="008F16FC">
      <w:pPr>
        <w:rPr>
          <w:rFonts w:eastAsia="Calibri"/>
          <w:b/>
          <w:sz w:val="20"/>
          <w:szCs w:val="20"/>
          <w:lang w:val="es-MX"/>
        </w:rPr>
      </w:pPr>
    </w:p>
    <w:p w14:paraId="0071EA84" w14:textId="77777777" w:rsidR="008F16FC" w:rsidRPr="008F16FC" w:rsidRDefault="008F16FC" w:rsidP="008F16FC">
      <w:pPr>
        <w:rPr>
          <w:rFonts w:eastAsia="Calibri"/>
          <w:b/>
          <w:sz w:val="20"/>
          <w:szCs w:val="20"/>
          <w:lang w:val="es-MX"/>
        </w:rPr>
      </w:pPr>
    </w:p>
    <w:p w14:paraId="2D3E6F58" w14:textId="77777777" w:rsidR="008F16FC" w:rsidRPr="008F16FC" w:rsidRDefault="008F16FC" w:rsidP="008F16FC">
      <w:pPr>
        <w:rPr>
          <w:rFonts w:eastAsia="Calibri"/>
          <w:sz w:val="20"/>
          <w:szCs w:val="20"/>
          <w:lang w:val="es-MX"/>
        </w:rPr>
      </w:pPr>
      <w:r w:rsidRPr="008F16FC">
        <w:rPr>
          <w:rFonts w:eastAsia="Calibri"/>
          <w:sz w:val="20"/>
          <w:szCs w:val="20"/>
          <w:lang w:val="es-MX"/>
        </w:rPr>
        <w:t>A continuación, se detalla el Estado de Resultados de la Compañía al 30 de junio de 2017 (expresado en miles de Pesos)</w:t>
      </w:r>
    </w:p>
    <w:p w14:paraId="4F424EF2" w14:textId="77777777" w:rsidR="008F16FC" w:rsidRPr="008F16FC" w:rsidRDefault="008F16FC" w:rsidP="008F16FC">
      <w:pPr>
        <w:rPr>
          <w:rFonts w:eastAsia="Calibri"/>
          <w:sz w:val="20"/>
          <w:szCs w:val="20"/>
          <w:lang w:val="es-MX"/>
        </w:rPr>
      </w:pPr>
    </w:p>
    <w:tbl>
      <w:tblPr>
        <w:tblW w:w="5924" w:type="dxa"/>
        <w:tblInd w:w="70" w:type="dxa"/>
        <w:tblCellMar>
          <w:left w:w="70" w:type="dxa"/>
          <w:right w:w="70" w:type="dxa"/>
        </w:tblCellMar>
        <w:tblLook w:val="04A0" w:firstRow="1" w:lastRow="0" w:firstColumn="1" w:lastColumn="0" w:noHBand="0" w:noVBand="1"/>
      </w:tblPr>
      <w:tblGrid>
        <w:gridCol w:w="4568"/>
        <w:gridCol w:w="1356"/>
      </w:tblGrid>
      <w:tr w:rsidR="008F16FC" w:rsidRPr="008F16FC" w14:paraId="2AABBC49" w14:textId="77777777" w:rsidTr="00BA304B">
        <w:trPr>
          <w:trHeight w:val="255"/>
        </w:trPr>
        <w:tc>
          <w:tcPr>
            <w:tcW w:w="4568" w:type="dxa"/>
            <w:tcBorders>
              <w:top w:val="nil"/>
              <w:left w:val="nil"/>
              <w:bottom w:val="nil"/>
              <w:right w:val="nil"/>
            </w:tcBorders>
            <w:shd w:val="clear" w:color="auto" w:fill="auto"/>
            <w:noWrap/>
            <w:vAlign w:val="bottom"/>
            <w:hideMark/>
          </w:tcPr>
          <w:p w14:paraId="3DDB864C" w14:textId="77777777" w:rsidR="008F16FC" w:rsidRPr="008F16FC" w:rsidRDefault="008F16FC" w:rsidP="008F16FC">
            <w:pPr>
              <w:rPr>
                <w:rFonts w:ascii="Arial" w:hAnsi="Arial" w:cs="Arial"/>
                <w:color w:val="000000"/>
                <w:sz w:val="18"/>
                <w:szCs w:val="18"/>
                <w:lang w:val="es-ES"/>
              </w:rPr>
            </w:pPr>
          </w:p>
        </w:tc>
        <w:tc>
          <w:tcPr>
            <w:tcW w:w="1356" w:type="dxa"/>
            <w:tcBorders>
              <w:top w:val="nil"/>
              <w:left w:val="nil"/>
              <w:bottom w:val="nil"/>
              <w:right w:val="nil"/>
            </w:tcBorders>
            <w:shd w:val="clear" w:color="auto" w:fill="auto"/>
            <w:noWrap/>
            <w:vAlign w:val="bottom"/>
            <w:hideMark/>
          </w:tcPr>
          <w:p w14:paraId="29BBF4D1" w14:textId="77777777" w:rsidR="008F16FC" w:rsidRPr="008F16FC" w:rsidRDefault="008F16FC" w:rsidP="008F16FC">
            <w:pPr>
              <w:jc w:val="right"/>
              <w:rPr>
                <w:b/>
                <w:bCs/>
                <w:color w:val="000000"/>
                <w:sz w:val="20"/>
                <w:szCs w:val="20"/>
              </w:rPr>
            </w:pPr>
            <w:r w:rsidRPr="008F16FC">
              <w:rPr>
                <w:b/>
                <w:bCs/>
                <w:color w:val="000000"/>
                <w:sz w:val="20"/>
                <w:szCs w:val="20"/>
              </w:rPr>
              <w:t>30/06/2017</w:t>
            </w:r>
          </w:p>
        </w:tc>
      </w:tr>
      <w:tr w:rsidR="008F16FC" w:rsidRPr="008F16FC" w14:paraId="7AE3F5B5" w14:textId="77777777" w:rsidTr="00BA304B">
        <w:trPr>
          <w:trHeight w:val="255"/>
        </w:trPr>
        <w:tc>
          <w:tcPr>
            <w:tcW w:w="4568" w:type="dxa"/>
            <w:tcBorders>
              <w:top w:val="nil"/>
              <w:left w:val="nil"/>
              <w:bottom w:val="nil"/>
              <w:right w:val="nil"/>
            </w:tcBorders>
            <w:shd w:val="clear" w:color="auto" w:fill="auto"/>
            <w:noWrap/>
            <w:vAlign w:val="bottom"/>
            <w:hideMark/>
          </w:tcPr>
          <w:p w14:paraId="19630581" w14:textId="77777777" w:rsidR="008F16FC" w:rsidRPr="008F16FC" w:rsidRDefault="008F16FC" w:rsidP="008F16FC">
            <w:pPr>
              <w:rPr>
                <w:color w:val="000000"/>
                <w:sz w:val="20"/>
                <w:szCs w:val="20"/>
                <w:lang w:val="es-ES"/>
              </w:rPr>
            </w:pPr>
            <w:r w:rsidRPr="008F16FC">
              <w:rPr>
                <w:color w:val="000000"/>
                <w:sz w:val="20"/>
                <w:szCs w:val="20"/>
                <w:lang w:val="es-ES"/>
              </w:rPr>
              <w:t>Ingresos por contratos de construcción</w:t>
            </w:r>
          </w:p>
        </w:tc>
        <w:tc>
          <w:tcPr>
            <w:tcW w:w="1356" w:type="dxa"/>
            <w:tcBorders>
              <w:top w:val="nil"/>
              <w:left w:val="nil"/>
              <w:bottom w:val="nil"/>
              <w:right w:val="nil"/>
            </w:tcBorders>
            <w:shd w:val="clear" w:color="auto" w:fill="auto"/>
            <w:noWrap/>
            <w:vAlign w:val="bottom"/>
            <w:hideMark/>
          </w:tcPr>
          <w:p w14:paraId="06D6D632" w14:textId="77777777" w:rsidR="008F16FC" w:rsidRPr="008F16FC" w:rsidRDefault="008F16FC" w:rsidP="008F16FC">
            <w:pPr>
              <w:jc w:val="right"/>
              <w:rPr>
                <w:color w:val="000000"/>
                <w:sz w:val="20"/>
                <w:szCs w:val="20"/>
              </w:rPr>
            </w:pPr>
            <w:r w:rsidRPr="008F16FC">
              <w:rPr>
                <w:color w:val="000000"/>
                <w:sz w:val="20"/>
                <w:szCs w:val="20"/>
              </w:rPr>
              <w:t>3.260.920</w:t>
            </w:r>
          </w:p>
        </w:tc>
      </w:tr>
      <w:tr w:rsidR="008F16FC" w:rsidRPr="008F16FC" w14:paraId="0F2D4A1A" w14:textId="77777777" w:rsidTr="00BA304B">
        <w:trPr>
          <w:trHeight w:val="255"/>
        </w:trPr>
        <w:tc>
          <w:tcPr>
            <w:tcW w:w="4568" w:type="dxa"/>
            <w:tcBorders>
              <w:top w:val="nil"/>
              <w:left w:val="nil"/>
              <w:bottom w:val="nil"/>
              <w:right w:val="nil"/>
            </w:tcBorders>
            <w:shd w:val="clear" w:color="auto" w:fill="auto"/>
            <w:noWrap/>
            <w:vAlign w:val="bottom"/>
            <w:hideMark/>
          </w:tcPr>
          <w:p w14:paraId="16560DC7" w14:textId="77777777" w:rsidR="008F16FC" w:rsidRPr="008F16FC" w:rsidRDefault="008F16FC" w:rsidP="008F16FC">
            <w:pPr>
              <w:rPr>
                <w:color w:val="000000"/>
                <w:sz w:val="20"/>
                <w:szCs w:val="20"/>
                <w:lang w:val="es-ES"/>
              </w:rPr>
            </w:pPr>
            <w:r w:rsidRPr="008F16FC">
              <w:rPr>
                <w:color w:val="000000"/>
                <w:sz w:val="20"/>
                <w:szCs w:val="20"/>
                <w:lang w:val="es-ES"/>
              </w:rPr>
              <w:t>Costo de ejecución de los contratos</w:t>
            </w:r>
          </w:p>
        </w:tc>
        <w:tc>
          <w:tcPr>
            <w:tcW w:w="1356" w:type="dxa"/>
            <w:tcBorders>
              <w:top w:val="nil"/>
              <w:left w:val="nil"/>
              <w:bottom w:val="nil"/>
              <w:right w:val="nil"/>
            </w:tcBorders>
            <w:shd w:val="clear" w:color="auto" w:fill="auto"/>
            <w:noWrap/>
            <w:vAlign w:val="bottom"/>
            <w:hideMark/>
          </w:tcPr>
          <w:p w14:paraId="7E5B49DB" w14:textId="77777777" w:rsidR="008F16FC" w:rsidRPr="008F16FC" w:rsidRDefault="008F16FC" w:rsidP="008F16FC">
            <w:pPr>
              <w:jc w:val="right"/>
              <w:rPr>
                <w:color w:val="000000"/>
                <w:sz w:val="20"/>
                <w:szCs w:val="20"/>
              </w:rPr>
            </w:pPr>
            <w:r w:rsidRPr="008F16FC">
              <w:rPr>
                <w:color w:val="000000"/>
                <w:sz w:val="20"/>
                <w:szCs w:val="20"/>
              </w:rPr>
              <w:t>(2.869.909)</w:t>
            </w:r>
          </w:p>
        </w:tc>
      </w:tr>
      <w:tr w:rsidR="008F16FC" w:rsidRPr="008F16FC" w14:paraId="63BD26EC" w14:textId="77777777" w:rsidTr="00BA304B">
        <w:trPr>
          <w:trHeight w:val="255"/>
        </w:trPr>
        <w:tc>
          <w:tcPr>
            <w:tcW w:w="4568" w:type="dxa"/>
            <w:tcBorders>
              <w:top w:val="nil"/>
              <w:left w:val="nil"/>
              <w:bottom w:val="nil"/>
              <w:right w:val="nil"/>
            </w:tcBorders>
            <w:shd w:val="clear" w:color="000000" w:fill="D9D9D9"/>
            <w:noWrap/>
            <w:vAlign w:val="bottom"/>
            <w:hideMark/>
          </w:tcPr>
          <w:p w14:paraId="57807E84" w14:textId="77777777" w:rsidR="008F16FC" w:rsidRPr="008F16FC" w:rsidRDefault="008F16FC" w:rsidP="008F16FC">
            <w:pPr>
              <w:rPr>
                <w:b/>
                <w:bCs/>
                <w:color w:val="000000"/>
                <w:sz w:val="20"/>
                <w:szCs w:val="20"/>
              </w:rPr>
            </w:pPr>
            <w:r w:rsidRPr="008F16FC">
              <w:rPr>
                <w:b/>
                <w:bCs/>
                <w:color w:val="000000"/>
                <w:sz w:val="20"/>
                <w:szCs w:val="20"/>
              </w:rPr>
              <w:t>Ganancia Bruta</w:t>
            </w:r>
          </w:p>
        </w:tc>
        <w:tc>
          <w:tcPr>
            <w:tcW w:w="1356" w:type="dxa"/>
            <w:tcBorders>
              <w:top w:val="nil"/>
              <w:left w:val="nil"/>
              <w:bottom w:val="nil"/>
              <w:right w:val="nil"/>
            </w:tcBorders>
            <w:shd w:val="clear" w:color="000000" w:fill="D9D9D9"/>
            <w:noWrap/>
            <w:vAlign w:val="bottom"/>
            <w:hideMark/>
          </w:tcPr>
          <w:p w14:paraId="77827B32" w14:textId="77777777" w:rsidR="008F16FC" w:rsidRPr="008F16FC" w:rsidRDefault="008F16FC" w:rsidP="008F16FC">
            <w:pPr>
              <w:jc w:val="right"/>
              <w:rPr>
                <w:b/>
                <w:bCs/>
                <w:color w:val="000000"/>
                <w:sz w:val="20"/>
                <w:szCs w:val="20"/>
              </w:rPr>
            </w:pPr>
            <w:r w:rsidRPr="008F16FC">
              <w:rPr>
                <w:b/>
                <w:bCs/>
                <w:color w:val="000000"/>
                <w:sz w:val="20"/>
                <w:szCs w:val="20"/>
              </w:rPr>
              <w:t>391.011</w:t>
            </w:r>
          </w:p>
        </w:tc>
      </w:tr>
      <w:tr w:rsidR="008F16FC" w:rsidRPr="008F16FC" w14:paraId="336E06E4" w14:textId="77777777" w:rsidTr="00BA304B">
        <w:trPr>
          <w:trHeight w:val="255"/>
        </w:trPr>
        <w:tc>
          <w:tcPr>
            <w:tcW w:w="4568" w:type="dxa"/>
            <w:tcBorders>
              <w:top w:val="nil"/>
              <w:left w:val="nil"/>
              <w:bottom w:val="nil"/>
              <w:right w:val="nil"/>
            </w:tcBorders>
            <w:shd w:val="clear" w:color="auto" w:fill="auto"/>
            <w:noWrap/>
            <w:vAlign w:val="bottom"/>
            <w:hideMark/>
          </w:tcPr>
          <w:p w14:paraId="6A8B0C04"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hideMark/>
          </w:tcPr>
          <w:p w14:paraId="7358DEF3" w14:textId="77777777" w:rsidR="008F16FC" w:rsidRPr="008F16FC" w:rsidRDefault="008F16FC" w:rsidP="008F16FC">
            <w:pPr>
              <w:rPr>
                <w:color w:val="000000"/>
                <w:sz w:val="20"/>
                <w:szCs w:val="20"/>
              </w:rPr>
            </w:pPr>
          </w:p>
        </w:tc>
      </w:tr>
      <w:tr w:rsidR="008F16FC" w:rsidRPr="008F16FC" w14:paraId="75B2F5F0" w14:textId="77777777" w:rsidTr="00BA304B">
        <w:trPr>
          <w:trHeight w:val="255"/>
        </w:trPr>
        <w:tc>
          <w:tcPr>
            <w:tcW w:w="4568" w:type="dxa"/>
            <w:tcBorders>
              <w:top w:val="nil"/>
              <w:left w:val="nil"/>
              <w:bottom w:val="nil"/>
              <w:right w:val="nil"/>
            </w:tcBorders>
            <w:shd w:val="clear" w:color="auto" w:fill="auto"/>
            <w:noWrap/>
            <w:vAlign w:val="bottom"/>
            <w:hideMark/>
          </w:tcPr>
          <w:p w14:paraId="1F0B20FD" w14:textId="77777777" w:rsidR="008F16FC" w:rsidRPr="008F16FC" w:rsidRDefault="008F16FC" w:rsidP="008F16FC">
            <w:pPr>
              <w:rPr>
                <w:color w:val="000000"/>
                <w:sz w:val="20"/>
                <w:szCs w:val="20"/>
              </w:rPr>
            </w:pPr>
            <w:r w:rsidRPr="008F16FC">
              <w:rPr>
                <w:color w:val="000000"/>
                <w:sz w:val="20"/>
                <w:szCs w:val="20"/>
              </w:rPr>
              <w:t>Gastos de administración</w:t>
            </w:r>
          </w:p>
        </w:tc>
        <w:tc>
          <w:tcPr>
            <w:tcW w:w="1356" w:type="dxa"/>
            <w:tcBorders>
              <w:top w:val="nil"/>
              <w:left w:val="nil"/>
              <w:bottom w:val="nil"/>
              <w:right w:val="nil"/>
            </w:tcBorders>
            <w:shd w:val="clear" w:color="auto" w:fill="auto"/>
            <w:noWrap/>
            <w:vAlign w:val="bottom"/>
            <w:hideMark/>
          </w:tcPr>
          <w:p w14:paraId="08FD3A51" w14:textId="77777777" w:rsidR="008F16FC" w:rsidRPr="008F16FC" w:rsidRDefault="008F16FC" w:rsidP="008F16FC">
            <w:pPr>
              <w:jc w:val="right"/>
              <w:rPr>
                <w:color w:val="000000"/>
                <w:sz w:val="20"/>
                <w:szCs w:val="20"/>
              </w:rPr>
            </w:pPr>
            <w:r w:rsidRPr="008F16FC">
              <w:rPr>
                <w:color w:val="000000"/>
                <w:sz w:val="20"/>
                <w:szCs w:val="20"/>
              </w:rPr>
              <w:t>(215.299)</w:t>
            </w:r>
          </w:p>
        </w:tc>
      </w:tr>
      <w:tr w:rsidR="008F16FC" w:rsidRPr="008F16FC" w14:paraId="70E3C377" w14:textId="77777777" w:rsidTr="00BA304B">
        <w:trPr>
          <w:trHeight w:val="255"/>
        </w:trPr>
        <w:tc>
          <w:tcPr>
            <w:tcW w:w="4568" w:type="dxa"/>
            <w:tcBorders>
              <w:top w:val="nil"/>
              <w:left w:val="nil"/>
              <w:bottom w:val="nil"/>
              <w:right w:val="nil"/>
            </w:tcBorders>
            <w:shd w:val="clear" w:color="auto" w:fill="auto"/>
            <w:noWrap/>
            <w:vAlign w:val="bottom"/>
            <w:hideMark/>
          </w:tcPr>
          <w:p w14:paraId="6D91E116" w14:textId="77777777" w:rsidR="008F16FC" w:rsidRPr="008F16FC" w:rsidRDefault="008F16FC" w:rsidP="008F16FC">
            <w:pPr>
              <w:rPr>
                <w:color w:val="000000"/>
                <w:sz w:val="20"/>
                <w:szCs w:val="20"/>
              </w:rPr>
            </w:pPr>
            <w:r w:rsidRPr="008F16FC">
              <w:rPr>
                <w:color w:val="000000"/>
                <w:sz w:val="20"/>
                <w:szCs w:val="20"/>
              </w:rPr>
              <w:t>Gastos de comercialización</w:t>
            </w:r>
          </w:p>
        </w:tc>
        <w:tc>
          <w:tcPr>
            <w:tcW w:w="1356" w:type="dxa"/>
            <w:tcBorders>
              <w:top w:val="nil"/>
              <w:left w:val="nil"/>
              <w:bottom w:val="nil"/>
              <w:right w:val="nil"/>
            </w:tcBorders>
            <w:shd w:val="clear" w:color="auto" w:fill="auto"/>
            <w:noWrap/>
            <w:vAlign w:val="bottom"/>
            <w:hideMark/>
          </w:tcPr>
          <w:p w14:paraId="1074EE39" w14:textId="77777777" w:rsidR="008F16FC" w:rsidRPr="008F16FC" w:rsidRDefault="008F16FC" w:rsidP="008F16FC">
            <w:pPr>
              <w:jc w:val="right"/>
              <w:rPr>
                <w:color w:val="000000"/>
                <w:sz w:val="20"/>
                <w:szCs w:val="20"/>
              </w:rPr>
            </w:pPr>
            <w:r w:rsidRPr="008F16FC">
              <w:rPr>
                <w:color w:val="000000"/>
                <w:sz w:val="20"/>
                <w:szCs w:val="20"/>
              </w:rPr>
              <w:t>(84.898)</w:t>
            </w:r>
          </w:p>
        </w:tc>
      </w:tr>
      <w:tr w:rsidR="008F16FC" w:rsidRPr="008F16FC" w14:paraId="46F721B3" w14:textId="77777777" w:rsidTr="00BA304B">
        <w:trPr>
          <w:trHeight w:val="255"/>
        </w:trPr>
        <w:tc>
          <w:tcPr>
            <w:tcW w:w="4568" w:type="dxa"/>
            <w:tcBorders>
              <w:top w:val="nil"/>
              <w:left w:val="nil"/>
              <w:bottom w:val="nil"/>
              <w:right w:val="nil"/>
            </w:tcBorders>
            <w:shd w:val="clear" w:color="auto" w:fill="auto"/>
            <w:noWrap/>
            <w:vAlign w:val="bottom"/>
            <w:hideMark/>
          </w:tcPr>
          <w:p w14:paraId="6CCEA65C" w14:textId="77777777" w:rsidR="008F16FC" w:rsidRPr="008F16FC" w:rsidRDefault="008F16FC" w:rsidP="008F16FC">
            <w:pPr>
              <w:rPr>
                <w:color w:val="000000"/>
                <w:sz w:val="20"/>
                <w:szCs w:val="20"/>
              </w:rPr>
            </w:pPr>
            <w:r w:rsidRPr="008F16FC">
              <w:rPr>
                <w:color w:val="000000"/>
                <w:sz w:val="20"/>
                <w:szCs w:val="20"/>
              </w:rPr>
              <w:t>Otros ingresos</w:t>
            </w:r>
          </w:p>
        </w:tc>
        <w:tc>
          <w:tcPr>
            <w:tcW w:w="1356" w:type="dxa"/>
            <w:tcBorders>
              <w:top w:val="nil"/>
              <w:left w:val="nil"/>
              <w:bottom w:val="nil"/>
              <w:right w:val="nil"/>
            </w:tcBorders>
            <w:shd w:val="clear" w:color="auto" w:fill="auto"/>
            <w:noWrap/>
            <w:vAlign w:val="bottom"/>
            <w:hideMark/>
          </w:tcPr>
          <w:p w14:paraId="4ED11A9F" w14:textId="77777777" w:rsidR="008F16FC" w:rsidRPr="008F16FC" w:rsidRDefault="008F16FC" w:rsidP="008F16FC">
            <w:pPr>
              <w:jc w:val="right"/>
              <w:rPr>
                <w:color w:val="000000"/>
                <w:sz w:val="20"/>
                <w:szCs w:val="20"/>
              </w:rPr>
            </w:pPr>
            <w:r w:rsidRPr="008F16FC">
              <w:rPr>
                <w:color w:val="000000"/>
                <w:sz w:val="20"/>
                <w:szCs w:val="20"/>
              </w:rPr>
              <w:t>18.580</w:t>
            </w:r>
          </w:p>
        </w:tc>
      </w:tr>
      <w:tr w:rsidR="008F16FC" w:rsidRPr="008F16FC" w14:paraId="69F7EF48" w14:textId="77777777" w:rsidTr="00BA304B">
        <w:trPr>
          <w:trHeight w:val="255"/>
        </w:trPr>
        <w:tc>
          <w:tcPr>
            <w:tcW w:w="4568" w:type="dxa"/>
            <w:tcBorders>
              <w:top w:val="nil"/>
              <w:left w:val="nil"/>
              <w:bottom w:val="nil"/>
              <w:right w:val="nil"/>
            </w:tcBorders>
            <w:shd w:val="clear" w:color="auto" w:fill="auto"/>
            <w:noWrap/>
            <w:vAlign w:val="bottom"/>
            <w:hideMark/>
          </w:tcPr>
          <w:p w14:paraId="11D4A500" w14:textId="77777777" w:rsidR="008F16FC" w:rsidRPr="008F16FC" w:rsidRDefault="008F16FC" w:rsidP="008F16FC">
            <w:pPr>
              <w:rPr>
                <w:color w:val="000000"/>
                <w:sz w:val="20"/>
                <w:szCs w:val="20"/>
              </w:rPr>
            </w:pPr>
            <w:r w:rsidRPr="008F16FC">
              <w:rPr>
                <w:color w:val="000000"/>
                <w:sz w:val="20"/>
                <w:szCs w:val="20"/>
              </w:rPr>
              <w:t>Otros gastos</w:t>
            </w:r>
          </w:p>
        </w:tc>
        <w:tc>
          <w:tcPr>
            <w:tcW w:w="1356" w:type="dxa"/>
            <w:tcBorders>
              <w:top w:val="nil"/>
              <w:left w:val="nil"/>
              <w:bottom w:val="nil"/>
              <w:right w:val="nil"/>
            </w:tcBorders>
            <w:shd w:val="clear" w:color="auto" w:fill="auto"/>
            <w:noWrap/>
            <w:vAlign w:val="bottom"/>
            <w:hideMark/>
          </w:tcPr>
          <w:p w14:paraId="25CAA3BA" w14:textId="77777777" w:rsidR="008F16FC" w:rsidRPr="008F16FC" w:rsidRDefault="008F16FC" w:rsidP="008F16FC">
            <w:pPr>
              <w:jc w:val="right"/>
              <w:rPr>
                <w:color w:val="000000"/>
                <w:sz w:val="20"/>
                <w:szCs w:val="20"/>
              </w:rPr>
            </w:pPr>
            <w:r w:rsidRPr="008F16FC">
              <w:rPr>
                <w:color w:val="000000"/>
                <w:sz w:val="20"/>
                <w:szCs w:val="20"/>
              </w:rPr>
              <w:t>(5.100)</w:t>
            </w:r>
          </w:p>
        </w:tc>
      </w:tr>
      <w:tr w:rsidR="008F16FC" w:rsidRPr="008F16FC" w14:paraId="7CE9429B" w14:textId="77777777" w:rsidTr="00BA304B">
        <w:trPr>
          <w:trHeight w:val="255"/>
        </w:trPr>
        <w:tc>
          <w:tcPr>
            <w:tcW w:w="4568" w:type="dxa"/>
            <w:tcBorders>
              <w:top w:val="nil"/>
              <w:left w:val="nil"/>
              <w:bottom w:val="nil"/>
              <w:right w:val="nil"/>
            </w:tcBorders>
            <w:shd w:val="clear" w:color="000000" w:fill="D9D9D9"/>
            <w:noWrap/>
            <w:vAlign w:val="bottom"/>
            <w:hideMark/>
          </w:tcPr>
          <w:p w14:paraId="67A39FC1" w14:textId="77777777" w:rsidR="008F16FC" w:rsidRPr="008F16FC" w:rsidRDefault="008F16FC" w:rsidP="008F16FC">
            <w:pPr>
              <w:rPr>
                <w:b/>
                <w:bCs/>
                <w:color w:val="000000"/>
                <w:sz w:val="20"/>
                <w:szCs w:val="20"/>
              </w:rPr>
            </w:pPr>
            <w:r w:rsidRPr="008F16FC">
              <w:rPr>
                <w:b/>
                <w:bCs/>
                <w:color w:val="000000"/>
                <w:sz w:val="20"/>
                <w:szCs w:val="20"/>
              </w:rPr>
              <w:t>Ganancia Operativa</w:t>
            </w:r>
          </w:p>
        </w:tc>
        <w:tc>
          <w:tcPr>
            <w:tcW w:w="1356" w:type="dxa"/>
            <w:tcBorders>
              <w:top w:val="nil"/>
              <w:left w:val="nil"/>
              <w:bottom w:val="nil"/>
              <w:right w:val="nil"/>
            </w:tcBorders>
            <w:shd w:val="clear" w:color="000000" w:fill="D9D9D9"/>
            <w:noWrap/>
            <w:vAlign w:val="bottom"/>
            <w:hideMark/>
          </w:tcPr>
          <w:p w14:paraId="0B349FF5" w14:textId="77777777" w:rsidR="008F16FC" w:rsidRPr="008F16FC" w:rsidRDefault="008F16FC" w:rsidP="008F16FC">
            <w:pPr>
              <w:jc w:val="right"/>
              <w:rPr>
                <w:b/>
                <w:bCs/>
                <w:color w:val="000000"/>
                <w:sz w:val="20"/>
                <w:szCs w:val="20"/>
              </w:rPr>
            </w:pPr>
            <w:r w:rsidRPr="008F16FC">
              <w:rPr>
                <w:b/>
                <w:bCs/>
                <w:color w:val="000000"/>
                <w:sz w:val="20"/>
                <w:szCs w:val="20"/>
              </w:rPr>
              <w:t>104.293</w:t>
            </w:r>
          </w:p>
        </w:tc>
      </w:tr>
      <w:tr w:rsidR="008F16FC" w:rsidRPr="008F16FC" w14:paraId="54B4902F" w14:textId="77777777" w:rsidTr="00BA304B">
        <w:trPr>
          <w:trHeight w:val="255"/>
        </w:trPr>
        <w:tc>
          <w:tcPr>
            <w:tcW w:w="4568" w:type="dxa"/>
            <w:tcBorders>
              <w:top w:val="nil"/>
              <w:left w:val="nil"/>
              <w:bottom w:val="nil"/>
              <w:right w:val="nil"/>
            </w:tcBorders>
            <w:shd w:val="clear" w:color="auto" w:fill="auto"/>
            <w:noWrap/>
            <w:vAlign w:val="bottom"/>
            <w:hideMark/>
          </w:tcPr>
          <w:p w14:paraId="1BAD34E3"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hideMark/>
          </w:tcPr>
          <w:p w14:paraId="5ED2B69D" w14:textId="77777777" w:rsidR="008F16FC" w:rsidRPr="008F16FC" w:rsidRDefault="008F16FC" w:rsidP="008F16FC">
            <w:pPr>
              <w:rPr>
                <w:color w:val="000000"/>
                <w:sz w:val="20"/>
                <w:szCs w:val="20"/>
              </w:rPr>
            </w:pPr>
          </w:p>
        </w:tc>
      </w:tr>
      <w:tr w:rsidR="008F16FC" w:rsidRPr="008F16FC" w14:paraId="0D4F14D1" w14:textId="77777777" w:rsidTr="00BA304B">
        <w:trPr>
          <w:trHeight w:val="255"/>
        </w:trPr>
        <w:tc>
          <w:tcPr>
            <w:tcW w:w="4568" w:type="dxa"/>
            <w:tcBorders>
              <w:top w:val="nil"/>
              <w:left w:val="nil"/>
              <w:bottom w:val="nil"/>
              <w:right w:val="nil"/>
            </w:tcBorders>
            <w:shd w:val="clear" w:color="auto" w:fill="auto"/>
            <w:noWrap/>
            <w:vAlign w:val="bottom"/>
            <w:hideMark/>
          </w:tcPr>
          <w:p w14:paraId="2E0C2B2D" w14:textId="77777777" w:rsidR="008F16FC" w:rsidRPr="008F16FC" w:rsidRDefault="008F16FC" w:rsidP="008F16FC">
            <w:pPr>
              <w:rPr>
                <w:color w:val="000000"/>
                <w:sz w:val="20"/>
                <w:szCs w:val="20"/>
                <w:lang w:val="es-ES"/>
              </w:rPr>
            </w:pPr>
            <w:r w:rsidRPr="008F16FC">
              <w:rPr>
                <w:color w:val="000000"/>
                <w:sz w:val="20"/>
                <w:szCs w:val="20"/>
                <w:lang w:val="es-ES"/>
              </w:rPr>
              <w:t>Resultados de Inversiones en Asociadas</w:t>
            </w:r>
          </w:p>
        </w:tc>
        <w:tc>
          <w:tcPr>
            <w:tcW w:w="1356" w:type="dxa"/>
            <w:tcBorders>
              <w:top w:val="nil"/>
              <w:left w:val="nil"/>
              <w:bottom w:val="nil"/>
              <w:right w:val="nil"/>
            </w:tcBorders>
            <w:shd w:val="clear" w:color="auto" w:fill="auto"/>
            <w:noWrap/>
            <w:vAlign w:val="bottom"/>
            <w:hideMark/>
          </w:tcPr>
          <w:p w14:paraId="23E1177E" w14:textId="77777777" w:rsidR="008F16FC" w:rsidRPr="008F16FC" w:rsidRDefault="008F16FC" w:rsidP="008F16FC">
            <w:pPr>
              <w:jc w:val="right"/>
              <w:rPr>
                <w:color w:val="000000"/>
                <w:sz w:val="20"/>
                <w:szCs w:val="20"/>
              </w:rPr>
            </w:pPr>
            <w:r w:rsidRPr="008F16FC">
              <w:rPr>
                <w:color w:val="000000"/>
                <w:sz w:val="20"/>
                <w:szCs w:val="20"/>
              </w:rPr>
              <w:t>7.857</w:t>
            </w:r>
          </w:p>
        </w:tc>
      </w:tr>
      <w:tr w:rsidR="008F16FC" w:rsidRPr="008F16FC" w14:paraId="12A2CFCE" w14:textId="77777777" w:rsidTr="00BA304B">
        <w:trPr>
          <w:trHeight w:val="255"/>
        </w:trPr>
        <w:tc>
          <w:tcPr>
            <w:tcW w:w="4568" w:type="dxa"/>
            <w:tcBorders>
              <w:top w:val="nil"/>
              <w:left w:val="nil"/>
              <w:bottom w:val="nil"/>
              <w:right w:val="nil"/>
            </w:tcBorders>
            <w:shd w:val="clear" w:color="auto" w:fill="auto"/>
            <w:noWrap/>
            <w:vAlign w:val="bottom"/>
            <w:hideMark/>
          </w:tcPr>
          <w:p w14:paraId="2DDE59D0" w14:textId="77777777" w:rsidR="008F16FC" w:rsidRPr="008F16FC" w:rsidRDefault="008F16FC" w:rsidP="008F16FC">
            <w:pPr>
              <w:rPr>
                <w:color w:val="000000"/>
                <w:sz w:val="20"/>
                <w:szCs w:val="20"/>
              </w:rPr>
            </w:pPr>
            <w:r w:rsidRPr="008F16FC">
              <w:rPr>
                <w:color w:val="000000"/>
                <w:sz w:val="20"/>
                <w:szCs w:val="20"/>
              </w:rPr>
              <w:t>Resultados Financieros</w:t>
            </w:r>
          </w:p>
        </w:tc>
        <w:tc>
          <w:tcPr>
            <w:tcW w:w="1356" w:type="dxa"/>
            <w:tcBorders>
              <w:top w:val="nil"/>
              <w:left w:val="nil"/>
              <w:bottom w:val="nil"/>
              <w:right w:val="nil"/>
            </w:tcBorders>
            <w:shd w:val="clear" w:color="auto" w:fill="auto"/>
            <w:noWrap/>
            <w:vAlign w:val="bottom"/>
            <w:hideMark/>
          </w:tcPr>
          <w:p w14:paraId="462849C4" w14:textId="77777777" w:rsidR="008F16FC" w:rsidRPr="008F16FC" w:rsidRDefault="008F16FC" w:rsidP="008F16FC">
            <w:pPr>
              <w:jc w:val="right"/>
              <w:rPr>
                <w:color w:val="000000"/>
                <w:sz w:val="20"/>
                <w:szCs w:val="20"/>
              </w:rPr>
            </w:pPr>
            <w:r w:rsidRPr="008F16FC">
              <w:rPr>
                <w:color w:val="000000"/>
                <w:sz w:val="20"/>
                <w:szCs w:val="20"/>
              </w:rPr>
              <w:t>(79.896)</w:t>
            </w:r>
          </w:p>
        </w:tc>
      </w:tr>
      <w:tr w:rsidR="008F16FC" w:rsidRPr="008F16FC" w14:paraId="0C8AC9E0" w14:textId="77777777" w:rsidTr="00BA304B">
        <w:trPr>
          <w:trHeight w:val="255"/>
        </w:trPr>
        <w:tc>
          <w:tcPr>
            <w:tcW w:w="4568" w:type="dxa"/>
            <w:tcBorders>
              <w:top w:val="nil"/>
              <w:left w:val="nil"/>
              <w:bottom w:val="nil"/>
              <w:right w:val="nil"/>
            </w:tcBorders>
            <w:shd w:val="clear" w:color="auto" w:fill="auto"/>
            <w:noWrap/>
            <w:vAlign w:val="bottom"/>
            <w:hideMark/>
          </w:tcPr>
          <w:p w14:paraId="0B0ABF05" w14:textId="77777777" w:rsidR="008F16FC" w:rsidRPr="008F16FC" w:rsidRDefault="008F16FC" w:rsidP="008F16FC">
            <w:pPr>
              <w:rPr>
                <w:color w:val="000000"/>
                <w:sz w:val="20"/>
                <w:szCs w:val="20"/>
                <w:lang w:val="es-ES"/>
              </w:rPr>
            </w:pPr>
            <w:r w:rsidRPr="008F16FC">
              <w:rPr>
                <w:color w:val="000000"/>
                <w:sz w:val="20"/>
                <w:szCs w:val="20"/>
                <w:lang w:val="es-ES"/>
              </w:rPr>
              <w:t>Resultados de la posición monetaria neta (RECPAM)</w:t>
            </w:r>
          </w:p>
        </w:tc>
        <w:tc>
          <w:tcPr>
            <w:tcW w:w="1356" w:type="dxa"/>
            <w:tcBorders>
              <w:top w:val="nil"/>
              <w:left w:val="nil"/>
              <w:bottom w:val="nil"/>
              <w:right w:val="nil"/>
            </w:tcBorders>
            <w:shd w:val="clear" w:color="auto" w:fill="auto"/>
            <w:noWrap/>
            <w:vAlign w:val="bottom"/>
            <w:hideMark/>
          </w:tcPr>
          <w:p w14:paraId="364EEA99" w14:textId="77777777" w:rsidR="008F16FC" w:rsidRPr="008F16FC" w:rsidRDefault="008F16FC" w:rsidP="008F16FC">
            <w:pPr>
              <w:jc w:val="right"/>
              <w:rPr>
                <w:color w:val="000000"/>
                <w:sz w:val="20"/>
                <w:szCs w:val="20"/>
              </w:rPr>
            </w:pPr>
            <w:r w:rsidRPr="008F16FC">
              <w:rPr>
                <w:color w:val="000000"/>
                <w:sz w:val="20"/>
                <w:szCs w:val="20"/>
              </w:rPr>
              <w:t>0</w:t>
            </w:r>
          </w:p>
        </w:tc>
      </w:tr>
      <w:tr w:rsidR="008F16FC" w:rsidRPr="008F16FC" w14:paraId="2A0D6BEE" w14:textId="77777777" w:rsidTr="00BA304B">
        <w:trPr>
          <w:trHeight w:val="255"/>
        </w:trPr>
        <w:tc>
          <w:tcPr>
            <w:tcW w:w="4568" w:type="dxa"/>
            <w:tcBorders>
              <w:top w:val="nil"/>
              <w:left w:val="nil"/>
              <w:bottom w:val="nil"/>
              <w:right w:val="nil"/>
            </w:tcBorders>
            <w:shd w:val="clear" w:color="000000" w:fill="D9D9D9"/>
            <w:noWrap/>
            <w:vAlign w:val="bottom"/>
            <w:hideMark/>
          </w:tcPr>
          <w:p w14:paraId="436F4521" w14:textId="77777777" w:rsidR="008F16FC" w:rsidRPr="008F16FC" w:rsidRDefault="008F16FC" w:rsidP="008F16FC">
            <w:pPr>
              <w:rPr>
                <w:b/>
                <w:bCs/>
                <w:color w:val="000000"/>
                <w:sz w:val="20"/>
                <w:szCs w:val="20"/>
                <w:lang w:val="es-ES"/>
              </w:rPr>
            </w:pPr>
            <w:r w:rsidRPr="008F16FC">
              <w:rPr>
                <w:b/>
                <w:bCs/>
                <w:color w:val="000000"/>
                <w:sz w:val="20"/>
                <w:szCs w:val="20"/>
                <w:lang w:val="es-ES"/>
              </w:rPr>
              <w:t>Ganancia antes del impuesto a las ganancias</w:t>
            </w:r>
          </w:p>
        </w:tc>
        <w:tc>
          <w:tcPr>
            <w:tcW w:w="1356" w:type="dxa"/>
            <w:tcBorders>
              <w:top w:val="nil"/>
              <w:left w:val="nil"/>
              <w:bottom w:val="nil"/>
              <w:right w:val="nil"/>
            </w:tcBorders>
            <w:shd w:val="clear" w:color="000000" w:fill="D9D9D9"/>
            <w:noWrap/>
            <w:vAlign w:val="bottom"/>
            <w:hideMark/>
          </w:tcPr>
          <w:p w14:paraId="1EBBEA04" w14:textId="77777777" w:rsidR="008F16FC" w:rsidRPr="008F16FC" w:rsidRDefault="008F16FC" w:rsidP="008F16FC">
            <w:pPr>
              <w:jc w:val="right"/>
              <w:rPr>
                <w:b/>
                <w:bCs/>
                <w:color w:val="000000"/>
                <w:sz w:val="20"/>
                <w:szCs w:val="20"/>
              </w:rPr>
            </w:pPr>
            <w:r w:rsidRPr="008F16FC">
              <w:rPr>
                <w:b/>
                <w:bCs/>
                <w:color w:val="000000"/>
                <w:sz w:val="20"/>
                <w:szCs w:val="20"/>
              </w:rPr>
              <w:t>32.255</w:t>
            </w:r>
          </w:p>
        </w:tc>
      </w:tr>
      <w:tr w:rsidR="008F16FC" w:rsidRPr="008F16FC" w14:paraId="40A0F4B8" w14:textId="77777777" w:rsidTr="00BA304B">
        <w:trPr>
          <w:trHeight w:val="255"/>
        </w:trPr>
        <w:tc>
          <w:tcPr>
            <w:tcW w:w="4568" w:type="dxa"/>
            <w:tcBorders>
              <w:top w:val="nil"/>
              <w:left w:val="nil"/>
              <w:bottom w:val="nil"/>
              <w:right w:val="nil"/>
            </w:tcBorders>
            <w:shd w:val="clear" w:color="auto" w:fill="auto"/>
            <w:noWrap/>
            <w:vAlign w:val="bottom"/>
            <w:hideMark/>
          </w:tcPr>
          <w:p w14:paraId="5FF24015"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hideMark/>
          </w:tcPr>
          <w:p w14:paraId="6B914F6D" w14:textId="77777777" w:rsidR="008F16FC" w:rsidRPr="008F16FC" w:rsidRDefault="008F16FC" w:rsidP="008F16FC">
            <w:pPr>
              <w:rPr>
                <w:color w:val="000000"/>
                <w:sz w:val="20"/>
                <w:szCs w:val="20"/>
              </w:rPr>
            </w:pPr>
          </w:p>
        </w:tc>
      </w:tr>
      <w:tr w:rsidR="008F16FC" w:rsidRPr="008F16FC" w14:paraId="3F8C034E" w14:textId="77777777" w:rsidTr="00BA304B">
        <w:trPr>
          <w:trHeight w:val="255"/>
        </w:trPr>
        <w:tc>
          <w:tcPr>
            <w:tcW w:w="4568" w:type="dxa"/>
            <w:tcBorders>
              <w:top w:val="nil"/>
              <w:left w:val="nil"/>
              <w:bottom w:val="nil"/>
              <w:right w:val="nil"/>
            </w:tcBorders>
            <w:shd w:val="clear" w:color="auto" w:fill="auto"/>
            <w:noWrap/>
            <w:vAlign w:val="bottom"/>
            <w:hideMark/>
          </w:tcPr>
          <w:p w14:paraId="79D914E0" w14:textId="77777777" w:rsidR="008F16FC" w:rsidRPr="008F16FC" w:rsidRDefault="008F16FC" w:rsidP="008F16FC">
            <w:pPr>
              <w:rPr>
                <w:color w:val="000000"/>
                <w:sz w:val="20"/>
                <w:szCs w:val="20"/>
                <w:lang w:val="es-ES"/>
              </w:rPr>
            </w:pPr>
            <w:r w:rsidRPr="008F16FC">
              <w:rPr>
                <w:color w:val="000000"/>
                <w:sz w:val="20"/>
                <w:szCs w:val="20"/>
                <w:lang w:val="es-ES"/>
              </w:rPr>
              <w:t>(Gasto) Ingreso por impuesto a las ganancias</w:t>
            </w:r>
          </w:p>
        </w:tc>
        <w:tc>
          <w:tcPr>
            <w:tcW w:w="1356" w:type="dxa"/>
            <w:tcBorders>
              <w:top w:val="nil"/>
              <w:left w:val="nil"/>
              <w:bottom w:val="nil"/>
              <w:right w:val="nil"/>
            </w:tcBorders>
            <w:shd w:val="clear" w:color="auto" w:fill="auto"/>
            <w:noWrap/>
            <w:vAlign w:val="bottom"/>
            <w:hideMark/>
          </w:tcPr>
          <w:p w14:paraId="1802D402" w14:textId="77777777" w:rsidR="008F16FC" w:rsidRPr="008F16FC" w:rsidRDefault="008F16FC" w:rsidP="008F16FC">
            <w:pPr>
              <w:jc w:val="right"/>
              <w:rPr>
                <w:color w:val="000000"/>
                <w:sz w:val="20"/>
                <w:szCs w:val="20"/>
              </w:rPr>
            </w:pPr>
            <w:r w:rsidRPr="008F16FC">
              <w:rPr>
                <w:color w:val="000000"/>
                <w:sz w:val="20"/>
                <w:szCs w:val="20"/>
              </w:rPr>
              <w:t>(7.217)</w:t>
            </w:r>
          </w:p>
        </w:tc>
      </w:tr>
      <w:tr w:rsidR="008F16FC" w:rsidRPr="008F16FC" w14:paraId="367A2E42" w14:textId="77777777" w:rsidTr="00BA304B">
        <w:trPr>
          <w:trHeight w:val="255"/>
        </w:trPr>
        <w:tc>
          <w:tcPr>
            <w:tcW w:w="4568" w:type="dxa"/>
            <w:tcBorders>
              <w:top w:val="nil"/>
              <w:left w:val="nil"/>
              <w:bottom w:val="nil"/>
              <w:right w:val="nil"/>
            </w:tcBorders>
            <w:shd w:val="clear" w:color="000000" w:fill="A6A6A6"/>
            <w:noWrap/>
            <w:vAlign w:val="bottom"/>
            <w:hideMark/>
          </w:tcPr>
          <w:p w14:paraId="7967921C" w14:textId="77777777" w:rsidR="008F16FC" w:rsidRPr="008F16FC" w:rsidRDefault="008F16FC" w:rsidP="008F16FC">
            <w:pPr>
              <w:rPr>
                <w:b/>
                <w:bCs/>
                <w:color w:val="000000"/>
                <w:sz w:val="20"/>
                <w:szCs w:val="20"/>
              </w:rPr>
            </w:pPr>
            <w:r w:rsidRPr="008F16FC">
              <w:rPr>
                <w:b/>
                <w:bCs/>
                <w:color w:val="000000"/>
                <w:sz w:val="20"/>
                <w:szCs w:val="20"/>
              </w:rPr>
              <w:t>Ganancia del período</w:t>
            </w:r>
          </w:p>
        </w:tc>
        <w:tc>
          <w:tcPr>
            <w:tcW w:w="1356" w:type="dxa"/>
            <w:tcBorders>
              <w:top w:val="nil"/>
              <w:left w:val="nil"/>
              <w:bottom w:val="nil"/>
              <w:right w:val="nil"/>
            </w:tcBorders>
            <w:shd w:val="clear" w:color="000000" w:fill="A6A6A6"/>
            <w:noWrap/>
            <w:vAlign w:val="bottom"/>
            <w:hideMark/>
          </w:tcPr>
          <w:p w14:paraId="155D4704" w14:textId="77777777" w:rsidR="008F16FC" w:rsidRPr="008F16FC" w:rsidRDefault="008F16FC" w:rsidP="008F16FC">
            <w:pPr>
              <w:jc w:val="right"/>
              <w:rPr>
                <w:b/>
                <w:bCs/>
                <w:color w:val="000000"/>
                <w:sz w:val="20"/>
                <w:szCs w:val="20"/>
              </w:rPr>
            </w:pPr>
            <w:r w:rsidRPr="008F16FC">
              <w:rPr>
                <w:b/>
                <w:bCs/>
                <w:color w:val="000000"/>
                <w:sz w:val="20"/>
                <w:szCs w:val="20"/>
              </w:rPr>
              <w:t>25.038</w:t>
            </w:r>
          </w:p>
        </w:tc>
      </w:tr>
      <w:tr w:rsidR="008F16FC" w:rsidRPr="008F16FC" w14:paraId="0140FFAD" w14:textId="77777777" w:rsidTr="00BA304B">
        <w:trPr>
          <w:trHeight w:val="255"/>
        </w:trPr>
        <w:tc>
          <w:tcPr>
            <w:tcW w:w="4568" w:type="dxa"/>
            <w:tcBorders>
              <w:top w:val="nil"/>
              <w:left w:val="nil"/>
              <w:bottom w:val="nil"/>
              <w:right w:val="nil"/>
            </w:tcBorders>
            <w:shd w:val="clear" w:color="auto" w:fill="auto"/>
            <w:noWrap/>
            <w:vAlign w:val="bottom"/>
            <w:hideMark/>
          </w:tcPr>
          <w:p w14:paraId="084D7099"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hideMark/>
          </w:tcPr>
          <w:p w14:paraId="1DE55029" w14:textId="77777777" w:rsidR="008F16FC" w:rsidRPr="008F16FC" w:rsidRDefault="008F16FC" w:rsidP="008F16FC">
            <w:pPr>
              <w:rPr>
                <w:color w:val="000000"/>
                <w:sz w:val="20"/>
                <w:szCs w:val="20"/>
              </w:rPr>
            </w:pPr>
          </w:p>
        </w:tc>
      </w:tr>
      <w:tr w:rsidR="008F16FC" w:rsidRPr="008F16FC" w14:paraId="0DFE77FC" w14:textId="77777777" w:rsidTr="00BA304B">
        <w:trPr>
          <w:trHeight w:val="255"/>
        </w:trPr>
        <w:tc>
          <w:tcPr>
            <w:tcW w:w="4568" w:type="dxa"/>
            <w:tcBorders>
              <w:top w:val="nil"/>
              <w:left w:val="nil"/>
              <w:bottom w:val="nil"/>
              <w:right w:val="nil"/>
            </w:tcBorders>
            <w:shd w:val="clear" w:color="auto" w:fill="auto"/>
            <w:noWrap/>
            <w:vAlign w:val="bottom"/>
            <w:hideMark/>
          </w:tcPr>
          <w:p w14:paraId="359D4DF7"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hideMark/>
          </w:tcPr>
          <w:p w14:paraId="6EC4C675" w14:textId="77777777" w:rsidR="008F16FC" w:rsidRPr="008F16FC" w:rsidRDefault="008F16FC" w:rsidP="008F16FC">
            <w:pPr>
              <w:rPr>
                <w:color w:val="000000"/>
                <w:sz w:val="20"/>
                <w:szCs w:val="20"/>
              </w:rPr>
            </w:pPr>
          </w:p>
        </w:tc>
      </w:tr>
      <w:tr w:rsidR="008F16FC" w:rsidRPr="00512442" w14:paraId="742348BB" w14:textId="77777777" w:rsidTr="00BA304B">
        <w:trPr>
          <w:trHeight w:val="255"/>
        </w:trPr>
        <w:tc>
          <w:tcPr>
            <w:tcW w:w="4568" w:type="dxa"/>
            <w:tcBorders>
              <w:top w:val="nil"/>
              <w:left w:val="nil"/>
              <w:bottom w:val="nil"/>
              <w:right w:val="nil"/>
            </w:tcBorders>
            <w:shd w:val="clear" w:color="auto" w:fill="auto"/>
            <w:noWrap/>
            <w:vAlign w:val="bottom"/>
            <w:hideMark/>
          </w:tcPr>
          <w:p w14:paraId="764DAD39" w14:textId="77777777" w:rsidR="008F16FC" w:rsidRPr="008F16FC" w:rsidRDefault="008F16FC" w:rsidP="008F16FC">
            <w:pPr>
              <w:rPr>
                <w:b/>
                <w:bCs/>
                <w:color w:val="000000"/>
                <w:sz w:val="20"/>
                <w:szCs w:val="20"/>
                <w:lang w:val="es-ES"/>
              </w:rPr>
            </w:pPr>
            <w:r w:rsidRPr="008F16FC">
              <w:rPr>
                <w:b/>
                <w:bCs/>
                <w:color w:val="000000"/>
                <w:sz w:val="20"/>
                <w:szCs w:val="20"/>
                <w:lang w:val="es-ES"/>
              </w:rPr>
              <w:t>OTRO RESULTADO INTEGRAL DEL PERIODO</w:t>
            </w:r>
          </w:p>
        </w:tc>
        <w:tc>
          <w:tcPr>
            <w:tcW w:w="1356" w:type="dxa"/>
            <w:tcBorders>
              <w:top w:val="nil"/>
              <w:left w:val="nil"/>
              <w:bottom w:val="nil"/>
              <w:right w:val="nil"/>
            </w:tcBorders>
            <w:shd w:val="clear" w:color="auto" w:fill="auto"/>
            <w:noWrap/>
            <w:vAlign w:val="bottom"/>
            <w:hideMark/>
          </w:tcPr>
          <w:p w14:paraId="1CFB6A22" w14:textId="77777777" w:rsidR="008F16FC" w:rsidRPr="008F16FC" w:rsidRDefault="008F16FC" w:rsidP="008F16FC">
            <w:pPr>
              <w:rPr>
                <w:b/>
                <w:bCs/>
                <w:color w:val="000000"/>
                <w:sz w:val="20"/>
                <w:szCs w:val="20"/>
                <w:lang w:val="es-ES"/>
              </w:rPr>
            </w:pPr>
          </w:p>
        </w:tc>
      </w:tr>
      <w:tr w:rsidR="008F16FC" w:rsidRPr="00512442" w14:paraId="6527D2B1" w14:textId="77777777" w:rsidTr="00BA304B">
        <w:trPr>
          <w:trHeight w:val="255"/>
        </w:trPr>
        <w:tc>
          <w:tcPr>
            <w:tcW w:w="4568" w:type="dxa"/>
            <w:tcBorders>
              <w:top w:val="nil"/>
              <w:left w:val="nil"/>
              <w:bottom w:val="nil"/>
              <w:right w:val="nil"/>
            </w:tcBorders>
            <w:shd w:val="clear" w:color="auto" w:fill="auto"/>
            <w:noWrap/>
            <w:vAlign w:val="bottom"/>
            <w:hideMark/>
          </w:tcPr>
          <w:p w14:paraId="08AA187C" w14:textId="77777777" w:rsidR="008F16FC" w:rsidRPr="008F16FC" w:rsidRDefault="008F16FC" w:rsidP="008F16FC">
            <w:pPr>
              <w:rPr>
                <w:b/>
                <w:bCs/>
                <w:color w:val="000000"/>
                <w:sz w:val="20"/>
                <w:szCs w:val="20"/>
                <w:lang w:val="es-ES"/>
              </w:rPr>
            </w:pPr>
            <w:r w:rsidRPr="008F16FC">
              <w:rPr>
                <w:b/>
                <w:bCs/>
                <w:color w:val="000000"/>
                <w:sz w:val="20"/>
                <w:szCs w:val="20"/>
                <w:lang w:val="es-ES"/>
              </w:rPr>
              <w:t>Que se clasificará en resultados</w:t>
            </w:r>
          </w:p>
        </w:tc>
        <w:tc>
          <w:tcPr>
            <w:tcW w:w="1356" w:type="dxa"/>
            <w:tcBorders>
              <w:top w:val="nil"/>
              <w:left w:val="nil"/>
              <w:bottom w:val="nil"/>
              <w:right w:val="nil"/>
            </w:tcBorders>
            <w:shd w:val="clear" w:color="auto" w:fill="auto"/>
            <w:noWrap/>
            <w:vAlign w:val="bottom"/>
            <w:hideMark/>
          </w:tcPr>
          <w:p w14:paraId="007A0BEA" w14:textId="77777777" w:rsidR="008F16FC" w:rsidRPr="008F16FC" w:rsidRDefault="008F16FC" w:rsidP="008F16FC">
            <w:pPr>
              <w:rPr>
                <w:b/>
                <w:bCs/>
                <w:color w:val="000000"/>
                <w:sz w:val="20"/>
                <w:szCs w:val="20"/>
                <w:lang w:val="es-ES"/>
              </w:rPr>
            </w:pPr>
          </w:p>
        </w:tc>
      </w:tr>
      <w:tr w:rsidR="008F16FC" w:rsidRPr="008F16FC" w14:paraId="6F1C5265" w14:textId="77777777" w:rsidTr="00BA304B">
        <w:trPr>
          <w:trHeight w:val="255"/>
        </w:trPr>
        <w:tc>
          <w:tcPr>
            <w:tcW w:w="4568" w:type="dxa"/>
            <w:tcBorders>
              <w:top w:val="nil"/>
              <w:left w:val="nil"/>
              <w:bottom w:val="nil"/>
              <w:right w:val="nil"/>
            </w:tcBorders>
            <w:shd w:val="clear" w:color="auto" w:fill="auto"/>
            <w:noWrap/>
            <w:vAlign w:val="bottom"/>
            <w:hideMark/>
          </w:tcPr>
          <w:p w14:paraId="43CAC378" w14:textId="77777777" w:rsidR="008F16FC" w:rsidRPr="008F16FC" w:rsidRDefault="008F16FC" w:rsidP="008F16FC">
            <w:pPr>
              <w:rPr>
                <w:color w:val="000000"/>
                <w:sz w:val="20"/>
                <w:szCs w:val="20"/>
              </w:rPr>
            </w:pPr>
            <w:r w:rsidRPr="008F16FC">
              <w:rPr>
                <w:color w:val="000000"/>
                <w:sz w:val="20"/>
                <w:szCs w:val="20"/>
              </w:rPr>
              <w:t>Diferencias de conversión</w:t>
            </w:r>
          </w:p>
        </w:tc>
        <w:tc>
          <w:tcPr>
            <w:tcW w:w="1356" w:type="dxa"/>
            <w:tcBorders>
              <w:top w:val="nil"/>
              <w:left w:val="nil"/>
              <w:bottom w:val="nil"/>
              <w:right w:val="nil"/>
            </w:tcBorders>
            <w:shd w:val="clear" w:color="auto" w:fill="auto"/>
            <w:noWrap/>
            <w:vAlign w:val="bottom"/>
            <w:hideMark/>
          </w:tcPr>
          <w:p w14:paraId="54B99880" w14:textId="77777777" w:rsidR="008F16FC" w:rsidRPr="008F16FC" w:rsidRDefault="008F16FC" w:rsidP="008F16FC">
            <w:pPr>
              <w:jc w:val="right"/>
              <w:rPr>
                <w:color w:val="000000"/>
                <w:sz w:val="20"/>
                <w:szCs w:val="20"/>
              </w:rPr>
            </w:pPr>
            <w:r w:rsidRPr="008F16FC">
              <w:rPr>
                <w:color w:val="000000"/>
                <w:sz w:val="20"/>
                <w:szCs w:val="20"/>
              </w:rPr>
              <w:t>(5.297)</w:t>
            </w:r>
          </w:p>
        </w:tc>
      </w:tr>
      <w:tr w:rsidR="008F16FC" w:rsidRPr="008F16FC" w14:paraId="4A8DD609" w14:textId="77777777" w:rsidTr="00BA304B">
        <w:trPr>
          <w:trHeight w:val="255"/>
        </w:trPr>
        <w:tc>
          <w:tcPr>
            <w:tcW w:w="4568" w:type="dxa"/>
            <w:tcBorders>
              <w:top w:val="nil"/>
              <w:left w:val="nil"/>
              <w:bottom w:val="nil"/>
              <w:right w:val="nil"/>
            </w:tcBorders>
            <w:shd w:val="clear" w:color="auto" w:fill="auto"/>
            <w:noWrap/>
            <w:vAlign w:val="bottom"/>
            <w:hideMark/>
          </w:tcPr>
          <w:p w14:paraId="2C91DC1C" w14:textId="77777777" w:rsidR="008F16FC" w:rsidRPr="008F16FC" w:rsidRDefault="008F16FC" w:rsidP="008F16FC">
            <w:pPr>
              <w:rPr>
                <w:color w:val="000000"/>
                <w:sz w:val="20"/>
                <w:szCs w:val="20"/>
              </w:rPr>
            </w:pPr>
            <w:r w:rsidRPr="008F16FC">
              <w:rPr>
                <w:color w:val="000000"/>
                <w:sz w:val="20"/>
                <w:szCs w:val="20"/>
              </w:rPr>
              <w:t>Superávit de revaluación</w:t>
            </w:r>
          </w:p>
        </w:tc>
        <w:tc>
          <w:tcPr>
            <w:tcW w:w="1356" w:type="dxa"/>
            <w:tcBorders>
              <w:top w:val="nil"/>
              <w:left w:val="nil"/>
              <w:bottom w:val="nil"/>
              <w:right w:val="nil"/>
            </w:tcBorders>
            <w:shd w:val="clear" w:color="auto" w:fill="auto"/>
            <w:noWrap/>
            <w:vAlign w:val="bottom"/>
            <w:hideMark/>
          </w:tcPr>
          <w:p w14:paraId="72B5FBE8" w14:textId="77777777" w:rsidR="008F16FC" w:rsidRPr="008F16FC" w:rsidRDefault="008F16FC" w:rsidP="008F16FC">
            <w:pPr>
              <w:jc w:val="right"/>
              <w:rPr>
                <w:color w:val="000000"/>
                <w:sz w:val="20"/>
                <w:szCs w:val="20"/>
              </w:rPr>
            </w:pPr>
            <w:r w:rsidRPr="008F16FC">
              <w:rPr>
                <w:color w:val="000000"/>
                <w:sz w:val="20"/>
                <w:szCs w:val="20"/>
              </w:rPr>
              <w:t>0</w:t>
            </w:r>
          </w:p>
        </w:tc>
      </w:tr>
      <w:tr w:rsidR="008F16FC" w:rsidRPr="008F16FC" w14:paraId="7CC5911D" w14:textId="77777777" w:rsidTr="00BA304B">
        <w:trPr>
          <w:trHeight w:val="255"/>
        </w:trPr>
        <w:tc>
          <w:tcPr>
            <w:tcW w:w="4568" w:type="dxa"/>
            <w:tcBorders>
              <w:top w:val="nil"/>
              <w:left w:val="nil"/>
              <w:bottom w:val="nil"/>
              <w:right w:val="nil"/>
            </w:tcBorders>
            <w:shd w:val="clear" w:color="000000" w:fill="A6A6A6"/>
            <w:noWrap/>
            <w:vAlign w:val="bottom"/>
            <w:hideMark/>
          </w:tcPr>
          <w:p w14:paraId="3E5900B2" w14:textId="77777777" w:rsidR="008F16FC" w:rsidRPr="008F16FC" w:rsidRDefault="008F16FC" w:rsidP="008F16FC">
            <w:pPr>
              <w:rPr>
                <w:b/>
                <w:bCs/>
                <w:color w:val="000000"/>
                <w:sz w:val="20"/>
                <w:szCs w:val="20"/>
              </w:rPr>
            </w:pPr>
            <w:r w:rsidRPr="008F16FC">
              <w:rPr>
                <w:b/>
                <w:bCs/>
                <w:color w:val="000000"/>
                <w:sz w:val="20"/>
                <w:szCs w:val="20"/>
              </w:rPr>
              <w:t>Total</w:t>
            </w:r>
          </w:p>
        </w:tc>
        <w:tc>
          <w:tcPr>
            <w:tcW w:w="1356" w:type="dxa"/>
            <w:tcBorders>
              <w:top w:val="nil"/>
              <w:left w:val="nil"/>
              <w:bottom w:val="nil"/>
              <w:right w:val="nil"/>
            </w:tcBorders>
            <w:shd w:val="clear" w:color="000000" w:fill="A6A6A6"/>
            <w:noWrap/>
            <w:vAlign w:val="bottom"/>
            <w:hideMark/>
          </w:tcPr>
          <w:p w14:paraId="777C75F1" w14:textId="77777777" w:rsidR="008F16FC" w:rsidRPr="008F16FC" w:rsidRDefault="008F16FC" w:rsidP="008F16FC">
            <w:pPr>
              <w:jc w:val="right"/>
              <w:rPr>
                <w:b/>
                <w:bCs/>
                <w:color w:val="000000"/>
                <w:sz w:val="20"/>
                <w:szCs w:val="20"/>
              </w:rPr>
            </w:pPr>
            <w:r w:rsidRPr="008F16FC">
              <w:rPr>
                <w:b/>
                <w:bCs/>
                <w:color w:val="000000"/>
                <w:sz w:val="20"/>
                <w:szCs w:val="20"/>
              </w:rPr>
              <w:t>(5.297)</w:t>
            </w:r>
          </w:p>
        </w:tc>
      </w:tr>
      <w:tr w:rsidR="008F16FC" w:rsidRPr="008F16FC" w14:paraId="252B623B" w14:textId="77777777" w:rsidTr="00BA304B">
        <w:trPr>
          <w:trHeight w:val="255"/>
        </w:trPr>
        <w:tc>
          <w:tcPr>
            <w:tcW w:w="4568" w:type="dxa"/>
            <w:tcBorders>
              <w:top w:val="nil"/>
              <w:left w:val="nil"/>
              <w:bottom w:val="nil"/>
              <w:right w:val="nil"/>
            </w:tcBorders>
            <w:shd w:val="clear" w:color="000000" w:fill="A6A6A6"/>
            <w:noWrap/>
            <w:vAlign w:val="bottom"/>
            <w:hideMark/>
          </w:tcPr>
          <w:p w14:paraId="425CFB66" w14:textId="77777777" w:rsidR="008F16FC" w:rsidRPr="008F16FC" w:rsidRDefault="008F16FC" w:rsidP="008F16FC">
            <w:pPr>
              <w:rPr>
                <w:b/>
                <w:bCs/>
                <w:color w:val="000000"/>
                <w:sz w:val="20"/>
                <w:szCs w:val="20"/>
                <w:lang w:val="es-ES"/>
              </w:rPr>
            </w:pPr>
            <w:r w:rsidRPr="008F16FC">
              <w:rPr>
                <w:b/>
                <w:bCs/>
                <w:color w:val="000000"/>
                <w:sz w:val="20"/>
                <w:szCs w:val="20"/>
                <w:lang w:val="es-ES"/>
              </w:rPr>
              <w:t>Resultado integral total del período</w:t>
            </w:r>
          </w:p>
        </w:tc>
        <w:tc>
          <w:tcPr>
            <w:tcW w:w="1356" w:type="dxa"/>
            <w:tcBorders>
              <w:top w:val="nil"/>
              <w:left w:val="nil"/>
              <w:bottom w:val="nil"/>
              <w:right w:val="nil"/>
            </w:tcBorders>
            <w:shd w:val="clear" w:color="000000" w:fill="A6A6A6"/>
            <w:noWrap/>
            <w:vAlign w:val="bottom"/>
            <w:hideMark/>
          </w:tcPr>
          <w:p w14:paraId="04254742" w14:textId="77777777" w:rsidR="008F16FC" w:rsidRPr="008F16FC" w:rsidRDefault="008F16FC" w:rsidP="008F16FC">
            <w:pPr>
              <w:jc w:val="right"/>
              <w:rPr>
                <w:b/>
                <w:bCs/>
                <w:color w:val="000000"/>
                <w:sz w:val="20"/>
                <w:szCs w:val="20"/>
              </w:rPr>
            </w:pPr>
            <w:r w:rsidRPr="008F16FC">
              <w:rPr>
                <w:b/>
                <w:bCs/>
                <w:color w:val="000000"/>
                <w:sz w:val="20"/>
                <w:szCs w:val="20"/>
              </w:rPr>
              <w:t>19.741</w:t>
            </w:r>
          </w:p>
        </w:tc>
      </w:tr>
    </w:tbl>
    <w:p w14:paraId="0C642E34" w14:textId="77777777" w:rsidR="008F16FC" w:rsidRPr="008F16FC" w:rsidRDefault="008F16FC" w:rsidP="008F16FC">
      <w:pPr>
        <w:rPr>
          <w:rFonts w:eastAsia="Calibri"/>
          <w:b/>
          <w:sz w:val="20"/>
          <w:szCs w:val="20"/>
          <w:lang w:val="es-MX"/>
        </w:rPr>
      </w:pPr>
    </w:p>
    <w:p w14:paraId="7A4D4047" w14:textId="6AABD1B5" w:rsidR="008F16FC" w:rsidRPr="008F16FC" w:rsidRDefault="008F16FC" w:rsidP="008F16FC">
      <w:pPr>
        <w:widowControl w:val="0"/>
        <w:jc w:val="both"/>
        <w:rPr>
          <w:rFonts w:eastAsia="Calibri"/>
          <w:sz w:val="20"/>
          <w:szCs w:val="20"/>
          <w:lang w:val="es-MX"/>
        </w:rPr>
      </w:pPr>
      <w:r w:rsidRPr="008F16FC">
        <w:rPr>
          <w:rFonts w:eastAsia="Calibri"/>
          <w:sz w:val="20"/>
          <w:szCs w:val="20"/>
          <w:lang w:val="es-MX"/>
        </w:rPr>
        <w:t>A continuación, se detalla el Estado de Resultados Integral de la Compañía por el período intermedio finalizado el 30 de septiembre de 2019, en comparación a la información contable correspondiente al ejercicio económico finalizado el 30 de junio de 2019 (expresado en moneda constante, en miles de Pesos).</w:t>
      </w:r>
    </w:p>
    <w:p w14:paraId="00A7D743" w14:textId="77777777" w:rsidR="008F16FC" w:rsidRPr="008F16FC" w:rsidRDefault="008F16FC" w:rsidP="008F16FC">
      <w:pPr>
        <w:widowControl w:val="0"/>
        <w:jc w:val="both"/>
        <w:rPr>
          <w:rFonts w:eastAsia="Calibri"/>
          <w:sz w:val="20"/>
          <w:szCs w:val="20"/>
          <w:lang w:val="es-MX"/>
        </w:rPr>
      </w:pPr>
    </w:p>
    <w:tbl>
      <w:tblPr>
        <w:tblW w:w="7288" w:type="dxa"/>
        <w:tblInd w:w="70" w:type="dxa"/>
        <w:tblCellMar>
          <w:left w:w="70" w:type="dxa"/>
          <w:right w:w="70" w:type="dxa"/>
        </w:tblCellMar>
        <w:tblLook w:val="04A0" w:firstRow="1" w:lastRow="0" w:firstColumn="1" w:lastColumn="0" w:noHBand="0" w:noVBand="1"/>
      </w:tblPr>
      <w:tblGrid>
        <w:gridCol w:w="4576"/>
        <w:gridCol w:w="1356"/>
        <w:gridCol w:w="1356"/>
      </w:tblGrid>
      <w:tr w:rsidR="008F16FC" w:rsidRPr="008F16FC" w14:paraId="3BB62292" w14:textId="77777777" w:rsidTr="008F16FC">
        <w:trPr>
          <w:trHeight w:val="255"/>
        </w:trPr>
        <w:tc>
          <w:tcPr>
            <w:tcW w:w="4576" w:type="dxa"/>
            <w:tcBorders>
              <w:top w:val="nil"/>
              <w:left w:val="nil"/>
              <w:bottom w:val="nil"/>
              <w:right w:val="nil"/>
            </w:tcBorders>
            <w:shd w:val="clear" w:color="auto" w:fill="auto"/>
            <w:noWrap/>
            <w:vAlign w:val="bottom"/>
            <w:hideMark/>
          </w:tcPr>
          <w:p w14:paraId="41F9D55E" w14:textId="77777777" w:rsidR="008F16FC" w:rsidRPr="008F16FC" w:rsidRDefault="008F16FC" w:rsidP="008F16FC">
            <w:pPr>
              <w:rPr>
                <w:color w:val="000000"/>
                <w:sz w:val="20"/>
                <w:szCs w:val="20"/>
                <w:lang w:val="es-ES"/>
              </w:rPr>
            </w:pPr>
          </w:p>
        </w:tc>
        <w:tc>
          <w:tcPr>
            <w:tcW w:w="1356" w:type="dxa"/>
            <w:tcBorders>
              <w:top w:val="nil"/>
              <w:left w:val="nil"/>
              <w:bottom w:val="nil"/>
              <w:right w:val="nil"/>
            </w:tcBorders>
            <w:shd w:val="clear" w:color="auto" w:fill="auto"/>
            <w:noWrap/>
            <w:vAlign w:val="bottom"/>
            <w:hideMark/>
          </w:tcPr>
          <w:p w14:paraId="287B618D" w14:textId="77777777" w:rsidR="008F16FC" w:rsidRPr="008F16FC" w:rsidRDefault="008F16FC" w:rsidP="008F16FC">
            <w:pPr>
              <w:jc w:val="right"/>
              <w:rPr>
                <w:b/>
                <w:bCs/>
                <w:color w:val="000000"/>
                <w:sz w:val="20"/>
                <w:szCs w:val="20"/>
              </w:rPr>
            </w:pPr>
            <w:r w:rsidRPr="008F16FC">
              <w:rPr>
                <w:b/>
                <w:bCs/>
                <w:color w:val="000000"/>
                <w:sz w:val="20"/>
                <w:szCs w:val="20"/>
              </w:rPr>
              <w:t>30/09/2019</w:t>
            </w:r>
          </w:p>
        </w:tc>
        <w:tc>
          <w:tcPr>
            <w:tcW w:w="1356" w:type="dxa"/>
            <w:tcBorders>
              <w:top w:val="nil"/>
              <w:left w:val="nil"/>
              <w:bottom w:val="nil"/>
              <w:right w:val="nil"/>
            </w:tcBorders>
            <w:vAlign w:val="bottom"/>
          </w:tcPr>
          <w:p w14:paraId="205A1A78" w14:textId="77777777" w:rsidR="008F16FC" w:rsidRPr="008F16FC" w:rsidRDefault="008F16FC" w:rsidP="008F16FC">
            <w:pPr>
              <w:jc w:val="right"/>
              <w:rPr>
                <w:b/>
                <w:bCs/>
                <w:color w:val="000000"/>
                <w:sz w:val="20"/>
                <w:szCs w:val="20"/>
              </w:rPr>
            </w:pPr>
            <w:r w:rsidRPr="008F16FC">
              <w:rPr>
                <w:b/>
                <w:bCs/>
                <w:color w:val="000000"/>
                <w:sz w:val="20"/>
                <w:szCs w:val="20"/>
              </w:rPr>
              <w:t xml:space="preserve">30/06/2019 </w:t>
            </w:r>
          </w:p>
        </w:tc>
      </w:tr>
      <w:tr w:rsidR="008F16FC" w:rsidRPr="008F16FC" w14:paraId="07245FC7" w14:textId="77777777" w:rsidTr="008F16FC">
        <w:trPr>
          <w:trHeight w:val="255"/>
        </w:trPr>
        <w:tc>
          <w:tcPr>
            <w:tcW w:w="4576" w:type="dxa"/>
            <w:tcBorders>
              <w:top w:val="nil"/>
              <w:left w:val="nil"/>
              <w:bottom w:val="nil"/>
              <w:right w:val="nil"/>
            </w:tcBorders>
            <w:shd w:val="clear" w:color="auto" w:fill="auto"/>
            <w:noWrap/>
            <w:vAlign w:val="bottom"/>
            <w:hideMark/>
          </w:tcPr>
          <w:p w14:paraId="5558FEA0" w14:textId="77777777" w:rsidR="008F16FC" w:rsidRPr="008F16FC" w:rsidRDefault="008F16FC" w:rsidP="008F16FC">
            <w:pPr>
              <w:rPr>
                <w:color w:val="000000"/>
                <w:sz w:val="20"/>
                <w:szCs w:val="20"/>
                <w:lang w:val="es-ES"/>
              </w:rPr>
            </w:pPr>
            <w:r w:rsidRPr="008F16FC">
              <w:rPr>
                <w:color w:val="000000"/>
                <w:sz w:val="20"/>
                <w:szCs w:val="20"/>
                <w:lang w:val="es-ES"/>
              </w:rPr>
              <w:t>Ingresos por contratos de construcción</w:t>
            </w:r>
          </w:p>
        </w:tc>
        <w:tc>
          <w:tcPr>
            <w:tcW w:w="1356" w:type="dxa"/>
            <w:tcBorders>
              <w:top w:val="nil"/>
              <w:left w:val="nil"/>
              <w:bottom w:val="nil"/>
              <w:right w:val="nil"/>
            </w:tcBorders>
            <w:shd w:val="clear" w:color="auto" w:fill="auto"/>
            <w:noWrap/>
            <w:vAlign w:val="bottom"/>
          </w:tcPr>
          <w:p w14:paraId="522D13D2" w14:textId="77777777" w:rsidR="008F16FC" w:rsidRPr="008F16FC" w:rsidRDefault="008F16FC" w:rsidP="008F16FC">
            <w:pPr>
              <w:jc w:val="right"/>
              <w:rPr>
                <w:color w:val="000000"/>
                <w:sz w:val="20"/>
                <w:szCs w:val="20"/>
                <w:lang w:val="es-MX"/>
              </w:rPr>
            </w:pPr>
            <w:r w:rsidRPr="008F16FC">
              <w:rPr>
                <w:color w:val="000000"/>
                <w:sz w:val="20"/>
                <w:szCs w:val="20"/>
                <w:lang w:val="es-MX"/>
              </w:rPr>
              <w:t>3.010.407</w:t>
            </w:r>
          </w:p>
        </w:tc>
        <w:tc>
          <w:tcPr>
            <w:tcW w:w="1356" w:type="dxa"/>
            <w:tcBorders>
              <w:top w:val="nil"/>
              <w:left w:val="nil"/>
              <w:bottom w:val="nil"/>
              <w:right w:val="nil"/>
            </w:tcBorders>
            <w:vAlign w:val="bottom"/>
          </w:tcPr>
          <w:p w14:paraId="265E3502" w14:textId="77777777" w:rsidR="008F16FC" w:rsidRPr="008F16FC" w:rsidRDefault="008F16FC" w:rsidP="008F16FC">
            <w:pPr>
              <w:jc w:val="right"/>
              <w:rPr>
                <w:color w:val="000000"/>
                <w:sz w:val="20"/>
                <w:szCs w:val="20"/>
                <w:lang w:val="es-MX"/>
              </w:rPr>
            </w:pPr>
            <w:r w:rsidRPr="008F16FC">
              <w:rPr>
                <w:color w:val="000000"/>
                <w:sz w:val="20"/>
                <w:szCs w:val="20"/>
              </w:rPr>
              <w:t>8.497.127</w:t>
            </w:r>
          </w:p>
        </w:tc>
      </w:tr>
      <w:tr w:rsidR="008F16FC" w:rsidRPr="008F16FC" w14:paraId="3C00B4B4" w14:textId="77777777" w:rsidTr="008F16FC">
        <w:trPr>
          <w:trHeight w:val="255"/>
        </w:trPr>
        <w:tc>
          <w:tcPr>
            <w:tcW w:w="4576" w:type="dxa"/>
            <w:tcBorders>
              <w:top w:val="nil"/>
              <w:left w:val="nil"/>
              <w:bottom w:val="nil"/>
              <w:right w:val="nil"/>
            </w:tcBorders>
            <w:shd w:val="clear" w:color="auto" w:fill="auto"/>
            <w:noWrap/>
            <w:vAlign w:val="bottom"/>
            <w:hideMark/>
          </w:tcPr>
          <w:p w14:paraId="197B04CD" w14:textId="77777777" w:rsidR="008F16FC" w:rsidRPr="008F16FC" w:rsidRDefault="008F16FC" w:rsidP="008F16FC">
            <w:pPr>
              <w:rPr>
                <w:color w:val="000000"/>
                <w:sz w:val="20"/>
                <w:szCs w:val="20"/>
                <w:lang w:val="es-ES"/>
              </w:rPr>
            </w:pPr>
            <w:r w:rsidRPr="008F16FC">
              <w:rPr>
                <w:color w:val="000000"/>
                <w:sz w:val="20"/>
                <w:szCs w:val="20"/>
                <w:lang w:val="es-ES"/>
              </w:rPr>
              <w:t>Costo de ejecución de los contratos</w:t>
            </w:r>
          </w:p>
        </w:tc>
        <w:tc>
          <w:tcPr>
            <w:tcW w:w="1356" w:type="dxa"/>
            <w:tcBorders>
              <w:top w:val="nil"/>
              <w:left w:val="nil"/>
              <w:bottom w:val="nil"/>
              <w:right w:val="nil"/>
            </w:tcBorders>
            <w:shd w:val="clear" w:color="auto" w:fill="auto"/>
            <w:noWrap/>
            <w:vAlign w:val="bottom"/>
          </w:tcPr>
          <w:p w14:paraId="1F73E618" w14:textId="77777777" w:rsidR="008F16FC" w:rsidRPr="008F16FC" w:rsidRDefault="008F16FC" w:rsidP="008F16FC">
            <w:pPr>
              <w:jc w:val="right"/>
              <w:rPr>
                <w:color w:val="000000"/>
                <w:sz w:val="20"/>
                <w:szCs w:val="20"/>
                <w:lang w:val="es-MX"/>
              </w:rPr>
            </w:pPr>
            <w:r w:rsidRPr="008F16FC">
              <w:rPr>
                <w:color w:val="000000"/>
                <w:sz w:val="20"/>
                <w:szCs w:val="20"/>
                <w:lang w:val="es-MX"/>
              </w:rPr>
              <w:t>(2.165.603)</w:t>
            </w:r>
          </w:p>
        </w:tc>
        <w:tc>
          <w:tcPr>
            <w:tcW w:w="1356" w:type="dxa"/>
            <w:tcBorders>
              <w:top w:val="nil"/>
              <w:left w:val="nil"/>
              <w:bottom w:val="nil"/>
              <w:right w:val="nil"/>
            </w:tcBorders>
            <w:vAlign w:val="bottom"/>
          </w:tcPr>
          <w:p w14:paraId="3C4EF458" w14:textId="77777777" w:rsidR="008F16FC" w:rsidRPr="008F16FC" w:rsidRDefault="008F16FC" w:rsidP="008F16FC">
            <w:pPr>
              <w:jc w:val="right"/>
              <w:rPr>
                <w:color w:val="000000"/>
                <w:sz w:val="20"/>
                <w:szCs w:val="20"/>
                <w:lang w:val="es-MX"/>
              </w:rPr>
            </w:pPr>
            <w:r w:rsidRPr="008F16FC">
              <w:rPr>
                <w:color w:val="000000"/>
                <w:sz w:val="20"/>
                <w:szCs w:val="20"/>
                <w:lang w:val="es-AR"/>
              </w:rPr>
              <w:t>(6.361.330)</w:t>
            </w:r>
          </w:p>
        </w:tc>
      </w:tr>
      <w:tr w:rsidR="008F16FC" w:rsidRPr="008F16FC" w14:paraId="4DFDFAA5" w14:textId="77777777" w:rsidTr="008F16FC">
        <w:trPr>
          <w:trHeight w:val="255"/>
        </w:trPr>
        <w:tc>
          <w:tcPr>
            <w:tcW w:w="4576" w:type="dxa"/>
            <w:tcBorders>
              <w:top w:val="nil"/>
              <w:left w:val="nil"/>
              <w:bottom w:val="nil"/>
              <w:right w:val="nil"/>
            </w:tcBorders>
            <w:shd w:val="clear" w:color="000000" w:fill="D9D9D9"/>
            <w:noWrap/>
            <w:vAlign w:val="bottom"/>
            <w:hideMark/>
          </w:tcPr>
          <w:p w14:paraId="022123FA" w14:textId="77777777" w:rsidR="008F16FC" w:rsidRPr="008F16FC" w:rsidRDefault="008F16FC" w:rsidP="008F16FC">
            <w:pPr>
              <w:rPr>
                <w:b/>
                <w:bCs/>
                <w:color w:val="000000"/>
                <w:sz w:val="20"/>
                <w:szCs w:val="20"/>
                <w:lang w:val="es-AR"/>
              </w:rPr>
            </w:pPr>
            <w:r w:rsidRPr="008F16FC">
              <w:rPr>
                <w:b/>
                <w:bCs/>
                <w:color w:val="000000"/>
                <w:sz w:val="20"/>
                <w:szCs w:val="20"/>
                <w:lang w:val="es-AR"/>
              </w:rPr>
              <w:t>Ganancia Bruta</w:t>
            </w:r>
          </w:p>
        </w:tc>
        <w:tc>
          <w:tcPr>
            <w:tcW w:w="1356" w:type="dxa"/>
            <w:tcBorders>
              <w:top w:val="nil"/>
              <w:left w:val="nil"/>
              <w:bottom w:val="nil"/>
              <w:right w:val="nil"/>
            </w:tcBorders>
            <w:shd w:val="clear" w:color="000000" w:fill="D9D9D9"/>
            <w:noWrap/>
            <w:vAlign w:val="bottom"/>
          </w:tcPr>
          <w:p w14:paraId="4C6DE557" w14:textId="77777777" w:rsidR="008F16FC" w:rsidRPr="008F16FC" w:rsidRDefault="008F16FC" w:rsidP="008F16FC">
            <w:pPr>
              <w:jc w:val="right"/>
              <w:rPr>
                <w:b/>
                <w:bCs/>
                <w:color w:val="000000"/>
                <w:sz w:val="20"/>
                <w:szCs w:val="20"/>
                <w:lang w:val="es-AR"/>
              </w:rPr>
            </w:pPr>
            <w:r w:rsidRPr="008F16FC">
              <w:rPr>
                <w:b/>
                <w:bCs/>
                <w:color w:val="000000"/>
                <w:sz w:val="20"/>
                <w:szCs w:val="20"/>
                <w:lang w:val="es-AR"/>
              </w:rPr>
              <w:t>844.805</w:t>
            </w:r>
          </w:p>
        </w:tc>
        <w:tc>
          <w:tcPr>
            <w:tcW w:w="1356" w:type="dxa"/>
            <w:tcBorders>
              <w:top w:val="nil"/>
              <w:left w:val="nil"/>
              <w:bottom w:val="nil"/>
              <w:right w:val="nil"/>
            </w:tcBorders>
            <w:shd w:val="clear" w:color="000000" w:fill="D9D9D9"/>
            <w:vAlign w:val="bottom"/>
          </w:tcPr>
          <w:p w14:paraId="2F042B4D" w14:textId="77777777" w:rsidR="008F16FC" w:rsidRPr="008F16FC" w:rsidRDefault="008F16FC" w:rsidP="008F16FC">
            <w:pPr>
              <w:jc w:val="right"/>
              <w:rPr>
                <w:b/>
                <w:bCs/>
                <w:color w:val="000000"/>
                <w:sz w:val="20"/>
                <w:szCs w:val="20"/>
                <w:lang w:val="es-AR"/>
              </w:rPr>
            </w:pPr>
            <w:r w:rsidRPr="008F16FC">
              <w:rPr>
                <w:b/>
                <w:bCs/>
                <w:color w:val="000000"/>
                <w:sz w:val="20"/>
                <w:szCs w:val="20"/>
                <w:lang w:val="es-AR"/>
              </w:rPr>
              <w:t>2.135.797</w:t>
            </w:r>
          </w:p>
        </w:tc>
      </w:tr>
      <w:tr w:rsidR="008F16FC" w:rsidRPr="008F16FC" w14:paraId="6F5A974A" w14:textId="77777777" w:rsidTr="008F16FC">
        <w:trPr>
          <w:trHeight w:val="255"/>
        </w:trPr>
        <w:tc>
          <w:tcPr>
            <w:tcW w:w="4576" w:type="dxa"/>
            <w:tcBorders>
              <w:top w:val="nil"/>
              <w:left w:val="nil"/>
              <w:bottom w:val="nil"/>
              <w:right w:val="nil"/>
            </w:tcBorders>
            <w:shd w:val="clear" w:color="auto" w:fill="auto"/>
            <w:noWrap/>
            <w:vAlign w:val="bottom"/>
            <w:hideMark/>
          </w:tcPr>
          <w:p w14:paraId="23856555" w14:textId="77777777" w:rsidR="008F16FC" w:rsidRPr="008F16FC" w:rsidRDefault="008F16FC" w:rsidP="008F16FC">
            <w:pPr>
              <w:rPr>
                <w:color w:val="000000"/>
                <w:sz w:val="20"/>
                <w:szCs w:val="20"/>
                <w:lang w:val="es-AR"/>
              </w:rPr>
            </w:pPr>
          </w:p>
        </w:tc>
        <w:tc>
          <w:tcPr>
            <w:tcW w:w="1356" w:type="dxa"/>
            <w:tcBorders>
              <w:top w:val="nil"/>
              <w:left w:val="nil"/>
              <w:bottom w:val="nil"/>
              <w:right w:val="nil"/>
            </w:tcBorders>
            <w:shd w:val="clear" w:color="auto" w:fill="auto"/>
            <w:noWrap/>
            <w:vAlign w:val="bottom"/>
          </w:tcPr>
          <w:p w14:paraId="4F8D3C1A" w14:textId="77777777" w:rsidR="008F16FC" w:rsidRPr="008F16FC" w:rsidRDefault="008F16FC" w:rsidP="008F16FC">
            <w:pPr>
              <w:rPr>
                <w:color w:val="000000"/>
                <w:sz w:val="20"/>
                <w:szCs w:val="20"/>
                <w:lang w:val="es-AR"/>
              </w:rPr>
            </w:pPr>
          </w:p>
        </w:tc>
        <w:tc>
          <w:tcPr>
            <w:tcW w:w="1356" w:type="dxa"/>
            <w:tcBorders>
              <w:top w:val="nil"/>
              <w:left w:val="nil"/>
              <w:bottom w:val="nil"/>
              <w:right w:val="nil"/>
            </w:tcBorders>
            <w:vAlign w:val="bottom"/>
          </w:tcPr>
          <w:p w14:paraId="7847A38F" w14:textId="77777777" w:rsidR="008F16FC" w:rsidRPr="008F16FC" w:rsidRDefault="008F16FC" w:rsidP="008F16FC">
            <w:pPr>
              <w:rPr>
                <w:color w:val="000000"/>
                <w:sz w:val="20"/>
                <w:szCs w:val="20"/>
                <w:lang w:val="es-AR"/>
              </w:rPr>
            </w:pPr>
          </w:p>
        </w:tc>
      </w:tr>
      <w:tr w:rsidR="008F16FC" w:rsidRPr="008F16FC" w14:paraId="0CCB471D" w14:textId="77777777" w:rsidTr="008F16FC">
        <w:trPr>
          <w:trHeight w:val="255"/>
        </w:trPr>
        <w:tc>
          <w:tcPr>
            <w:tcW w:w="4576" w:type="dxa"/>
            <w:tcBorders>
              <w:top w:val="nil"/>
              <w:left w:val="nil"/>
              <w:bottom w:val="nil"/>
              <w:right w:val="nil"/>
            </w:tcBorders>
            <w:shd w:val="clear" w:color="auto" w:fill="auto"/>
            <w:noWrap/>
            <w:vAlign w:val="bottom"/>
            <w:hideMark/>
          </w:tcPr>
          <w:p w14:paraId="016AD2EB" w14:textId="77777777" w:rsidR="008F16FC" w:rsidRPr="008F16FC" w:rsidRDefault="008F16FC" w:rsidP="008F16FC">
            <w:pPr>
              <w:rPr>
                <w:color w:val="000000"/>
                <w:sz w:val="20"/>
                <w:szCs w:val="20"/>
                <w:lang w:val="es-AR"/>
              </w:rPr>
            </w:pPr>
            <w:r w:rsidRPr="008F16FC">
              <w:rPr>
                <w:color w:val="000000"/>
                <w:sz w:val="20"/>
                <w:szCs w:val="20"/>
                <w:lang w:val="es-AR"/>
              </w:rPr>
              <w:t>Gastos de administración</w:t>
            </w:r>
          </w:p>
        </w:tc>
        <w:tc>
          <w:tcPr>
            <w:tcW w:w="1356" w:type="dxa"/>
            <w:tcBorders>
              <w:top w:val="nil"/>
              <w:left w:val="nil"/>
              <w:bottom w:val="nil"/>
              <w:right w:val="nil"/>
            </w:tcBorders>
            <w:shd w:val="clear" w:color="auto" w:fill="auto"/>
            <w:noWrap/>
            <w:vAlign w:val="bottom"/>
          </w:tcPr>
          <w:p w14:paraId="7A2A3D89" w14:textId="77777777" w:rsidR="008F16FC" w:rsidRPr="008F16FC" w:rsidRDefault="008F16FC" w:rsidP="008F16FC">
            <w:pPr>
              <w:jc w:val="right"/>
              <w:rPr>
                <w:color w:val="000000"/>
                <w:sz w:val="20"/>
                <w:szCs w:val="20"/>
                <w:lang w:val="es-AR"/>
              </w:rPr>
            </w:pPr>
            <w:r w:rsidRPr="008F16FC">
              <w:rPr>
                <w:color w:val="000000"/>
                <w:sz w:val="20"/>
                <w:szCs w:val="20"/>
                <w:lang w:val="es-AR"/>
              </w:rPr>
              <w:t>(181.026)</w:t>
            </w:r>
          </w:p>
        </w:tc>
        <w:tc>
          <w:tcPr>
            <w:tcW w:w="1356" w:type="dxa"/>
            <w:tcBorders>
              <w:top w:val="nil"/>
              <w:left w:val="nil"/>
              <w:bottom w:val="nil"/>
              <w:right w:val="nil"/>
            </w:tcBorders>
            <w:vAlign w:val="bottom"/>
          </w:tcPr>
          <w:p w14:paraId="4187AB81" w14:textId="77777777" w:rsidR="008F16FC" w:rsidRPr="008F16FC" w:rsidRDefault="008F16FC" w:rsidP="008F16FC">
            <w:pPr>
              <w:jc w:val="right"/>
              <w:rPr>
                <w:color w:val="000000"/>
                <w:sz w:val="20"/>
                <w:szCs w:val="20"/>
                <w:lang w:val="es-AR"/>
              </w:rPr>
            </w:pPr>
            <w:r w:rsidRPr="008F16FC">
              <w:rPr>
                <w:color w:val="000000"/>
                <w:sz w:val="20"/>
                <w:szCs w:val="20"/>
                <w:lang w:val="es-AR"/>
              </w:rPr>
              <w:t>(680.727)</w:t>
            </w:r>
          </w:p>
        </w:tc>
      </w:tr>
      <w:tr w:rsidR="008F16FC" w:rsidRPr="008F16FC" w14:paraId="07CB020E" w14:textId="77777777" w:rsidTr="008F16FC">
        <w:trPr>
          <w:trHeight w:val="255"/>
        </w:trPr>
        <w:tc>
          <w:tcPr>
            <w:tcW w:w="4576" w:type="dxa"/>
            <w:tcBorders>
              <w:top w:val="nil"/>
              <w:left w:val="nil"/>
              <w:bottom w:val="nil"/>
              <w:right w:val="nil"/>
            </w:tcBorders>
            <w:shd w:val="clear" w:color="auto" w:fill="auto"/>
            <w:noWrap/>
            <w:vAlign w:val="bottom"/>
            <w:hideMark/>
          </w:tcPr>
          <w:p w14:paraId="6D73CF71" w14:textId="77777777" w:rsidR="008F16FC" w:rsidRPr="008F16FC" w:rsidRDefault="008F16FC" w:rsidP="008F16FC">
            <w:pPr>
              <w:rPr>
                <w:color w:val="000000"/>
                <w:sz w:val="20"/>
                <w:szCs w:val="20"/>
                <w:lang w:val="es-AR"/>
              </w:rPr>
            </w:pPr>
            <w:r w:rsidRPr="008F16FC">
              <w:rPr>
                <w:color w:val="000000"/>
                <w:sz w:val="20"/>
                <w:szCs w:val="20"/>
                <w:lang w:val="es-AR"/>
              </w:rPr>
              <w:t>Gastos de comercialización</w:t>
            </w:r>
          </w:p>
        </w:tc>
        <w:tc>
          <w:tcPr>
            <w:tcW w:w="1356" w:type="dxa"/>
            <w:tcBorders>
              <w:top w:val="nil"/>
              <w:left w:val="nil"/>
              <w:bottom w:val="nil"/>
              <w:right w:val="nil"/>
            </w:tcBorders>
            <w:shd w:val="clear" w:color="auto" w:fill="auto"/>
            <w:noWrap/>
            <w:vAlign w:val="bottom"/>
          </w:tcPr>
          <w:p w14:paraId="0EEA0CD4" w14:textId="77777777" w:rsidR="008F16FC" w:rsidRPr="008F16FC" w:rsidRDefault="008F16FC" w:rsidP="008F16FC">
            <w:pPr>
              <w:jc w:val="right"/>
              <w:rPr>
                <w:color w:val="000000"/>
                <w:sz w:val="20"/>
                <w:szCs w:val="20"/>
                <w:lang w:val="es-AR"/>
              </w:rPr>
            </w:pPr>
            <w:r w:rsidRPr="008F16FC">
              <w:rPr>
                <w:color w:val="000000"/>
                <w:sz w:val="20"/>
                <w:szCs w:val="20"/>
                <w:lang w:val="es-AR"/>
              </w:rPr>
              <w:t>(29.902)</w:t>
            </w:r>
          </w:p>
        </w:tc>
        <w:tc>
          <w:tcPr>
            <w:tcW w:w="1356" w:type="dxa"/>
            <w:tcBorders>
              <w:top w:val="nil"/>
              <w:left w:val="nil"/>
              <w:bottom w:val="nil"/>
              <w:right w:val="nil"/>
            </w:tcBorders>
            <w:vAlign w:val="bottom"/>
          </w:tcPr>
          <w:p w14:paraId="43FACE59" w14:textId="77777777" w:rsidR="008F16FC" w:rsidRPr="008F16FC" w:rsidRDefault="008F16FC" w:rsidP="008F16FC">
            <w:pPr>
              <w:jc w:val="right"/>
              <w:rPr>
                <w:color w:val="000000"/>
                <w:sz w:val="20"/>
                <w:szCs w:val="20"/>
              </w:rPr>
            </w:pPr>
            <w:r w:rsidRPr="008F16FC">
              <w:rPr>
                <w:color w:val="000000"/>
                <w:sz w:val="20"/>
                <w:szCs w:val="20"/>
                <w:lang w:val="es-AR"/>
              </w:rPr>
              <w:t>(156.012</w:t>
            </w:r>
            <w:r w:rsidRPr="008F16FC">
              <w:rPr>
                <w:color w:val="000000"/>
                <w:sz w:val="20"/>
                <w:szCs w:val="20"/>
              </w:rPr>
              <w:t>)</w:t>
            </w:r>
          </w:p>
        </w:tc>
      </w:tr>
      <w:tr w:rsidR="008F16FC" w:rsidRPr="008F16FC" w14:paraId="3B81C753" w14:textId="77777777" w:rsidTr="008F16FC">
        <w:trPr>
          <w:trHeight w:val="255"/>
        </w:trPr>
        <w:tc>
          <w:tcPr>
            <w:tcW w:w="4576" w:type="dxa"/>
            <w:tcBorders>
              <w:top w:val="nil"/>
              <w:left w:val="nil"/>
              <w:bottom w:val="nil"/>
              <w:right w:val="nil"/>
            </w:tcBorders>
            <w:shd w:val="clear" w:color="auto" w:fill="auto"/>
            <w:noWrap/>
            <w:vAlign w:val="bottom"/>
            <w:hideMark/>
          </w:tcPr>
          <w:p w14:paraId="121A7EC6" w14:textId="77777777" w:rsidR="008F16FC" w:rsidRPr="008F16FC" w:rsidRDefault="008F16FC" w:rsidP="008F16FC">
            <w:pPr>
              <w:rPr>
                <w:color w:val="000000"/>
                <w:sz w:val="20"/>
                <w:szCs w:val="20"/>
              </w:rPr>
            </w:pPr>
            <w:r w:rsidRPr="008F16FC">
              <w:rPr>
                <w:color w:val="000000"/>
                <w:sz w:val="20"/>
                <w:szCs w:val="20"/>
              </w:rPr>
              <w:t>Otros ingresos</w:t>
            </w:r>
          </w:p>
        </w:tc>
        <w:tc>
          <w:tcPr>
            <w:tcW w:w="1356" w:type="dxa"/>
            <w:tcBorders>
              <w:top w:val="nil"/>
              <w:left w:val="nil"/>
              <w:bottom w:val="nil"/>
              <w:right w:val="nil"/>
            </w:tcBorders>
            <w:shd w:val="clear" w:color="auto" w:fill="auto"/>
            <w:noWrap/>
            <w:vAlign w:val="bottom"/>
          </w:tcPr>
          <w:p w14:paraId="1D7E2170" w14:textId="77777777" w:rsidR="008F16FC" w:rsidRPr="008F16FC" w:rsidRDefault="008F16FC" w:rsidP="008F16FC">
            <w:pPr>
              <w:jc w:val="right"/>
              <w:rPr>
                <w:color w:val="000000"/>
                <w:sz w:val="20"/>
                <w:szCs w:val="20"/>
              </w:rPr>
            </w:pPr>
            <w:r w:rsidRPr="008F16FC">
              <w:rPr>
                <w:color w:val="000000"/>
                <w:sz w:val="20"/>
                <w:szCs w:val="20"/>
              </w:rPr>
              <w:t>7.039</w:t>
            </w:r>
          </w:p>
        </w:tc>
        <w:tc>
          <w:tcPr>
            <w:tcW w:w="1356" w:type="dxa"/>
            <w:tcBorders>
              <w:top w:val="nil"/>
              <w:left w:val="nil"/>
              <w:bottom w:val="nil"/>
              <w:right w:val="nil"/>
            </w:tcBorders>
            <w:vAlign w:val="bottom"/>
          </w:tcPr>
          <w:p w14:paraId="0AD57F50" w14:textId="77777777" w:rsidR="008F16FC" w:rsidRPr="008F16FC" w:rsidRDefault="008F16FC" w:rsidP="008F16FC">
            <w:pPr>
              <w:jc w:val="right"/>
              <w:rPr>
                <w:color w:val="000000"/>
                <w:sz w:val="20"/>
                <w:szCs w:val="20"/>
              </w:rPr>
            </w:pPr>
            <w:r w:rsidRPr="008F16FC">
              <w:rPr>
                <w:color w:val="000000"/>
                <w:sz w:val="20"/>
                <w:szCs w:val="20"/>
              </w:rPr>
              <w:t>31.472</w:t>
            </w:r>
          </w:p>
        </w:tc>
      </w:tr>
      <w:tr w:rsidR="008F16FC" w:rsidRPr="008F16FC" w14:paraId="5F4B26F5" w14:textId="77777777" w:rsidTr="008F16FC">
        <w:trPr>
          <w:trHeight w:val="255"/>
        </w:trPr>
        <w:tc>
          <w:tcPr>
            <w:tcW w:w="4576" w:type="dxa"/>
            <w:tcBorders>
              <w:top w:val="nil"/>
              <w:left w:val="nil"/>
              <w:bottom w:val="nil"/>
              <w:right w:val="nil"/>
            </w:tcBorders>
            <w:shd w:val="clear" w:color="auto" w:fill="auto"/>
            <w:noWrap/>
            <w:vAlign w:val="bottom"/>
            <w:hideMark/>
          </w:tcPr>
          <w:p w14:paraId="7CC89BE2" w14:textId="77777777" w:rsidR="008F16FC" w:rsidRPr="008F16FC" w:rsidRDefault="008F16FC" w:rsidP="008F16FC">
            <w:pPr>
              <w:rPr>
                <w:color w:val="000000"/>
                <w:sz w:val="20"/>
                <w:szCs w:val="20"/>
              </w:rPr>
            </w:pPr>
            <w:r w:rsidRPr="008F16FC">
              <w:rPr>
                <w:color w:val="000000"/>
                <w:sz w:val="20"/>
                <w:szCs w:val="20"/>
              </w:rPr>
              <w:t>Otros gastos</w:t>
            </w:r>
          </w:p>
        </w:tc>
        <w:tc>
          <w:tcPr>
            <w:tcW w:w="1356" w:type="dxa"/>
            <w:tcBorders>
              <w:top w:val="nil"/>
              <w:left w:val="nil"/>
              <w:bottom w:val="nil"/>
              <w:right w:val="nil"/>
            </w:tcBorders>
            <w:shd w:val="clear" w:color="auto" w:fill="auto"/>
            <w:noWrap/>
            <w:vAlign w:val="bottom"/>
          </w:tcPr>
          <w:p w14:paraId="37111A0C" w14:textId="77777777" w:rsidR="008F16FC" w:rsidRPr="008F16FC" w:rsidRDefault="008F16FC" w:rsidP="008F16FC">
            <w:pPr>
              <w:jc w:val="right"/>
              <w:rPr>
                <w:color w:val="000000"/>
                <w:sz w:val="20"/>
                <w:szCs w:val="20"/>
              </w:rPr>
            </w:pPr>
            <w:r w:rsidRPr="008F16FC">
              <w:rPr>
                <w:color w:val="000000"/>
                <w:sz w:val="20"/>
                <w:szCs w:val="20"/>
              </w:rPr>
              <w:t>(15.227)</w:t>
            </w:r>
          </w:p>
        </w:tc>
        <w:tc>
          <w:tcPr>
            <w:tcW w:w="1356" w:type="dxa"/>
            <w:tcBorders>
              <w:top w:val="nil"/>
              <w:left w:val="nil"/>
              <w:bottom w:val="nil"/>
              <w:right w:val="nil"/>
            </w:tcBorders>
            <w:vAlign w:val="bottom"/>
          </w:tcPr>
          <w:p w14:paraId="26211C65" w14:textId="77777777" w:rsidR="008F16FC" w:rsidRPr="008F16FC" w:rsidRDefault="008F16FC" w:rsidP="008F16FC">
            <w:pPr>
              <w:jc w:val="right"/>
              <w:rPr>
                <w:color w:val="000000"/>
                <w:sz w:val="20"/>
                <w:szCs w:val="20"/>
              </w:rPr>
            </w:pPr>
            <w:r w:rsidRPr="008F16FC">
              <w:rPr>
                <w:color w:val="000000"/>
                <w:sz w:val="20"/>
                <w:szCs w:val="20"/>
              </w:rPr>
              <w:t>(74.559)</w:t>
            </w:r>
          </w:p>
        </w:tc>
      </w:tr>
      <w:tr w:rsidR="008F16FC" w:rsidRPr="008F16FC" w14:paraId="33CD730E" w14:textId="77777777" w:rsidTr="008F16FC">
        <w:trPr>
          <w:trHeight w:val="255"/>
        </w:trPr>
        <w:tc>
          <w:tcPr>
            <w:tcW w:w="4576" w:type="dxa"/>
            <w:tcBorders>
              <w:top w:val="nil"/>
              <w:left w:val="nil"/>
              <w:bottom w:val="nil"/>
              <w:right w:val="nil"/>
            </w:tcBorders>
            <w:shd w:val="clear" w:color="000000" w:fill="D9D9D9"/>
            <w:noWrap/>
            <w:vAlign w:val="bottom"/>
            <w:hideMark/>
          </w:tcPr>
          <w:p w14:paraId="61225DCB" w14:textId="77777777" w:rsidR="008F16FC" w:rsidRPr="008F16FC" w:rsidRDefault="008F16FC" w:rsidP="008F16FC">
            <w:pPr>
              <w:rPr>
                <w:b/>
                <w:bCs/>
                <w:color w:val="000000"/>
                <w:sz w:val="20"/>
                <w:szCs w:val="20"/>
              </w:rPr>
            </w:pPr>
            <w:r w:rsidRPr="008F16FC">
              <w:rPr>
                <w:b/>
                <w:bCs/>
                <w:color w:val="000000"/>
                <w:sz w:val="20"/>
                <w:szCs w:val="20"/>
              </w:rPr>
              <w:t>Ganancia Operativa</w:t>
            </w:r>
          </w:p>
        </w:tc>
        <w:tc>
          <w:tcPr>
            <w:tcW w:w="1356" w:type="dxa"/>
            <w:tcBorders>
              <w:top w:val="nil"/>
              <w:left w:val="nil"/>
              <w:bottom w:val="nil"/>
              <w:right w:val="nil"/>
            </w:tcBorders>
            <w:shd w:val="clear" w:color="000000" w:fill="D9D9D9"/>
            <w:noWrap/>
            <w:vAlign w:val="bottom"/>
          </w:tcPr>
          <w:p w14:paraId="7E7517F3" w14:textId="77777777" w:rsidR="008F16FC" w:rsidRPr="008F16FC" w:rsidRDefault="008F16FC" w:rsidP="008F16FC">
            <w:pPr>
              <w:jc w:val="right"/>
              <w:rPr>
                <w:b/>
                <w:bCs/>
                <w:color w:val="000000"/>
                <w:sz w:val="20"/>
                <w:szCs w:val="20"/>
              </w:rPr>
            </w:pPr>
            <w:r w:rsidRPr="008F16FC">
              <w:rPr>
                <w:b/>
                <w:bCs/>
                <w:color w:val="000000"/>
                <w:sz w:val="20"/>
                <w:szCs w:val="20"/>
              </w:rPr>
              <w:t>625.689</w:t>
            </w:r>
          </w:p>
        </w:tc>
        <w:tc>
          <w:tcPr>
            <w:tcW w:w="1356" w:type="dxa"/>
            <w:tcBorders>
              <w:top w:val="nil"/>
              <w:left w:val="nil"/>
              <w:bottom w:val="nil"/>
              <w:right w:val="nil"/>
            </w:tcBorders>
            <w:shd w:val="clear" w:color="000000" w:fill="D9D9D9"/>
            <w:vAlign w:val="bottom"/>
          </w:tcPr>
          <w:p w14:paraId="6D24B1FF" w14:textId="77777777" w:rsidR="008F16FC" w:rsidRPr="008F16FC" w:rsidRDefault="008F16FC" w:rsidP="008F16FC">
            <w:pPr>
              <w:jc w:val="right"/>
              <w:rPr>
                <w:b/>
                <w:bCs/>
                <w:color w:val="000000"/>
                <w:sz w:val="20"/>
                <w:szCs w:val="20"/>
              </w:rPr>
            </w:pPr>
            <w:r w:rsidRPr="008F16FC">
              <w:rPr>
                <w:b/>
                <w:bCs/>
                <w:color w:val="000000"/>
                <w:sz w:val="20"/>
                <w:szCs w:val="20"/>
              </w:rPr>
              <w:t>1.255.911</w:t>
            </w:r>
          </w:p>
        </w:tc>
      </w:tr>
      <w:tr w:rsidR="008F16FC" w:rsidRPr="008F16FC" w14:paraId="601E0F83" w14:textId="77777777" w:rsidTr="008F16FC">
        <w:trPr>
          <w:trHeight w:val="255"/>
        </w:trPr>
        <w:tc>
          <w:tcPr>
            <w:tcW w:w="4576" w:type="dxa"/>
            <w:tcBorders>
              <w:top w:val="nil"/>
              <w:left w:val="nil"/>
              <w:bottom w:val="nil"/>
              <w:right w:val="nil"/>
            </w:tcBorders>
            <w:shd w:val="clear" w:color="auto" w:fill="auto"/>
            <w:noWrap/>
            <w:vAlign w:val="bottom"/>
            <w:hideMark/>
          </w:tcPr>
          <w:p w14:paraId="6BC3BDD2"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tcPr>
          <w:p w14:paraId="4F56040B" w14:textId="77777777" w:rsidR="008F16FC" w:rsidRPr="008F16FC" w:rsidRDefault="008F16FC" w:rsidP="008F16FC">
            <w:pPr>
              <w:rPr>
                <w:color w:val="000000"/>
                <w:sz w:val="20"/>
                <w:szCs w:val="20"/>
              </w:rPr>
            </w:pPr>
          </w:p>
        </w:tc>
        <w:tc>
          <w:tcPr>
            <w:tcW w:w="1356" w:type="dxa"/>
            <w:tcBorders>
              <w:top w:val="nil"/>
              <w:left w:val="nil"/>
              <w:bottom w:val="nil"/>
              <w:right w:val="nil"/>
            </w:tcBorders>
            <w:vAlign w:val="bottom"/>
          </w:tcPr>
          <w:p w14:paraId="31E6036C" w14:textId="77777777" w:rsidR="008F16FC" w:rsidRPr="008F16FC" w:rsidRDefault="008F16FC" w:rsidP="008F16FC">
            <w:pPr>
              <w:rPr>
                <w:color w:val="000000"/>
                <w:sz w:val="20"/>
                <w:szCs w:val="20"/>
              </w:rPr>
            </w:pPr>
          </w:p>
        </w:tc>
      </w:tr>
      <w:tr w:rsidR="008F16FC" w:rsidRPr="008F16FC" w14:paraId="52DA36A9" w14:textId="77777777" w:rsidTr="008F16FC">
        <w:trPr>
          <w:trHeight w:val="255"/>
        </w:trPr>
        <w:tc>
          <w:tcPr>
            <w:tcW w:w="4576" w:type="dxa"/>
            <w:tcBorders>
              <w:top w:val="nil"/>
              <w:left w:val="nil"/>
              <w:bottom w:val="nil"/>
              <w:right w:val="nil"/>
            </w:tcBorders>
            <w:shd w:val="clear" w:color="auto" w:fill="auto"/>
            <w:noWrap/>
            <w:vAlign w:val="bottom"/>
            <w:hideMark/>
          </w:tcPr>
          <w:p w14:paraId="7C460727" w14:textId="77777777" w:rsidR="008F16FC" w:rsidRPr="008F16FC" w:rsidRDefault="008F16FC" w:rsidP="008F16FC">
            <w:pPr>
              <w:rPr>
                <w:color w:val="000000"/>
                <w:sz w:val="20"/>
                <w:szCs w:val="20"/>
                <w:lang w:val="es-ES"/>
              </w:rPr>
            </w:pPr>
            <w:r w:rsidRPr="008F16FC">
              <w:rPr>
                <w:color w:val="000000"/>
                <w:sz w:val="20"/>
                <w:szCs w:val="20"/>
                <w:lang w:val="es-ES"/>
              </w:rPr>
              <w:t>Resultados de Inversiones en Asociadas</w:t>
            </w:r>
          </w:p>
        </w:tc>
        <w:tc>
          <w:tcPr>
            <w:tcW w:w="1356" w:type="dxa"/>
            <w:tcBorders>
              <w:top w:val="nil"/>
              <w:left w:val="nil"/>
              <w:bottom w:val="nil"/>
              <w:right w:val="nil"/>
            </w:tcBorders>
            <w:shd w:val="clear" w:color="auto" w:fill="auto"/>
            <w:noWrap/>
            <w:vAlign w:val="bottom"/>
          </w:tcPr>
          <w:p w14:paraId="258D58F5" w14:textId="77777777" w:rsidR="008F16FC" w:rsidRPr="008F16FC" w:rsidRDefault="008F16FC" w:rsidP="008F16FC">
            <w:pPr>
              <w:jc w:val="right"/>
              <w:rPr>
                <w:color w:val="000000"/>
                <w:sz w:val="20"/>
                <w:szCs w:val="20"/>
                <w:lang w:val="es-MX"/>
              </w:rPr>
            </w:pPr>
            <w:r w:rsidRPr="008F16FC">
              <w:rPr>
                <w:color w:val="000000"/>
                <w:sz w:val="20"/>
                <w:szCs w:val="20"/>
                <w:lang w:val="es-MX"/>
              </w:rPr>
              <w:t>13.696</w:t>
            </w:r>
          </w:p>
        </w:tc>
        <w:tc>
          <w:tcPr>
            <w:tcW w:w="1356" w:type="dxa"/>
            <w:tcBorders>
              <w:top w:val="nil"/>
              <w:left w:val="nil"/>
              <w:bottom w:val="nil"/>
              <w:right w:val="nil"/>
            </w:tcBorders>
            <w:vAlign w:val="bottom"/>
          </w:tcPr>
          <w:p w14:paraId="3A9A7729" w14:textId="77777777" w:rsidR="008F16FC" w:rsidRPr="008F16FC" w:rsidRDefault="008F16FC" w:rsidP="008F16FC">
            <w:pPr>
              <w:jc w:val="right"/>
              <w:rPr>
                <w:color w:val="000000"/>
                <w:sz w:val="20"/>
                <w:szCs w:val="20"/>
                <w:lang w:val="es-MX"/>
              </w:rPr>
            </w:pPr>
            <w:r w:rsidRPr="008F16FC">
              <w:rPr>
                <w:color w:val="000000"/>
                <w:sz w:val="20"/>
                <w:szCs w:val="20"/>
              </w:rPr>
              <w:t>4.219</w:t>
            </w:r>
          </w:p>
        </w:tc>
      </w:tr>
      <w:tr w:rsidR="008F16FC" w:rsidRPr="008F16FC" w14:paraId="3775970E" w14:textId="77777777" w:rsidTr="008F16FC">
        <w:trPr>
          <w:trHeight w:val="255"/>
        </w:trPr>
        <w:tc>
          <w:tcPr>
            <w:tcW w:w="4576" w:type="dxa"/>
            <w:tcBorders>
              <w:top w:val="nil"/>
              <w:left w:val="nil"/>
              <w:bottom w:val="nil"/>
              <w:right w:val="nil"/>
            </w:tcBorders>
            <w:shd w:val="clear" w:color="auto" w:fill="auto"/>
            <w:noWrap/>
            <w:vAlign w:val="bottom"/>
            <w:hideMark/>
          </w:tcPr>
          <w:p w14:paraId="186FD846" w14:textId="77777777" w:rsidR="008F16FC" w:rsidRPr="008F16FC" w:rsidRDefault="008F16FC" w:rsidP="008F16FC">
            <w:pPr>
              <w:rPr>
                <w:color w:val="000000"/>
                <w:sz w:val="20"/>
                <w:szCs w:val="20"/>
              </w:rPr>
            </w:pPr>
            <w:r w:rsidRPr="008F16FC">
              <w:rPr>
                <w:color w:val="000000"/>
                <w:sz w:val="20"/>
                <w:szCs w:val="20"/>
              </w:rPr>
              <w:t>Resultados Financieros</w:t>
            </w:r>
          </w:p>
        </w:tc>
        <w:tc>
          <w:tcPr>
            <w:tcW w:w="1356" w:type="dxa"/>
            <w:tcBorders>
              <w:top w:val="nil"/>
              <w:left w:val="nil"/>
              <w:bottom w:val="nil"/>
              <w:right w:val="nil"/>
            </w:tcBorders>
            <w:shd w:val="clear" w:color="auto" w:fill="auto"/>
            <w:noWrap/>
            <w:vAlign w:val="bottom"/>
          </w:tcPr>
          <w:p w14:paraId="15C8B7F8" w14:textId="77777777" w:rsidR="008F16FC" w:rsidRPr="008F16FC" w:rsidRDefault="008F16FC" w:rsidP="008F16FC">
            <w:pPr>
              <w:jc w:val="right"/>
              <w:rPr>
                <w:color w:val="000000"/>
                <w:sz w:val="20"/>
                <w:szCs w:val="20"/>
              </w:rPr>
            </w:pPr>
            <w:r w:rsidRPr="008F16FC">
              <w:rPr>
                <w:color w:val="000000"/>
                <w:sz w:val="20"/>
                <w:szCs w:val="20"/>
              </w:rPr>
              <w:t>77.499</w:t>
            </w:r>
          </w:p>
        </w:tc>
        <w:tc>
          <w:tcPr>
            <w:tcW w:w="1356" w:type="dxa"/>
            <w:tcBorders>
              <w:top w:val="nil"/>
              <w:left w:val="nil"/>
              <w:bottom w:val="nil"/>
              <w:right w:val="nil"/>
            </w:tcBorders>
            <w:vAlign w:val="bottom"/>
          </w:tcPr>
          <w:p w14:paraId="504663F5" w14:textId="77777777" w:rsidR="008F16FC" w:rsidRPr="008F16FC" w:rsidRDefault="008F16FC" w:rsidP="008F16FC">
            <w:pPr>
              <w:jc w:val="right"/>
              <w:rPr>
                <w:color w:val="000000"/>
                <w:sz w:val="20"/>
                <w:szCs w:val="20"/>
              </w:rPr>
            </w:pPr>
            <w:r w:rsidRPr="008F16FC">
              <w:rPr>
                <w:color w:val="000000"/>
                <w:sz w:val="20"/>
                <w:szCs w:val="20"/>
              </w:rPr>
              <w:t>23.035</w:t>
            </w:r>
          </w:p>
        </w:tc>
      </w:tr>
      <w:tr w:rsidR="008F16FC" w:rsidRPr="008F16FC" w14:paraId="197AE5F3" w14:textId="77777777" w:rsidTr="008F16FC">
        <w:trPr>
          <w:trHeight w:val="255"/>
        </w:trPr>
        <w:tc>
          <w:tcPr>
            <w:tcW w:w="4576" w:type="dxa"/>
            <w:tcBorders>
              <w:top w:val="nil"/>
              <w:left w:val="nil"/>
              <w:bottom w:val="nil"/>
              <w:right w:val="nil"/>
            </w:tcBorders>
            <w:shd w:val="clear" w:color="auto" w:fill="auto"/>
            <w:noWrap/>
            <w:vAlign w:val="bottom"/>
            <w:hideMark/>
          </w:tcPr>
          <w:p w14:paraId="3530C0E3" w14:textId="77777777" w:rsidR="008F16FC" w:rsidRPr="008F16FC" w:rsidRDefault="008F16FC" w:rsidP="008F16FC">
            <w:pPr>
              <w:rPr>
                <w:color w:val="000000"/>
                <w:sz w:val="20"/>
                <w:szCs w:val="20"/>
                <w:lang w:val="es-ES"/>
              </w:rPr>
            </w:pPr>
            <w:r w:rsidRPr="008F16FC">
              <w:rPr>
                <w:color w:val="000000"/>
                <w:sz w:val="20"/>
                <w:szCs w:val="20"/>
                <w:lang w:val="es-ES"/>
              </w:rPr>
              <w:t>Resultados de la posición monetaria neta (RECPAM)</w:t>
            </w:r>
          </w:p>
        </w:tc>
        <w:tc>
          <w:tcPr>
            <w:tcW w:w="1356" w:type="dxa"/>
            <w:tcBorders>
              <w:top w:val="nil"/>
              <w:left w:val="nil"/>
              <w:bottom w:val="nil"/>
              <w:right w:val="nil"/>
            </w:tcBorders>
            <w:shd w:val="clear" w:color="auto" w:fill="auto"/>
            <w:noWrap/>
            <w:vAlign w:val="bottom"/>
          </w:tcPr>
          <w:p w14:paraId="2A64A546" w14:textId="77777777" w:rsidR="008F16FC" w:rsidRPr="008F16FC" w:rsidRDefault="008F16FC" w:rsidP="008F16FC">
            <w:pPr>
              <w:jc w:val="right"/>
              <w:rPr>
                <w:color w:val="000000"/>
                <w:sz w:val="20"/>
                <w:szCs w:val="20"/>
                <w:lang w:val="es-MX"/>
              </w:rPr>
            </w:pPr>
            <w:r w:rsidRPr="008F16FC">
              <w:rPr>
                <w:color w:val="000000"/>
                <w:sz w:val="20"/>
                <w:szCs w:val="20"/>
                <w:lang w:val="es-MX"/>
              </w:rPr>
              <w:t>(329.751)</w:t>
            </w:r>
          </w:p>
        </w:tc>
        <w:tc>
          <w:tcPr>
            <w:tcW w:w="1356" w:type="dxa"/>
            <w:tcBorders>
              <w:top w:val="nil"/>
              <w:left w:val="nil"/>
              <w:bottom w:val="nil"/>
              <w:right w:val="nil"/>
            </w:tcBorders>
            <w:vAlign w:val="bottom"/>
          </w:tcPr>
          <w:p w14:paraId="72253BFA" w14:textId="77777777" w:rsidR="008F16FC" w:rsidRPr="008F16FC" w:rsidRDefault="008F16FC" w:rsidP="008F16FC">
            <w:pPr>
              <w:jc w:val="right"/>
              <w:rPr>
                <w:color w:val="000000"/>
                <w:sz w:val="20"/>
                <w:szCs w:val="20"/>
                <w:lang w:val="es-MX"/>
              </w:rPr>
            </w:pPr>
            <w:r w:rsidRPr="008F16FC">
              <w:rPr>
                <w:color w:val="000000"/>
                <w:sz w:val="20"/>
                <w:szCs w:val="20"/>
              </w:rPr>
              <w:t>(643.210)</w:t>
            </w:r>
          </w:p>
        </w:tc>
      </w:tr>
      <w:tr w:rsidR="008F16FC" w:rsidRPr="008F16FC" w14:paraId="33EE4CA2" w14:textId="77777777" w:rsidTr="008F16FC">
        <w:trPr>
          <w:trHeight w:val="255"/>
        </w:trPr>
        <w:tc>
          <w:tcPr>
            <w:tcW w:w="4576" w:type="dxa"/>
            <w:tcBorders>
              <w:top w:val="nil"/>
              <w:left w:val="nil"/>
              <w:bottom w:val="nil"/>
              <w:right w:val="nil"/>
            </w:tcBorders>
            <w:shd w:val="clear" w:color="000000" w:fill="D9D9D9"/>
            <w:noWrap/>
            <w:vAlign w:val="bottom"/>
            <w:hideMark/>
          </w:tcPr>
          <w:p w14:paraId="1AD46622" w14:textId="77777777" w:rsidR="008F16FC" w:rsidRPr="008F16FC" w:rsidRDefault="008F16FC" w:rsidP="008F16FC">
            <w:pPr>
              <w:rPr>
                <w:b/>
                <w:bCs/>
                <w:color w:val="000000"/>
                <w:sz w:val="20"/>
                <w:szCs w:val="20"/>
                <w:lang w:val="es-ES"/>
              </w:rPr>
            </w:pPr>
            <w:r w:rsidRPr="008F16FC">
              <w:rPr>
                <w:b/>
                <w:bCs/>
                <w:color w:val="000000"/>
                <w:sz w:val="20"/>
                <w:szCs w:val="20"/>
                <w:lang w:val="es-ES"/>
              </w:rPr>
              <w:t>Ganancia antes del impuesto a las ganancias</w:t>
            </w:r>
          </w:p>
        </w:tc>
        <w:tc>
          <w:tcPr>
            <w:tcW w:w="1356" w:type="dxa"/>
            <w:tcBorders>
              <w:top w:val="nil"/>
              <w:left w:val="nil"/>
              <w:bottom w:val="nil"/>
              <w:right w:val="nil"/>
            </w:tcBorders>
            <w:shd w:val="clear" w:color="000000" w:fill="D9D9D9"/>
            <w:noWrap/>
            <w:vAlign w:val="bottom"/>
          </w:tcPr>
          <w:p w14:paraId="615EEB6F" w14:textId="77777777" w:rsidR="008F16FC" w:rsidRPr="008F16FC" w:rsidRDefault="008F16FC" w:rsidP="008F16FC">
            <w:pPr>
              <w:jc w:val="right"/>
              <w:rPr>
                <w:b/>
                <w:bCs/>
                <w:color w:val="000000"/>
                <w:sz w:val="20"/>
                <w:szCs w:val="20"/>
                <w:lang w:val="es-MX"/>
              </w:rPr>
            </w:pPr>
            <w:r w:rsidRPr="008F16FC">
              <w:rPr>
                <w:b/>
                <w:bCs/>
                <w:color w:val="000000"/>
                <w:sz w:val="20"/>
                <w:szCs w:val="20"/>
                <w:lang w:val="es-MX"/>
              </w:rPr>
              <w:t>387.132</w:t>
            </w:r>
          </w:p>
        </w:tc>
        <w:tc>
          <w:tcPr>
            <w:tcW w:w="1356" w:type="dxa"/>
            <w:tcBorders>
              <w:top w:val="nil"/>
              <w:left w:val="nil"/>
              <w:bottom w:val="nil"/>
              <w:right w:val="nil"/>
            </w:tcBorders>
            <w:shd w:val="clear" w:color="000000" w:fill="D9D9D9"/>
            <w:vAlign w:val="bottom"/>
          </w:tcPr>
          <w:p w14:paraId="117AED4D" w14:textId="77777777" w:rsidR="008F16FC" w:rsidRPr="008F16FC" w:rsidRDefault="008F16FC" w:rsidP="008F16FC">
            <w:pPr>
              <w:jc w:val="right"/>
              <w:rPr>
                <w:b/>
                <w:bCs/>
                <w:color w:val="000000"/>
                <w:sz w:val="20"/>
                <w:szCs w:val="20"/>
                <w:lang w:val="es-MX"/>
              </w:rPr>
            </w:pPr>
            <w:r w:rsidRPr="008F16FC">
              <w:rPr>
                <w:b/>
                <w:bCs/>
                <w:color w:val="000000"/>
                <w:sz w:val="20"/>
                <w:szCs w:val="20"/>
              </w:rPr>
              <w:t>639.955</w:t>
            </w:r>
          </w:p>
        </w:tc>
      </w:tr>
      <w:tr w:rsidR="008F16FC" w:rsidRPr="008F16FC" w14:paraId="5642F23F" w14:textId="77777777" w:rsidTr="008F16FC">
        <w:trPr>
          <w:trHeight w:val="255"/>
        </w:trPr>
        <w:tc>
          <w:tcPr>
            <w:tcW w:w="4576" w:type="dxa"/>
            <w:tcBorders>
              <w:top w:val="nil"/>
              <w:left w:val="nil"/>
              <w:bottom w:val="nil"/>
              <w:right w:val="nil"/>
            </w:tcBorders>
            <w:shd w:val="clear" w:color="auto" w:fill="auto"/>
            <w:noWrap/>
            <w:vAlign w:val="bottom"/>
            <w:hideMark/>
          </w:tcPr>
          <w:p w14:paraId="57FEBC64" w14:textId="77777777" w:rsidR="008F16FC" w:rsidRPr="008F16FC" w:rsidRDefault="008F16FC" w:rsidP="008F16FC">
            <w:pPr>
              <w:rPr>
                <w:color w:val="000000"/>
                <w:sz w:val="20"/>
                <w:szCs w:val="20"/>
                <w:lang w:val="es-MX"/>
              </w:rPr>
            </w:pPr>
          </w:p>
        </w:tc>
        <w:tc>
          <w:tcPr>
            <w:tcW w:w="1356" w:type="dxa"/>
            <w:tcBorders>
              <w:top w:val="nil"/>
              <w:left w:val="nil"/>
              <w:bottom w:val="nil"/>
              <w:right w:val="nil"/>
            </w:tcBorders>
            <w:shd w:val="clear" w:color="auto" w:fill="auto"/>
            <w:noWrap/>
            <w:vAlign w:val="bottom"/>
          </w:tcPr>
          <w:p w14:paraId="628E247D" w14:textId="77777777" w:rsidR="008F16FC" w:rsidRPr="008F16FC" w:rsidRDefault="008F16FC" w:rsidP="008F16FC">
            <w:pPr>
              <w:rPr>
                <w:color w:val="000000"/>
                <w:sz w:val="20"/>
                <w:szCs w:val="20"/>
                <w:lang w:val="es-MX"/>
              </w:rPr>
            </w:pPr>
          </w:p>
        </w:tc>
        <w:tc>
          <w:tcPr>
            <w:tcW w:w="1356" w:type="dxa"/>
            <w:tcBorders>
              <w:top w:val="nil"/>
              <w:left w:val="nil"/>
              <w:bottom w:val="nil"/>
              <w:right w:val="nil"/>
            </w:tcBorders>
            <w:vAlign w:val="bottom"/>
          </w:tcPr>
          <w:p w14:paraId="021AB94A" w14:textId="77777777" w:rsidR="008F16FC" w:rsidRPr="008F16FC" w:rsidRDefault="008F16FC" w:rsidP="008F16FC">
            <w:pPr>
              <w:rPr>
                <w:color w:val="000000"/>
                <w:sz w:val="20"/>
                <w:szCs w:val="20"/>
                <w:lang w:val="es-MX"/>
              </w:rPr>
            </w:pPr>
          </w:p>
        </w:tc>
      </w:tr>
      <w:tr w:rsidR="008F16FC" w:rsidRPr="008F16FC" w14:paraId="71C28FAA" w14:textId="77777777" w:rsidTr="008F16FC">
        <w:trPr>
          <w:trHeight w:val="255"/>
        </w:trPr>
        <w:tc>
          <w:tcPr>
            <w:tcW w:w="4576" w:type="dxa"/>
            <w:tcBorders>
              <w:top w:val="nil"/>
              <w:left w:val="nil"/>
              <w:bottom w:val="nil"/>
              <w:right w:val="nil"/>
            </w:tcBorders>
            <w:shd w:val="clear" w:color="auto" w:fill="auto"/>
            <w:noWrap/>
            <w:vAlign w:val="bottom"/>
            <w:hideMark/>
          </w:tcPr>
          <w:p w14:paraId="615434BA" w14:textId="77777777" w:rsidR="008F16FC" w:rsidRPr="008F16FC" w:rsidRDefault="008F16FC" w:rsidP="008F16FC">
            <w:pPr>
              <w:rPr>
                <w:color w:val="000000"/>
                <w:sz w:val="20"/>
                <w:szCs w:val="20"/>
                <w:lang w:val="es-ES"/>
              </w:rPr>
            </w:pPr>
            <w:r w:rsidRPr="008F16FC">
              <w:rPr>
                <w:color w:val="000000"/>
                <w:sz w:val="20"/>
                <w:szCs w:val="20"/>
                <w:lang w:val="es-ES"/>
              </w:rPr>
              <w:t>(Gasto) Ingreso por impuesto a las ganancias</w:t>
            </w:r>
          </w:p>
        </w:tc>
        <w:tc>
          <w:tcPr>
            <w:tcW w:w="1356" w:type="dxa"/>
            <w:tcBorders>
              <w:top w:val="nil"/>
              <w:left w:val="nil"/>
              <w:bottom w:val="nil"/>
              <w:right w:val="nil"/>
            </w:tcBorders>
            <w:shd w:val="clear" w:color="auto" w:fill="auto"/>
            <w:noWrap/>
            <w:vAlign w:val="bottom"/>
          </w:tcPr>
          <w:p w14:paraId="7677AC3E" w14:textId="77777777" w:rsidR="008F16FC" w:rsidRPr="008F16FC" w:rsidRDefault="008F16FC" w:rsidP="008F16FC">
            <w:pPr>
              <w:jc w:val="right"/>
              <w:rPr>
                <w:color w:val="000000"/>
                <w:sz w:val="20"/>
                <w:szCs w:val="20"/>
                <w:lang w:val="es-MX"/>
              </w:rPr>
            </w:pPr>
            <w:r w:rsidRPr="008F16FC">
              <w:rPr>
                <w:color w:val="000000"/>
                <w:sz w:val="20"/>
                <w:szCs w:val="20"/>
                <w:lang w:val="es-MX"/>
              </w:rPr>
              <w:t>(309.733)</w:t>
            </w:r>
          </w:p>
        </w:tc>
        <w:tc>
          <w:tcPr>
            <w:tcW w:w="1356" w:type="dxa"/>
            <w:tcBorders>
              <w:top w:val="nil"/>
              <w:left w:val="nil"/>
              <w:bottom w:val="nil"/>
              <w:right w:val="nil"/>
            </w:tcBorders>
            <w:vAlign w:val="bottom"/>
          </w:tcPr>
          <w:p w14:paraId="6817BD35" w14:textId="77777777" w:rsidR="008F16FC" w:rsidRPr="008F16FC" w:rsidRDefault="008F16FC" w:rsidP="008F16FC">
            <w:pPr>
              <w:jc w:val="right"/>
              <w:rPr>
                <w:color w:val="000000"/>
                <w:sz w:val="20"/>
                <w:szCs w:val="20"/>
                <w:lang w:val="es-MX"/>
              </w:rPr>
            </w:pPr>
            <w:r w:rsidRPr="008F16FC">
              <w:rPr>
                <w:color w:val="000000"/>
                <w:sz w:val="20"/>
                <w:szCs w:val="20"/>
              </w:rPr>
              <w:t>(338.211)</w:t>
            </w:r>
          </w:p>
        </w:tc>
      </w:tr>
      <w:tr w:rsidR="008F16FC" w:rsidRPr="008F16FC" w14:paraId="6F8D29DC" w14:textId="77777777" w:rsidTr="008F16FC">
        <w:trPr>
          <w:trHeight w:val="255"/>
        </w:trPr>
        <w:tc>
          <w:tcPr>
            <w:tcW w:w="4576" w:type="dxa"/>
            <w:tcBorders>
              <w:top w:val="nil"/>
              <w:left w:val="nil"/>
              <w:bottom w:val="nil"/>
              <w:right w:val="nil"/>
            </w:tcBorders>
            <w:shd w:val="clear" w:color="000000" w:fill="A6A6A6"/>
            <w:noWrap/>
            <w:vAlign w:val="bottom"/>
            <w:hideMark/>
          </w:tcPr>
          <w:p w14:paraId="500E5ECC" w14:textId="77777777" w:rsidR="008F16FC" w:rsidRPr="008F16FC" w:rsidRDefault="008F16FC" w:rsidP="008F16FC">
            <w:pPr>
              <w:rPr>
                <w:b/>
                <w:bCs/>
                <w:color w:val="000000"/>
                <w:sz w:val="20"/>
                <w:szCs w:val="20"/>
              </w:rPr>
            </w:pPr>
            <w:r w:rsidRPr="008F16FC">
              <w:rPr>
                <w:b/>
                <w:bCs/>
                <w:color w:val="000000"/>
                <w:sz w:val="20"/>
                <w:szCs w:val="20"/>
              </w:rPr>
              <w:t>Ganancia del período</w:t>
            </w:r>
          </w:p>
        </w:tc>
        <w:tc>
          <w:tcPr>
            <w:tcW w:w="1356" w:type="dxa"/>
            <w:tcBorders>
              <w:top w:val="nil"/>
              <w:left w:val="nil"/>
              <w:bottom w:val="nil"/>
              <w:right w:val="nil"/>
            </w:tcBorders>
            <w:shd w:val="clear" w:color="000000" w:fill="A6A6A6"/>
            <w:noWrap/>
            <w:vAlign w:val="bottom"/>
          </w:tcPr>
          <w:p w14:paraId="5257A3A1" w14:textId="77777777" w:rsidR="008F16FC" w:rsidRPr="008F16FC" w:rsidRDefault="008F16FC" w:rsidP="008F16FC">
            <w:pPr>
              <w:jc w:val="right"/>
              <w:rPr>
                <w:b/>
                <w:bCs/>
                <w:color w:val="000000"/>
                <w:sz w:val="20"/>
                <w:szCs w:val="20"/>
              </w:rPr>
            </w:pPr>
            <w:r w:rsidRPr="008F16FC">
              <w:rPr>
                <w:b/>
                <w:bCs/>
                <w:color w:val="000000"/>
                <w:sz w:val="20"/>
                <w:szCs w:val="20"/>
              </w:rPr>
              <w:t>77.399</w:t>
            </w:r>
          </w:p>
        </w:tc>
        <w:tc>
          <w:tcPr>
            <w:tcW w:w="1356" w:type="dxa"/>
            <w:tcBorders>
              <w:top w:val="nil"/>
              <w:left w:val="nil"/>
              <w:bottom w:val="nil"/>
              <w:right w:val="nil"/>
            </w:tcBorders>
            <w:shd w:val="clear" w:color="000000" w:fill="A6A6A6"/>
            <w:vAlign w:val="bottom"/>
          </w:tcPr>
          <w:p w14:paraId="072D4A6F" w14:textId="77777777" w:rsidR="008F16FC" w:rsidRPr="008F16FC" w:rsidRDefault="008F16FC" w:rsidP="008F16FC">
            <w:pPr>
              <w:jc w:val="right"/>
              <w:rPr>
                <w:b/>
                <w:bCs/>
                <w:color w:val="000000"/>
                <w:sz w:val="20"/>
                <w:szCs w:val="20"/>
              </w:rPr>
            </w:pPr>
            <w:r w:rsidRPr="008F16FC">
              <w:rPr>
                <w:b/>
                <w:bCs/>
                <w:color w:val="000000"/>
                <w:sz w:val="20"/>
                <w:szCs w:val="20"/>
              </w:rPr>
              <w:t>301.743</w:t>
            </w:r>
          </w:p>
        </w:tc>
      </w:tr>
      <w:tr w:rsidR="008F16FC" w:rsidRPr="008F16FC" w14:paraId="4B55DD6D" w14:textId="77777777" w:rsidTr="008F16FC">
        <w:trPr>
          <w:trHeight w:val="255"/>
        </w:trPr>
        <w:tc>
          <w:tcPr>
            <w:tcW w:w="4576" w:type="dxa"/>
            <w:tcBorders>
              <w:top w:val="nil"/>
              <w:left w:val="nil"/>
              <w:bottom w:val="nil"/>
              <w:right w:val="nil"/>
            </w:tcBorders>
            <w:shd w:val="clear" w:color="auto" w:fill="auto"/>
            <w:noWrap/>
            <w:vAlign w:val="bottom"/>
            <w:hideMark/>
          </w:tcPr>
          <w:p w14:paraId="158BDD34"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tcPr>
          <w:p w14:paraId="31B1C62B" w14:textId="77777777" w:rsidR="008F16FC" w:rsidRPr="008F16FC" w:rsidRDefault="008F16FC" w:rsidP="008F16FC">
            <w:pPr>
              <w:rPr>
                <w:color w:val="000000"/>
                <w:sz w:val="20"/>
                <w:szCs w:val="20"/>
              </w:rPr>
            </w:pPr>
          </w:p>
        </w:tc>
        <w:tc>
          <w:tcPr>
            <w:tcW w:w="1356" w:type="dxa"/>
            <w:tcBorders>
              <w:top w:val="nil"/>
              <w:left w:val="nil"/>
              <w:bottom w:val="nil"/>
              <w:right w:val="nil"/>
            </w:tcBorders>
            <w:vAlign w:val="bottom"/>
          </w:tcPr>
          <w:p w14:paraId="0C0C34E5" w14:textId="77777777" w:rsidR="008F16FC" w:rsidRPr="008F16FC" w:rsidRDefault="008F16FC" w:rsidP="008F16FC">
            <w:pPr>
              <w:rPr>
                <w:color w:val="000000"/>
                <w:sz w:val="20"/>
                <w:szCs w:val="20"/>
              </w:rPr>
            </w:pPr>
          </w:p>
        </w:tc>
      </w:tr>
      <w:tr w:rsidR="008F16FC" w:rsidRPr="008F16FC" w14:paraId="42B5DDF4" w14:textId="77777777" w:rsidTr="008F16FC">
        <w:trPr>
          <w:trHeight w:val="255"/>
        </w:trPr>
        <w:tc>
          <w:tcPr>
            <w:tcW w:w="4576" w:type="dxa"/>
            <w:tcBorders>
              <w:top w:val="nil"/>
              <w:left w:val="nil"/>
              <w:bottom w:val="nil"/>
              <w:right w:val="nil"/>
            </w:tcBorders>
            <w:shd w:val="clear" w:color="auto" w:fill="auto"/>
            <w:noWrap/>
            <w:vAlign w:val="bottom"/>
            <w:hideMark/>
          </w:tcPr>
          <w:p w14:paraId="381C8D31" w14:textId="77777777" w:rsidR="008F16FC" w:rsidRPr="008F16FC" w:rsidRDefault="008F16FC" w:rsidP="008F16FC">
            <w:pPr>
              <w:rPr>
                <w:color w:val="000000"/>
                <w:sz w:val="20"/>
                <w:szCs w:val="20"/>
              </w:rPr>
            </w:pPr>
          </w:p>
        </w:tc>
        <w:tc>
          <w:tcPr>
            <w:tcW w:w="1356" w:type="dxa"/>
            <w:tcBorders>
              <w:top w:val="nil"/>
              <w:left w:val="nil"/>
              <w:bottom w:val="nil"/>
              <w:right w:val="nil"/>
            </w:tcBorders>
            <w:shd w:val="clear" w:color="auto" w:fill="auto"/>
            <w:noWrap/>
            <w:vAlign w:val="bottom"/>
          </w:tcPr>
          <w:p w14:paraId="3A616E89" w14:textId="77777777" w:rsidR="008F16FC" w:rsidRPr="008F16FC" w:rsidRDefault="008F16FC" w:rsidP="008F16FC">
            <w:pPr>
              <w:rPr>
                <w:color w:val="000000"/>
                <w:sz w:val="20"/>
                <w:szCs w:val="20"/>
              </w:rPr>
            </w:pPr>
          </w:p>
        </w:tc>
        <w:tc>
          <w:tcPr>
            <w:tcW w:w="1356" w:type="dxa"/>
            <w:tcBorders>
              <w:top w:val="nil"/>
              <w:left w:val="nil"/>
              <w:bottom w:val="nil"/>
              <w:right w:val="nil"/>
            </w:tcBorders>
            <w:vAlign w:val="bottom"/>
          </w:tcPr>
          <w:p w14:paraId="46DA6086" w14:textId="77777777" w:rsidR="008F16FC" w:rsidRPr="008F16FC" w:rsidRDefault="008F16FC" w:rsidP="008F16FC">
            <w:pPr>
              <w:rPr>
                <w:color w:val="000000"/>
                <w:sz w:val="20"/>
                <w:szCs w:val="20"/>
              </w:rPr>
            </w:pPr>
          </w:p>
        </w:tc>
      </w:tr>
      <w:tr w:rsidR="008F16FC" w:rsidRPr="00512442" w14:paraId="1D66BA4C" w14:textId="77777777" w:rsidTr="008F16FC">
        <w:trPr>
          <w:trHeight w:val="255"/>
        </w:trPr>
        <w:tc>
          <w:tcPr>
            <w:tcW w:w="4576" w:type="dxa"/>
            <w:tcBorders>
              <w:top w:val="nil"/>
              <w:left w:val="nil"/>
              <w:bottom w:val="nil"/>
              <w:right w:val="nil"/>
            </w:tcBorders>
            <w:shd w:val="clear" w:color="auto" w:fill="auto"/>
            <w:noWrap/>
            <w:vAlign w:val="bottom"/>
            <w:hideMark/>
          </w:tcPr>
          <w:p w14:paraId="5610BB59" w14:textId="77777777" w:rsidR="008F16FC" w:rsidRPr="008F16FC" w:rsidRDefault="008F16FC" w:rsidP="008F16FC">
            <w:pPr>
              <w:rPr>
                <w:b/>
                <w:bCs/>
                <w:color w:val="000000"/>
                <w:sz w:val="20"/>
                <w:szCs w:val="20"/>
                <w:lang w:val="es-ES"/>
              </w:rPr>
            </w:pPr>
            <w:r w:rsidRPr="008F16FC">
              <w:rPr>
                <w:b/>
                <w:bCs/>
                <w:color w:val="000000"/>
                <w:sz w:val="20"/>
                <w:szCs w:val="20"/>
                <w:lang w:val="es-ES"/>
              </w:rPr>
              <w:t>OTRO RESULTADO INTEGRAL DEL PERIODO</w:t>
            </w:r>
          </w:p>
        </w:tc>
        <w:tc>
          <w:tcPr>
            <w:tcW w:w="1356" w:type="dxa"/>
            <w:tcBorders>
              <w:top w:val="nil"/>
              <w:left w:val="nil"/>
              <w:bottom w:val="nil"/>
              <w:right w:val="nil"/>
            </w:tcBorders>
            <w:shd w:val="clear" w:color="auto" w:fill="auto"/>
            <w:noWrap/>
            <w:vAlign w:val="bottom"/>
          </w:tcPr>
          <w:p w14:paraId="5AF019C6" w14:textId="77777777" w:rsidR="008F16FC" w:rsidRPr="008F16FC" w:rsidRDefault="008F16FC" w:rsidP="008F16FC">
            <w:pPr>
              <w:rPr>
                <w:b/>
                <w:bCs/>
                <w:color w:val="000000"/>
                <w:sz w:val="20"/>
                <w:szCs w:val="20"/>
                <w:lang w:val="es-ES"/>
              </w:rPr>
            </w:pPr>
          </w:p>
        </w:tc>
        <w:tc>
          <w:tcPr>
            <w:tcW w:w="1356" w:type="dxa"/>
            <w:tcBorders>
              <w:top w:val="nil"/>
              <w:left w:val="nil"/>
              <w:bottom w:val="nil"/>
              <w:right w:val="nil"/>
            </w:tcBorders>
            <w:vAlign w:val="bottom"/>
          </w:tcPr>
          <w:p w14:paraId="4819B5F8" w14:textId="77777777" w:rsidR="008F16FC" w:rsidRPr="008F16FC" w:rsidRDefault="008F16FC" w:rsidP="008F16FC">
            <w:pPr>
              <w:rPr>
                <w:b/>
                <w:bCs/>
                <w:color w:val="000000"/>
                <w:sz w:val="20"/>
                <w:szCs w:val="20"/>
                <w:lang w:val="es-ES"/>
              </w:rPr>
            </w:pPr>
          </w:p>
        </w:tc>
      </w:tr>
      <w:tr w:rsidR="008F16FC" w:rsidRPr="00512442" w14:paraId="4A9FC86C" w14:textId="77777777" w:rsidTr="008F16FC">
        <w:trPr>
          <w:trHeight w:val="255"/>
        </w:trPr>
        <w:tc>
          <w:tcPr>
            <w:tcW w:w="4576" w:type="dxa"/>
            <w:tcBorders>
              <w:top w:val="nil"/>
              <w:left w:val="nil"/>
              <w:bottom w:val="nil"/>
              <w:right w:val="nil"/>
            </w:tcBorders>
            <w:shd w:val="clear" w:color="auto" w:fill="auto"/>
            <w:noWrap/>
            <w:vAlign w:val="bottom"/>
            <w:hideMark/>
          </w:tcPr>
          <w:p w14:paraId="0905A8DD" w14:textId="77777777" w:rsidR="008F16FC" w:rsidRPr="008F16FC" w:rsidRDefault="008F16FC" w:rsidP="008F16FC">
            <w:pPr>
              <w:rPr>
                <w:b/>
                <w:bCs/>
                <w:color w:val="000000"/>
                <w:sz w:val="20"/>
                <w:szCs w:val="20"/>
                <w:lang w:val="es-ES"/>
              </w:rPr>
            </w:pPr>
            <w:r w:rsidRPr="008F16FC">
              <w:rPr>
                <w:b/>
                <w:bCs/>
                <w:color w:val="000000"/>
                <w:sz w:val="20"/>
                <w:szCs w:val="20"/>
                <w:lang w:val="es-ES"/>
              </w:rPr>
              <w:t>Que se clasificará en resultados</w:t>
            </w:r>
          </w:p>
        </w:tc>
        <w:tc>
          <w:tcPr>
            <w:tcW w:w="1356" w:type="dxa"/>
            <w:tcBorders>
              <w:top w:val="nil"/>
              <w:left w:val="nil"/>
              <w:bottom w:val="nil"/>
              <w:right w:val="nil"/>
            </w:tcBorders>
            <w:shd w:val="clear" w:color="auto" w:fill="auto"/>
            <w:noWrap/>
            <w:vAlign w:val="bottom"/>
          </w:tcPr>
          <w:p w14:paraId="392BE30E" w14:textId="77777777" w:rsidR="008F16FC" w:rsidRPr="008F16FC" w:rsidRDefault="008F16FC" w:rsidP="008F16FC">
            <w:pPr>
              <w:rPr>
                <w:b/>
                <w:bCs/>
                <w:color w:val="000000"/>
                <w:sz w:val="20"/>
                <w:szCs w:val="20"/>
                <w:lang w:val="es-ES"/>
              </w:rPr>
            </w:pPr>
            <w:r w:rsidRPr="008F16FC">
              <w:rPr>
                <w:b/>
                <w:bCs/>
                <w:color w:val="000000"/>
                <w:sz w:val="20"/>
                <w:szCs w:val="20"/>
                <w:lang w:val="es-ES"/>
              </w:rPr>
              <w:t xml:space="preserve">            </w:t>
            </w:r>
          </w:p>
        </w:tc>
        <w:tc>
          <w:tcPr>
            <w:tcW w:w="1356" w:type="dxa"/>
            <w:tcBorders>
              <w:top w:val="nil"/>
              <w:left w:val="nil"/>
              <w:bottom w:val="nil"/>
              <w:right w:val="nil"/>
            </w:tcBorders>
            <w:vAlign w:val="bottom"/>
          </w:tcPr>
          <w:p w14:paraId="63B24F79" w14:textId="77777777" w:rsidR="008F16FC" w:rsidRPr="008F16FC" w:rsidRDefault="008F16FC" w:rsidP="008F16FC">
            <w:pPr>
              <w:rPr>
                <w:b/>
                <w:bCs/>
                <w:color w:val="000000"/>
                <w:sz w:val="20"/>
                <w:szCs w:val="20"/>
                <w:lang w:val="es-ES"/>
              </w:rPr>
            </w:pPr>
          </w:p>
        </w:tc>
      </w:tr>
      <w:tr w:rsidR="008F16FC" w:rsidRPr="008F16FC" w14:paraId="0668AF51" w14:textId="77777777" w:rsidTr="008F16FC">
        <w:trPr>
          <w:trHeight w:val="255"/>
        </w:trPr>
        <w:tc>
          <w:tcPr>
            <w:tcW w:w="4576" w:type="dxa"/>
            <w:tcBorders>
              <w:top w:val="nil"/>
              <w:left w:val="nil"/>
              <w:bottom w:val="nil"/>
              <w:right w:val="nil"/>
            </w:tcBorders>
            <w:shd w:val="clear" w:color="auto" w:fill="auto"/>
            <w:noWrap/>
            <w:vAlign w:val="bottom"/>
            <w:hideMark/>
          </w:tcPr>
          <w:p w14:paraId="6ED8AD8D" w14:textId="77777777" w:rsidR="008F16FC" w:rsidRPr="008F16FC" w:rsidRDefault="008F16FC" w:rsidP="008F16FC">
            <w:pPr>
              <w:rPr>
                <w:color w:val="000000"/>
                <w:sz w:val="20"/>
                <w:szCs w:val="20"/>
              </w:rPr>
            </w:pPr>
            <w:r w:rsidRPr="008F16FC">
              <w:rPr>
                <w:color w:val="000000"/>
                <w:sz w:val="20"/>
                <w:szCs w:val="20"/>
              </w:rPr>
              <w:t>Diferencias de conversion</w:t>
            </w:r>
          </w:p>
        </w:tc>
        <w:tc>
          <w:tcPr>
            <w:tcW w:w="1356" w:type="dxa"/>
            <w:tcBorders>
              <w:top w:val="nil"/>
              <w:left w:val="nil"/>
              <w:bottom w:val="nil"/>
              <w:right w:val="nil"/>
            </w:tcBorders>
            <w:shd w:val="clear" w:color="auto" w:fill="auto"/>
            <w:noWrap/>
            <w:vAlign w:val="bottom"/>
          </w:tcPr>
          <w:p w14:paraId="0986DDA8" w14:textId="77777777" w:rsidR="008F16FC" w:rsidRPr="008F16FC" w:rsidRDefault="008F16FC" w:rsidP="008F16FC">
            <w:pPr>
              <w:jc w:val="right"/>
              <w:rPr>
                <w:color w:val="000000"/>
                <w:sz w:val="20"/>
                <w:szCs w:val="20"/>
              </w:rPr>
            </w:pPr>
            <w:r w:rsidRPr="008F16FC">
              <w:rPr>
                <w:b/>
                <w:bCs/>
                <w:color w:val="000000"/>
                <w:sz w:val="20"/>
                <w:szCs w:val="20"/>
                <w:lang w:val="es-ES"/>
              </w:rPr>
              <w:t xml:space="preserve">            (9.777)</w:t>
            </w:r>
          </w:p>
        </w:tc>
        <w:tc>
          <w:tcPr>
            <w:tcW w:w="1356" w:type="dxa"/>
            <w:tcBorders>
              <w:top w:val="nil"/>
              <w:left w:val="nil"/>
              <w:bottom w:val="nil"/>
              <w:right w:val="nil"/>
            </w:tcBorders>
            <w:vAlign w:val="bottom"/>
          </w:tcPr>
          <w:p w14:paraId="15F22B02" w14:textId="77777777" w:rsidR="008F16FC" w:rsidRPr="008F16FC" w:rsidRDefault="008F16FC" w:rsidP="008F16FC">
            <w:pPr>
              <w:jc w:val="right"/>
              <w:rPr>
                <w:color w:val="000000"/>
                <w:sz w:val="20"/>
                <w:szCs w:val="20"/>
              </w:rPr>
            </w:pPr>
            <w:r w:rsidRPr="008F16FC">
              <w:rPr>
                <w:color w:val="000000"/>
                <w:sz w:val="20"/>
                <w:szCs w:val="20"/>
              </w:rPr>
              <w:t>(55.169)</w:t>
            </w:r>
          </w:p>
        </w:tc>
      </w:tr>
      <w:tr w:rsidR="008F16FC" w:rsidRPr="008F16FC" w14:paraId="6561147C" w14:textId="77777777" w:rsidTr="008F16FC">
        <w:trPr>
          <w:trHeight w:val="255"/>
        </w:trPr>
        <w:tc>
          <w:tcPr>
            <w:tcW w:w="4576" w:type="dxa"/>
            <w:tcBorders>
              <w:top w:val="nil"/>
              <w:left w:val="nil"/>
              <w:bottom w:val="nil"/>
              <w:right w:val="nil"/>
            </w:tcBorders>
            <w:shd w:val="clear" w:color="auto" w:fill="auto"/>
            <w:noWrap/>
            <w:vAlign w:val="bottom"/>
            <w:hideMark/>
          </w:tcPr>
          <w:p w14:paraId="791A63C1" w14:textId="77777777" w:rsidR="008F16FC" w:rsidRPr="008F16FC" w:rsidRDefault="008F16FC" w:rsidP="008F16FC">
            <w:pPr>
              <w:rPr>
                <w:color w:val="000000"/>
                <w:sz w:val="20"/>
                <w:szCs w:val="20"/>
              </w:rPr>
            </w:pPr>
            <w:r w:rsidRPr="008F16FC">
              <w:rPr>
                <w:color w:val="000000"/>
                <w:sz w:val="20"/>
                <w:szCs w:val="20"/>
              </w:rPr>
              <w:t>Superávit de revaluación</w:t>
            </w:r>
          </w:p>
        </w:tc>
        <w:tc>
          <w:tcPr>
            <w:tcW w:w="1356" w:type="dxa"/>
            <w:tcBorders>
              <w:top w:val="nil"/>
              <w:left w:val="nil"/>
              <w:bottom w:val="nil"/>
              <w:right w:val="nil"/>
            </w:tcBorders>
            <w:shd w:val="clear" w:color="auto" w:fill="auto"/>
            <w:noWrap/>
            <w:vAlign w:val="bottom"/>
          </w:tcPr>
          <w:p w14:paraId="0471DF33" w14:textId="77777777" w:rsidR="008F16FC" w:rsidRPr="008F16FC" w:rsidRDefault="008F16FC" w:rsidP="008F16FC">
            <w:pPr>
              <w:jc w:val="right"/>
              <w:rPr>
                <w:color w:val="000000"/>
                <w:sz w:val="20"/>
                <w:szCs w:val="20"/>
              </w:rPr>
            </w:pPr>
            <w:r w:rsidRPr="008F16FC">
              <w:rPr>
                <w:color w:val="000000"/>
                <w:sz w:val="20"/>
                <w:szCs w:val="20"/>
              </w:rPr>
              <w:t>313.205</w:t>
            </w:r>
          </w:p>
        </w:tc>
        <w:tc>
          <w:tcPr>
            <w:tcW w:w="1356" w:type="dxa"/>
            <w:tcBorders>
              <w:top w:val="nil"/>
              <w:left w:val="nil"/>
              <w:bottom w:val="nil"/>
              <w:right w:val="nil"/>
            </w:tcBorders>
            <w:vAlign w:val="bottom"/>
          </w:tcPr>
          <w:p w14:paraId="1F8C5336" w14:textId="77777777" w:rsidR="008F16FC" w:rsidRPr="008F16FC" w:rsidRDefault="008F16FC" w:rsidP="008F16FC">
            <w:pPr>
              <w:jc w:val="right"/>
              <w:rPr>
                <w:color w:val="000000"/>
                <w:sz w:val="20"/>
                <w:szCs w:val="20"/>
              </w:rPr>
            </w:pPr>
            <w:r w:rsidRPr="008F16FC">
              <w:rPr>
                <w:color w:val="000000"/>
                <w:sz w:val="20"/>
                <w:szCs w:val="20"/>
              </w:rPr>
              <w:t>(176.720)</w:t>
            </w:r>
          </w:p>
        </w:tc>
      </w:tr>
      <w:tr w:rsidR="008F16FC" w:rsidRPr="008F16FC" w14:paraId="5743C2A9" w14:textId="77777777" w:rsidTr="008F16FC">
        <w:trPr>
          <w:trHeight w:val="91"/>
        </w:trPr>
        <w:tc>
          <w:tcPr>
            <w:tcW w:w="4576" w:type="dxa"/>
            <w:tcBorders>
              <w:top w:val="nil"/>
              <w:left w:val="nil"/>
              <w:bottom w:val="nil"/>
              <w:right w:val="nil"/>
            </w:tcBorders>
            <w:shd w:val="clear" w:color="000000" w:fill="A6A6A6"/>
            <w:noWrap/>
            <w:vAlign w:val="bottom"/>
            <w:hideMark/>
          </w:tcPr>
          <w:p w14:paraId="585BB907" w14:textId="77777777" w:rsidR="008F16FC" w:rsidRPr="008F16FC" w:rsidRDefault="008F16FC" w:rsidP="008F16FC">
            <w:pPr>
              <w:rPr>
                <w:b/>
                <w:bCs/>
                <w:color w:val="000000"/>
                <w:sz w:val="20"/>
                <w:szCs w:val="20"/>
              </w:rPr>
            </w:pPr>
            <w:r w:rsidRPr="008F16FC">
              <w:rPr>
                <w:b/>
                <w:bCs/>
                <w:color w:val="000000"/>
                <w:sz w:val="20"/>
                <w:szCs w:val="20"/>
              </w:rPr>
              <w:t>Total</w:t>
            </w:r>
          </w:p>
        </w:tc>
        <w:tc>
          <w:tcPr>
            <w:tcW w:w="1356" w:type="dxa"/>
            <w:tcBorders>
              <w:top w:val="nil"/>
              <w:left w:val="nil"/>
              <w:bottom w:val="nil"/>
              <w:right w:val="nil"/>
            </w:tcBorders>
            <w:shd w:val="clear" w:color="000000" w:fill="A6A6A6"/>
            <w:noWrap/>
            <w:vAlign w:val="bottom"/>
          </w:tcPr>
          <w:p w14:paraId="51D63588" w14:textId="77777777" w:rsidR="008F16FC" w:rsidRPr="008F16FC" w:rsidRDefault="008F16FC" w:rsidP="008F16FC">
            <w:pPr>
              <w:jc w:val="right"/>
              <w:rPr>
                <w:b/>
                <w:bCs/>
                <w:color w:val="000000"/>
                <w:sz w:val="20"/>
                <w:szCs w:val="20"/>
              </w:rPr>
            </w:pPr>
            <w:r w:rsidRPr="008F16FC">
              <w:rPr>
                <w:b/>
                <w:bCs/>
                <w:color w:val="000000"/>
                <w:sz w:val="20"/>
                <w:szCs w:val="20"/>
              </w:rPr>
              <w:t>303.428</w:t>
            </w:r>
          </w:p>
        </w:tc>
        <w:tc>
          <w:tcPr>
            <w:tcW w:w="1356" w:type="dxa"/>
            <w:tcBorders>
              <w:top w:val="nil"/>
              <w:left w:val="nil"/>
              <w:bottom w:val="nil"/>
              <w:right w:val="nil"/>
            </w:tcBorders>
            <w:shd w:val="clear" w:color="000000" w:fill="A6A6A6"/>
            <w:vAlign w:val="bottom"/>
          </w:tcPr>
          <w:p w14:paraId="21D08324" w14:textId="77777777" w:rsidR="008F16FC" w:rsidRPr="008F16FC" w:rsidRDefault="008F16FC" w:rsidP="008F16FC">
            <w:pPr>
              <w:jc w:val="right"/>
              <w:rPr>
                <w:b/>
                <w:bCs/>
                <w:color w:val="000000"/>
                <w:sz w:val="20"/>
                <w:szCs w:val="20"/>
              </w:rPr>
            </w:pPr>
            <w:r w:rsidRPr="008F16FC">
              <w:rPr>
                <w:b/>
                <w:bCs/>
                <w:color w:val="000000"/>
                <w:sz w:val="20"/>
                <w:szCs w:val="20"/>
              </w:rPr>
              <w:t>(231.889)</w:t>
            </w:r>
          </w:p>
        </w:tc>
      </w:tr>
      <w:tr w:rsidR="008F16FC" w:rsidRPr="008F16FC" w14:paraId="3D2F4ACC" w14:textId="77777777" w:rsidTr="008F16FC">
        <w:trPr>
          <w:trHeight w:val="255"/>
        </w:trPr>
        <w:tc>
          <w:tcPr>
            <w:tcW w:w="4576" w:type="dxa"/>
            <w:tcBorders>
              <w:top w:val="nil"/>
              <w:left w:val="nil"/>
              <w:bottom w:val="nil"/>
              <w:right w:val="nil"/>
            </w:tcBorders>
            <w:shd w:val="clear" w:color="000000" w:fill="A6A6A6"/>
            <w:noWrap/>
            <w:vAlign w:val="bottom"/>
            <w:hideMark/>
          </w:tcPr>
          <w:p w14:paraId="5D8FAB47" w14:textId="77777777" w:rsidR="008F16FC" w:rsidRPr="008F16FC" w:rsidRDefault="008F16FC" w:rsidP="008F16FC">
            <w:pPr>
              <w:rPr>
                <w:b/>
                <w:bCs/>
                <w:color w:val="000000"/>
                <w:sz w:val="20"/>
                <w:szCs w:val="20"/>
                <w:lang w:val="es-ES"/>
              </w:rPr>
            </w:pPr>
            <w:r w:rsidRPr="008F16FC">
              <w:rPr>
                <w:b/>
                <w:bCs/>
                <w:color w:val="000000"/>
                <w:sz w:val="20"/>
                <w:szCs w:val="20"/>
                <w:lang w:val="es-ES"/>
              </w:rPr>
              <w:t>Resultado integral total del período</w:t>
            </w:r>
          </w:p>
        </w:tc>
        <w:tc>
          <w:tcPr>
            <w:tcW w:w="1356" w:type="dxa"/>
            <w:tcBorders>
              <w:top w:val="nil"/>
              <w:left w:val="nil"/>
              <w:bottom w:val="nil"/>
              <w:right w:val="nil"/>
            </w:tcBorders>
            <w:shd w:val="clear" w:color="000000" w:fill="A6A6A6"/>
            <w:noWrap/>
            <w:vAlign w:val="bottom"/>
          </w:tcPr>
          <w:p w14:paraId="6BAAB37C" w14:textId="77777777" w:rsidR="008F16FC" w:rsidRPr="008F16FC" w:rsidRDefault="008F16FC" w:rsidP="008F16FC">
            <w:pPr>
              <w:jc w:val="right"/>
              <w:rPr>
                <w:b/>
                <w:bCs/>
                <w:color w:val="000000"/>
                <w:sz w:val="20"/>
                <w:szCs w:val="20"/>
                <w:lang w:val="es-MX"/>
              </w:rPr>
            </w:pPr>
            <w:r w:rsidRPr="008F16FC">
              <w:rPr>
                <w:b/>
                <w:bCs/>
                <w:color w:val="000000"/>
                <w:sz w:val="20"/>
                <w:szCs w:val="20"/>
                <w:lang w:val="es-MX"/>
              </w:rPr>
              <w:t>380.827</w:t>
            </w:r>
          </w:p>
        </w:tc>
        <w:tc>
          <w:tcPr>
            <w:tcW w:w="1356" w:type="dxa"/>
            <w:tcBorders>
              <w:top w:val="nil"/>
              <w:left w:val="nil"/>
              <w:bottom w:val="nil"/>
              <w:right w:val="nil"/>
            </w:tcBorders>
            <w:shd w:val="clear" w:color="000000" w:fill="A6A6A6"/>
            <w:vAlign w:val="bottom"/>
          </w:tcPr>
          <w:p w14:paraId="0EB47D15" w14:textId="77777777" w:rsidR="008F16FC" w:rsidRPr="008F16FC" w:rsidRDefault="008F16FC" w:rsidP="008F16FC">
            <w:pPr>
              <w:jc w:val="right"/>
              <w:rPr>
                <w:b/>
                <w:bCs/>
                <w:color w:val="000000"/>
                <w:sz w:val="20"/>
                <w:szCs w:val="20"/>
                <w:lang w:val="es-MX"/>
              </w:rPr>
            </w:pPr>
            <w:r w:rsidRPr="008F16FC">
              <w:rPr>
                <w:b/>
                <w:bCs/>
                <w:color w:val="000000"/>
                <w:sz w:val="20"/>
                <w:szCs w:val="20"/>
              </w:rPr>
              <w:t>69.854</w:t>
            </w:r>
          </w:p>
        </w:tc>
      </w:tr>
    </w:tbl>
    <w:p w14:paraId="5A55487A" w14:textId="77777777" w:rsidR="008F16FC" w:rsidRPr="008F16FC" w:rsidRDefault="008F16FC" w:rsidP="008F16FC">
      <w:pPr>
        <w:widowControl w:val="0"/>
        <w:jc w:val="both"/>
        <w:rPr>
          <w:rFonts w:eastAsia="Calibri"/>
          <w:sz w:val="20"/>
          <w:szCs w:val="20"/>
          <w:lang w:val="es-MX"/>
        </w:rPr>
      </w:pPr>
    </w:p>
    <w:p w14:paraId="14CA5E65" w14:textId="77777777" w:rsidR="008F16FC" w:rsidRPr="008F16FC" w:rsidRDefault="008F16FC" w:rsidP="008F16FC">
      <w:pPr>
        <w:rPr>
          <w:rFonts w:eastAsia="Calibri"/>
          <w:b/>
          <w:sz w:val="20"/>
          <w:szCs w:val="20"/>
          <w:lang w:val="es-MX"/>
        </w:rPr>
      </w:pPr>
    </w:p>
    <w:p w14:paraId="3293F5A6" w14:textId="77777777" w:rsidR="008F16FC" w:rsidRPr="008F16FC" w:rsidRDefault="008F16FC" w:rsidP="008F16FC">
      <w:pPr>
        <w:rPr>
          <w:rFonts w:eastAsia="Calibri"/>
          <w:b/>
          <w:i/>
          <w:iCs/>
          <w:sz w:val="20"/>
          <w:szCs w:val="20"/>
          <w:lang w:val="es-MX"/>
        </w:rPr>
      </w:pPr>
      <w:r w:rsidRPr="008F16FC">
        <w:rPr>
          <w:rFonts w:eastAsia="Calibri"/>
          <w:b/>
          <w:i/>
          <w:iCs/>
          <w:sz w:val="20"/>
          <w:szCs w:val="20"/>
          <w:lang w:val="es-MX"/>
        </w:rPr>
        <w:t>2. Estado de Situación Patrimonial</w:t>
      </w:r>
    </w:p>
    <w:p w14:paraId="7143BA8B" w14:textId="77777777" w:rsidR="008F16FC" w:rsidRPr="008F16FC" w:rsidRDefault="008F16FC" w:rsidP="008F16FC">
      <w:pPr>
        <w:rPr>
          <w:rFonts w:eastAsia="Calibri"/>
          <w:b/>
          <w:sz w:val="20"/>
          <w:szCs w:val="20"/>
          <w:lang w:val="es-MX"/>
        </w:rPr>
      </w:pPr>
    </w:p>
    <w:p w14:paraId="4E584D26" w14:textId="77777777" w:rsidR="008F16FC" w:rsidRPr="008F16FC" w:rsidRDefault="008F16FC" w:rsidP="008F16FC">
      <w:pPr>
        <w:widowControl w:val="0"/>
        <w:rPr>
          <w:rFonts w:eastAsia="Calibri"/>
          <w:sz w:val="20"/>
          <w:szCs w:val="20"/>
          <w:lang w:val="es-MX"/>
        </w:rPr>
      </w:pPr>
      <w:r w:rsidRPr="008F16FC">
        <w:rPr>
          <w:rFonts w:eastAsia="Calibri"/>
          <w:sz w:val="20"/>
          <w:szCs w:val="20"/>
          <w:lang w:val="es-MX"/>
        </w:rPr>
        <w:t>A continuación, se detalla el Estado de Situación Patrimonial de la Compañía por los ejercicios económicos anuales finalizados el 30 de junio de 2019 y 2018 (expresado en miles de Pesos).</w:t>
      </w:r>
    </w:p>
    <w:p w14:paraId="2C947EF3" w14:textId="77777777" w:rsidR="008F16FC" w:rsidRPr="008F16FC" w:rsidRDefault="008F16FC" w:rsidP="008F16FC">
      <w:pPr>
        <w:rPr>
          <w:rFonts w:eastAsia="Calibri"/>
          <w:b/>
          <w:sz w:val="20"/>
          <w:szCs w:val="20"/>
          <w:lang w:val="es-MX"/>
        </w:rPr>
      </w:pPr>
    </w:p>
    <w:tbl>
      <w:tblPr>
        <w:tblW w:w="6820" w:type="dxa"/>
        <w:tblInd w:w="70" w:type="dxa"/>
        <w:tblCellMar>
          <w:left w:w="70" w:type="dxa"/>
          <w:right w:w="70" w:type="dxa"/>
        </w:tblCellMar>
        <w:tblLook w:val="04A0" w:firstRow="1" w:lastRow="0" w:firstColumn="1" w:lastColumn="0" w:noHBand="0" w:noVBand="1"/>
      </w:tblPr>
      <w:tblGrid>
        <w:gridCol w:w="3708"/>
        <w:gridCol w:w="1556"/>
        <w:gridCol w:w="1556"/>
      </w:tblGrid>
      <w:tr w:rsidR="008F16FC" w:rsidRPr="008F16FC" w14:paraId="2E530C5D" w14:textId="77777777" w:rsidTr="00BA304B">
        <w:trPr>
          <w:trHeight w:val="255"/>
        </w:trPr>
        <w:tc>
          <w:tcPr>
            <w:tcW w:w="3708" w:type="dxa"/>
            <w:tcBorders>
              <w:top w:val="nil"/>
              <w:left w:val="nil"/>
              <w:bottom w:val="nil"/>
              <w:right w:val="nil"/>
            </w:tcBorders>
            <w:shd w:val="clear" w:color="auto" w:fill="auto"/>
            <w:noWrap/>
            <w:vAlign w:val="bottom"/>
            <w:hideMark/>
          </w:tcPr>
          <w:p w14:paraId="57D70971" w14:textId="77777777" w:rsidR="008F16FC" w:rsidRPr="008F16FC" w:rsidRDefault="008F16FC" w:rsidP="008F16FC">
            <w:pPr>
              <w:rPr>
                <w:color w:val="000000"/>
                <w:sz w:val="20"/>
                <w:szCs w:val="20"/>
                <w:lang w:val="es-ES"/>
              </w:rPr>
            </w:pPr>
          </w:p>
        </w:tc>
        <w:tc>
          <w:tcPr>
            <w:tcW w:w="1556" w:type="dxa"/>
            <w:tcBorders>
              <w:top w:val="nil"/>
              <w:left w:val="nil"/>
              <w:bottom w:val="nil"/>
              <w:right w:val="nil"/>
            </w:tcBorders>
            <w:shd w:val="clear" w:color="auto" w:fill="auto"/>
            <w:noWrap/>
            <w:vAlign w:val="bottom"/>
            <w:hideMark/>
          </w:tcPr>
          <w:p w14:paraId="6F9213BB" w14:textId="77777777" w:rsidR="008F16FC" w:rsidRPr="008F16FC" w:rsidRDefault="008F16FC" w:rsidP="008F16FC">
            <w:pPr>
              <w:jc w:val="right"/>
              <w:rPr>
                <w:b/>
                <w:bCs/>
                <w:color w:val="000000"/>
                <w:sz w:val="20"/>
                <w:szCs w:val="20"/>
              </w:rPr>
            </w:pPr>
            <w:r w:rsidRPr="008F16FC">
              <w:rPr>
                <w:b/>
                <w:bCs/>
                <w:color w:val="000000"/>
                <w:sz w:val="20"/>
                <w:szCs w:val="20"/>
              </w:rPr>
              <w:t>30/06/2019</w:t>
            </w:r>
          </w:p>
        </w:tc>
        <w:tc>
          <w:tcPr>
            <w:tcW w:w="1556" w:type="dxa"/>
            <w:tcBorders>
              <w:top w:val="nil"/>
              <w:left w:val="nil"/>
              <w:bottom w:val="nil"/>
              <w:right w:val="nil"/>
            </w:tcBorders>
            <w:shd w:val="clear" w:color="auto" w:fill="auto"/>
            <w:noWrap/>
            <w:vAlign w:val="bottom"/>
            <w:hideMark/>
          </w:tcPr>
          <w:p w14:paraId="520BEB69" w14:textId="77777777" w:rsidR="008F16FC" w:rsidRPr="008F16FC" w:rsidRDefault="008F16FC" w:rsidP="008F16FC">
            <w:pPr>
              <w:jc w:val="right"/>
              <w:rPr>
                <w:b/>
                <w:bCs/>
                <w:color w:val="000000"/>
                <w:sz w:val="20"/>
                <w:szCs w:val="20"/>
              </w:rPr>
            </w:pPr>
            <w:r w:rsidRPr="008F16FC">
              <w:rPr>
                <w:b/>
                <w:bCs/>
                <w:color w:val="000000"/>
                <w:sz w:val="20"/>
                <w:szCs w:val="20"/>
              </w:rPr>
              <w:t>30/06/2018</w:t>
            </w:r>
          </w:p>
        </w:tc>
      </w:tr>
      <w:tr w:rsidR="008F16FC" w:rsidRPr="008F16FC" w14:paraId="24262F90" w14:textId="77777777" w:rsidTr="00BA304B">
        <w:trPr>
          <w:trHeight w:val="255"/>
        </w:trPr>
        <w:tc>
          <w:tcPr>
            <w:tcW w:w="3708" w:type="dxa"/>
            <w:tcBorders>
              <w:top w:val="nil"/>
              <w:left w:val="nil"/>
              <w:bottom w:val="nil"/>
              <w:right w:val="nil"/>
            </w:tcBorders>
            <w:shd w:val="clear" w:color="auto" w:fill="auto"/>
            <w:noWrap/>
            <w:vAlign w:val="bottom"/>
            <w:hideMark/>
          </w:tcPr>
          <w:p w14:paraId="430E10DF" w14:textId="77777777" w:rsidR="008F16FC" w:rsidRPr="008F16FC" w:rsidRDefault="008F16FC" w:rsidP="008F16FC">
            <w:pPr>
              <w:rPr>
                <w:b/>
                <w:bCs/>
                <w:color w:val="000000"/>
                <w:sz w:val="20"/>
                <w:szCs w:val="20"/>
                <w:u w:val="single"/>
              </w:rPr>
            </w:pPr>
            <w:r w:rsidRPr="008F16FC">
              <w:rPr>
                <w:b/>
                <w:bCs/>
                <w:color w:val="000000"/>
                <w:sz w:val="20"/>
                <w:szCs w:val="20"/>
                <w:u w:val="single"/>
              </w:rPr>
              <w:t>ACTIVO</w:t>
            </w:r>
          </w:p>
        </w:tc>
        <w:tc>
          <w:tcPr>
            <w:tcW w:w="1556" w:type="dxa"/>
            <w:tcBorders>
              <w:top w:val="nil"/>
              <w:left w:val="nil"/>
              <w:bottom w:val="nil"/>
              <w:right w:val="nil"/>
            </w:tcBorders>
            <w:shd w:val="clear" w:color="auto" w:fill="auto"/>
            <w:noWrap/>
            <w:vAlign w:val="bottom"/>
            <w:hideMark/>
          </w:tcPr>
          <w:p w14:paraId="0DAA00A0" w14:textId="77777777" w:rsidR="008F16FC" w:rsidRPr="008F16FC" w:rsidRDefault="008F16FC" w:rsidP="008F16FC">
            <w:pPr>
              <w:rPr>
                <w:b/>
                <w:bCs/>
                <w:color w:val="000000"/>
                <w:sz w:val="20"/>
                <w:szCs w:val="20"/>
                <w:u w:val="single"/>
              </w:rPr>
            </w:pPr>
          </w:p>
        </w:tc>
        <w:tc>
          <w:tcPr>
            <w:tcW w:w="1556" w:type="dxa"/>
            <w:tcBorders>
              <w:top w:val="nil"/>
              <w:left w:val="nil"/>
              <w:bottom w:val="nil"/>
              <w:right w:val="nil"/>
            </w:tcBorders>
            <w:shd w:val="clear" w:color="auto" w:fill="auto"/>
            <w:noWrap/>
            <w:vAlign w:val="bottom"/>
            <w:hideMark/>
          </w:tcPr>
          <w:p w14:paraId="4DE6A3C9" w14:textId="77777777" w:rsidR="008F16FC" w:rsidRPr="008F16FC" w:rsidRDefault="008F16FC" w:rsidP="008F16FC">
            <w:pPr>
              <w:rPr>
                <w:b/>
                <w:bCs/>
                <w:color w:val="000000"/>
                <w:sz w:val="20"/>
                <w:szCs w:val="20"/>
                <w:u w:val="single"/>
              </w:rPr>
            </w:pPr>
          </w:p>
        </w:tc>
      </w:tr>
      <w:tr w:rsidR="008F16FC" w:rsidRPr="008F16FC" w14:paraId="6FBF87D4" w14:textId="77777777" w:rsidTr="00BA304B">
        <w:trPr>
          <w:trHeight w:val="255"/>
        </w:trPr>
        <w:tc>
          <w:tcPr>
            <w:tcW w:w="3708" w:type="dxa"/>
            <w:tcBorders>
              <w:top w:val="nil"/>
              <w:left w:val="nil"/>
              <w:bottom w:val="nil"/>
              <w:right w:val="nil"/>
            </w:tcBorders>
            <w:shd w:val="clear" w:color="000000" w:fill="D9D9D9"/>
            <w:noWrap/>
            <w:vAlign w:val="bottom"/>
            <w:hideMark/>
          </w:tcPr>
          <w:p w14:paraId="67FB5D1C" w14:textId="77777777" w:rsidR="008F16FC" w:rsidRPr="008F16FC" w:rsidRDefault="008F16FC" w:rsidP="008F16FC">
            <w:pPr>
              <w:rPr>
                <w:bCs/>
                <w:color w:val="000000"/>
                <w:sz w:val="20"/>
                <w:szCs w:val="20"/>
              </w:rPr>
            </w:pPr>
            <w:r w:rsidRPr="008F16FC">
              <w:rPr>
                <w:bCs/>
                <w:color w:val="000000"/>
                <w:sz w:val="20"/>
                <w:szCs w:val="20"/>
              </w:rPr>
              <w:t>Total Activo Corriente</w:t>
            </w:r>
          </w:p>
        </w:tc>
        <w:tc>
          <w:tcPr>
            <w:tcW w:w="1556" w:type="dxa"/>
            <w:tcBorders>
              <w:top w:val="nil"/>
              <w:left w:val="nil"/>
              <w:bottom w:val="nil"/>
              <w:right w:val="nil"/>
            </w:tcBorders>
            <w:shd w:val="clear" w:color="000000" w:fill="D9D9D9"/>
            <w:noWrap/>
            <w:vAlign w:val="bottom"/>
            <w:hideMark/>
          </w:tcPr>
          <w:p w14:paraId="312FE50C" w14:textId="77777777" w:rsidR="008F16FC" w:rsidRPr="008F16FC" w:rsidRDefault="008F16FC" w:rsidP="008F16FC">
            <w:pPr>
              <w:jc w:val="right"/>
              <w:rPr>
                <w:bCs/>
                <w:color w:val="000000"/>
                <w:sz w:val="20"/>
                <w:szCs w:val="20"/>
              </w:rPr>
            </w:pPr>
            <w:r w:rsidRPr="008F16FC">
              <w:rPr>
                <w:bCs/>
                <w:color w:val="000000"/>
                <w:sz w:val="20"/>
                <w:szCs w:val="20"/>
              </w:rPr>
              <w:t>7.321.769</w:t>
            </w:r>
          </w:p>
        </w:tc>
        <w:tc>
          <w:tcPr>
            <w:tcW w:w="1556" w:type="dxa"/>
            <w:tcBorders>
              <w:top w:val="nil"/>
              <w:left w:val="nil"/>
              <w:bottom w:val="nil"/>
              <w:right w:val="nil"/>
            </w:tcBorders>
            <w:shd w:val="clear" w:color="000000" w:fill="D9D9D9"/>
            <w:noWrap/>
            <w:vAlign w:val="bottom"/>
            <w:hideMark/>
          </w:tcPr>
          <w:p w14:paraId="1572CA17" w14:textId="77777777" w:rsidR="008F16FC" w:rsidRPr="008F16FC" w:rsidRDefault="008F16FC" w:rsidP="008F16FC">
            <w:pPr>
              <w:jc w:val="right"/>
              <w:rPr>
                <w:bCs/>
                <w:color w:val="000000"/>
                <w:sz w:val="20"/>
                <w:szCs w:val="20"/>
              </w:rPr>
            </w:pPr>
            <w:r w:rsidRPr="008F16FC">
              <w:rPr>
                <w:bCs/>
                <w:color w:val="000000"/>
                <w:sz w:val="20"/>
                <w:szCs w:val="20"/>
              </w:rPr>
              <w:t>9.008.961</w:t>
            </w:r>
          </w:p>
        </w:tc>
      </w:tr>
      <w:tr w:rsidR="008F16FC" w:rsidRPr="008F16FC" w14:paraId="2505BA87" w14:textId="77777777" w:rsidTr="00BA304B">
        <w:trPr>
          <w:trHeight w:val="255"/>
        </w:trPr>
        <w:tc>
          <w:tcPr>
            <w:tcW w:w="3708" w:type="dxa"/>
            <w:tcBorders>
              <w:top w:val="nil"/>
              <w:left w:val="nil"/>
              <w:bottom w:val="nil"/>
              <w:right w:val="nil"/>
            </w:tcBorders>
            <w:shd w:val="clear" w:color="000000" w:fill="D9D9D9"/>
            <w:noWrap/>
            <w:vAlign w:val="bottom"/>
            <w:hideMark/>
          </w:tcPr>
          <w:p w14:paraId="21CAC80E" w14:textId="77777777" w:rsidR="008F16FC" w:rsidRPr="008F16FC" w:rsidRDefault="008F16FC" w:rsidP="008F16FC">
            <w:pPr>
              <w:rPr>
                <w:bCs/>
                <w:color w:val="000000"/>
                <w:sz w:val="20"/>
                <w:szCs w:val="20"/>
              </w:rPr>
            </w:pPr>
            <w:r w:rsidRPr="008F16FC">
              <w:rPr>
                <w:bCs/>
                <w:color w:val="000000"/>
                <w:sz w:val="20"/>
                <w:szCs w:val="20"/>
              </w:rPr>
              <w:t>Total Activo No Corriente</w:t>
            </w:r>
          </w:p>
        </w:tc>
        <w:tc>
          <w:tcPr>
            <w:tcW w:w="1556" w:type="dxa"/>
            <w:tcBorders>
              <w:top w:val="nil"/>
              <w:left w:val="nil"/>
              <w:bottom w:val="nil"/>
              <w:right w:val="nil"/>
            </w:tcBorders>
            <w:shd w:val="clear" w:color="000000" w:fill="D9D9D9"/>
            <w:noWrap/>
            <w:vAlign w:val="bottom"/>
            <w:hideMark/>
          </w:tcPr>
          <w:p w14:paraId="7B697442" w14:textId="77777777" w:rsidR="008F16FC" w:rsidRPr="008F16FC" w:rsidRDefault="008F16FC" w:rsidP="008F16FC">
            <w:pPr>
              <w:jc w:val="right"/>
              <w:rPr>
                <w:bCs/>
                <w:color w:val="000000"/>
                <w:sz w:val="20"/>
                <w:szCs w:val="20"/>
              </w:rPr>
            </w:pPr>
            <w:r w:rsidRPr="008F16FC">
              <w:rPr>
                <w:bCs/>
                <w:color w:val="000000"/>
                <w:sz w:val="20"/>
                <w:szCs w:val="20"/>
              </w:rPr>
              <w:t>2.872.205</w:t>
            </w:r>
          </w:p>
        </w:tc>
        <w:tc>
          <w:tcPr>
            <w:tcW w:w="1556" w:type="dxa"/>
            <w:tcBorders>
              <w:top w:val="nil"/>
              <w:left w:val="nil"/>
              <w:bottom w:val="nil"/>
              <w:right w:val="nil"/>
            </w:tcBorders>
            <w:shd w:val="clear" w:color="000000" w:fill="D9D9D9"/>
            <w:noWrap/>
            <w:vAlign w:val="bottom"/>
            <w:hideMark/>
          </w:tcPr>
          <w:p w14:paraId="179E0A81" w14:textId="77777777" w:rsidR="008F16FC" w:rsidRPr="008F16FC" w:rsidRDefault="008F16FC" w:rsidP="008F16FC">
            <w:pPr>
              <w:jc w:val="right"/>
              <w:rPr>
                <w:bCs/>
                <w:color w:val="000000"/>
                <w:sz w:val="20"/>
                <w:szCs w:val="20"/>
              </w:rPr>
            </w:pPr>
            <w:r w:rsidRPr="008F16FC">
              <w:rPr>
                <w:bCs/>
                <w:color w:val="000000"/>
                <w:sz w:val="20"/>
                <w:szCs w:val="20"/>
              </w:rPr>
              <w:t>3.177.811</w:t>
            </w:r>
          </w:p>
        </w:tc>
      </w:tr>
      <w:tr w:rsidR="008F16FC" w:rsidRPr="008F16FC" w14:paraId="5793186D" w14:textId="77777777" w:rsidTr="00BA304B">
        <w:trPr>
          <w:trHeight w:val="255"/>
        </w:trPr>
        <w:tc>
          <w:tcPr>
            <w:tcW w:w="3708" w:type="dxa"/>
            <w:tcBorders>
              <w:top w:val="nil"/>
              <w:left w:val="nil"/>
              <w:bottom w:val="nil"/>
              <w:right w:val="nil"/>
            </w:tcBorders>
            <w:shd w:val="clear" w:color="000000" w:fill="A6A6A6"/>
            <w:noWrap/>
            <w:vAlign w:val="bottom"/>
            <w:hideMark/>
          </w:tcPr>
          <w:p w14:paraId="67D18157" w14:textId="77777777" w:rsidR="008F16FC" w:rsidRPr="008F16FC" w:rsidRDefault="008F16FC" w:rsidP="008F16FC">
            <w:pPr>
              <w:rPr>
                <w:b/>
                <w:bCs/>
                <w:color w:val="000000"/>
                <w:sz w:val="20"/>
                <w:szCs w:val="20"/>
                <w:u w:val="single"/>
              </w:rPr>
            </w:pPr>
            <w:r w:rsidRPr="008F16FC">
              <w:rPr>
                <w:b/>
                <w:bCs/>
                <w:color w:val="000000"/>
                <w:sz w:val="20"/>
                <w:szCs w:val="20"/>
                <w:u w:val="single"/>
              </w:rPr>
              <w:t>TOTAL ACTIVO</w:t>
            </w:r>
          </w:p>
        </w:tc>
        <w:tc>
          <w:tcPr>
            <w:tcW w:w="1556" w:type="dxa"/>
            <w:tcBorders>
              <w:top w:val="nil"/>
              <w:left w:val="nil"/>
              <w:bottom w:val="nil"/>
              <w:right w:val="nil"/>
            </w:tcBorders>
            <w:shd w:val="clear" w:color="000000" w:fill="A6A6A6"/>
            <w:noWrap/>
            <w:vAlign w:val="bottom"/>
            <w:hideMark/>
          </w:tcPr>
          <w:p w14:paraId="6B5BDE90" w14:textId="77777777" w:rsidR="008F16FC" w:rsidRPr="008F16FC" w:rsidRDefault="008F16FC" w:rsidP="008F16FC">
            <w:pPr>
              <w:jc w:val="right"/>
              <w:rPr>
                <w:b/>
                <w:bCs/>
                <w:color w:val="000000"/>
                <w:sz w:val="20"/>
                <w:szCs w:val="20"/>
                <w:u w:val="single"/>
              </w:rPr>
            </w:pPr>
            <w:r w:rsidRPr="008F16FC">
              <w:rPr>
                <w:b/>
                <w:bCs/>
                <w:color w:val="000000"/>
                <w:sz w:val="20"/>
                <w:szCs w:val="20"/>
                <w:u w:val="single"/>
              </w:rPr>
              <w:t>10.193.974</w:t>
            </w:r>
          </w:p>
        </w:tc>
        <w:tc>
          <w:tcPr>
            <w:tcW w:w="1556" w:type="dxa"/>
            <w:tcBorders>
              <w:top w:val="nil"/>
              <w:left w:val="nil"/>
              <w:bottom w:val="nil"/>
              <w:right w:val="nil"/>
            </w:tcBorders>
            <w:shd w:val="clear" w:color="000000" w:fill="A6A6A6"/>
            <w:noWrap/>
            <w:vAlign w:val="bottom"/>
            <w:hideMark/>
          </w:tcPr>
          <w:p w14:paraId="3E763319" w14:textId="77777777" w:rsidR="008F16FC" w:rsidRPr="008F16FC" w:rsidRDefault="008F16FC" w:rsidP="008F16FC">
            <w:pPr>
              <w:jc w:val="right"/>
              <w:rPr>
                <w:b/>
                <w:bCs/>
                <w:color w:val="000000"/>
                <w:sz w:val="20"/>
                <w:szCs w:val="20"/>
                <w:u w:val="single"/>
              </w:rPr>
            </w:pPr>
            <w:r w:rsidRPr="008F16FC">
              <w:rPr>
                <w:b/>
                <w:bCs/>
                <w:color w:val="000000"/>
                <w:sz w:val="20"/>
                <w:szCs w:val="20"/>
                <w:u w:val="single"/>
              </w:rPr>
              <w:t>12.186.772</w:t>
            </w:r>
          </w:p>
        </w:tc>
      </w:tr>
      <w:tr w:rsidR="008F16FC" w:rsidRPr="008F16FC" w14:paraId="4DF53178" w14:textId="77777777" w:rsidTr="00BA304B">
        <w:trPr>
          <w:trHeight w:val="255"/>
        </w:trPr>
        <w:tc>
          <w:tcPr>
            <w:tcW w:w="3708" w:type="dxa"/>
            <w:tcBorders>
              <w:top w:val="nil"/>
              <w:left w:val="nil"/>
              <w:bottom w:val="nil"/>
              <w:right w:val="nil"/>
            </w:tcBorders>
            <w:shd w:val="clear" w:color="auto" w:fill="auto"/>
            <w:noWrap/>
            <w:vAlign w:val="bottom"/>
            <w:hideMark/>
          </w:tcPr>
          <w:p w14:paraId="411CFF57" w14:textId="77777777" w:rsidR="008F16FC" w:rsidRPr="008F16FC" w:rsidRDefault="008F16FC" w:rsidP="008F16FC">
            <w:pPr>
              <w:rPr>
                <w:color w:val="000000"/>
                <w:sz w:val="20"/>
                <w:szCs w:val="20"/>
              </w:rPr>
            </w:pPr>
          </w:p>
        </w:tc>
        <w:tc>
          <w:tcPr>
            <w:tcW w:w="1556" w:type="dxa"/>
            <w:tcBorders>
              <w:top w:val="nil"/>
              <w:left w:val="nil"/>
              <w:bottom w:val="nil"/>
              <w:right w:val="nil"/>
            </w:tcBorders>
            <w:shd w:val="clear" w:color="auto" w:fill="auto"/>
            <w:noWrap/>
            <w:vAlign w:val="bottom"/>
            <w:hideMark/>
          </w:tcPr>
          <w:p w14:paraId="107C7C1C" w14:textId="77777777" w:rsidR="008F16FC" w:rsidRPr="008F16FC" w:rsidRDefault="008F16FC" w:rsidP="008F16FC">
            <w:pPr>
              <w:rPr>
                <w:b/>
                <w:color w:val="000000"/>
                <w:sz w:val="20"/>
                <w:szCs w:val="20"/>
              </w:rPr>
            </w:pPr>
          </w:p>
        </w:tc>
        <w:tc>
          <w:tcPr>
            <w:tcW w:w="1556" w:type="dxa"/>
            <w:tcBorders>
              <w:top w:val="nil"/>
              <w:left w:val="nil"/>
              <w:bottom w:val="nil"/>
              <w:right w:val="nil"/>
            </w:tcBorders>
            <w:shd w:val="clear" w:color="auto" w:fill="auto"/>
            <w:noWrap/>
            <w:vAlign w:val="bottom"/>
            <w:hideMark/>
          </w:tcPr>
          <w:p w14:paraId="12B1E6F0" w14:textId="77777777" w:rsidR="008F16FC" w:rsidRPr="008F16FC" w:rsidRDefault="008F16FC" w:rsidP="008F16FC">
            <w:pPr>
              <w:rPr>
                <w:b/>
                <w:color w:val="000000"/>
                <w:sz w:val="20"/>
                <w:szCs w:val="20"/>
              </w:rPr>
            </w:pPr>
          </w:p>
        </w:tc>
      </w:tr>
      <w:tr w:rsidR="008F16FC" w:rsidRPr="008F16FC" w14:paraId="4D433410" w14:textId="77777777" w:rsidTr="00BA304B">
        <w:trPr>
          <w:trHeight w:val="255"/>
        </w:trPr>
        <w:tc>
          <w:tcPr>
            <w:tcW w:w="3708" w:type="dxa"/>
            <w:tcBorders>
              <w:top w:val="nil"/>
              <w:left w:val="nil"/>
              <w:bottom w:val="nil"/>
              <w:right w:val="nil"/>
            </w:tcBorders>
            <w:shd w:val="clear" w:color="auto" w:fill="auto"/>
            <w:noWrap/>
            <w:vAlign w:val="bottom"/>
            <w:hideMark/>
          </w:tcPr>
          <w:p w14:paraId="5277AFD8" w14:textId="77777777" w:rsidR="008F16FC" w:rsidRPr="008F16FC" w:rsidRDefault="008F16FC" w:rsidP="008F16FC">
            <w:pPr>
              <w:rPr>
                <w:b/>
                <w:bCs/>
                <w:color w:val="000000"/>
                <w:sz w:val="20"/>
                <w:szCs w:val="20"/>
                <w:u w:val="single"/>
              </w:rPr>
            </w:pPr>
            <w:r w:rsidRPr="008F16FC">
              <w:rPr>
                <w:b/>
                <w:bCs/>
                <w:color w:val="000000"/>
                <w:sz w:val="20"/>
                <w:szCs w:val="20"/>
                <w:u w:val="single"/>
              </w:rPr>
              <w:t>PASIVO</w:t>
            </w:r>
          </w:p>
        </w:tc>
        <w:tc>
          <w:tcPr>
            <w:tcW w:w="1556" w:type="dxa"/>
            <w:tcBorders>
              <w:top w:val="nil"/>
              <w:left w:val="nil"/>
              <w:bottom w:val="nil"/>
              <w:right w:val="nil"/>
            </w:tcBorders>
            <w:shd w:val="clear" w:color="auto" w:fill="auto"/>
            <w:noWrap/>
            <w:vAlign w:val="bottom"/>
            <w:hideMark/>
          </w:tcPr>
          <w:p w14:paraId="54A1D6D9" w14:textId="77777777" w:rsidR="008F16FC" w:rsidRPr="008F16FC" w:rsidRDefault="008F16FC" w:rsidP="008F16FC">
            <w:pPr>
              <w:rPr>
                <w:b/>
                <w:bCs/>
                <w:color w:val="000000"/>
                <w:sz w:val="20"/>
                <w:szCs w:val="20"/>
                <w:u w:val="single"/>
              </w:rPr>
            </w:pPr>
          </w:p>
        </w:tc>
        <w:tc>
          <w:tcPr>
            <w:tcW w:w="1556" w:type="dxa"/>
            <w:tcBorders>
              <w:top w:val="nil"/>
              <w:left w:val="nil"/>
              <w:bottom w:val="nil"/>
              <w:right w:val="nil"/>
            </w:tcBorders>
            <w:shd w:val="clear" w:color="auto" w:fill="auto"/>
            <w:noWrap/>
            <w:vAlign w:val="bottom"/>
            <w:hideMark/>
          </w:tcPr>
          <w:p w14:paraId="5FBC1374" w14:textId="77777777" w:rsidR="008F16FC" w:rsidRPr="008F16FC" w:rsidRDefault="008F16FC" w:rsidP="008F16FC">
            <w:pPr>
              <w:rPr>
                <w:b/>
                <w:bCs/>
                <w:color w:val="000000"/>
                <w:sz w:val="20"/>
                <w:szCs w:val="20"/>
                <w:u w:val="single"/>
              </w:rPr>
            </w:pPr>
          </w:p>
        </w:tc>
      </w:tr>
      <w:tr w:rsidR="008F16FC" w:rsidRPr="008F16FC" w14:paraId="0356AAC0" w14:textId="77777777" w:rsidTr="00BA304B">
        <w:trPr>
          <w:trHeight w:val="255"/>
        </w:trPr>
        <w:tc>
          <w:tcPr>
            <w:tcW w:w="3708" w:type="dxa"/>
            <w:tcBorders>
              <w:top w:val="nil"/>
              <w:left w:val="nil"/>
              <w:bottom w:val="nil"/>
              <w:right w:val="nil"/>
            </w:tcBorders>
            <w:shd w:val="clear" w:color="000000" w:fill="D9D9D9"/>
            <w:noWrap/>
            <w:vAlign w:val="bottom"/>
            <w:hideMark/>
          </w:tcPr>
          <w:p w14:paraId="26312B5F" w14:textId="77777777" w:rsidR="008F16FC" w:rsidRPr="008F16FC" w:rsidRDefault="008F16FC" w:rsidP="008F16FC">
            <w:pPr>
              <w:rPr>
                <w:bCs/>
                <w:color w:val="000000"/>
                <w:sz w:val="20"/>
                <w:szCs w:val="20"/>
              </w:rPr>
            </w:pPr>
            <w:r w:rsidRPr="008F16FC">
              <w:rPr>
                <w:bCs/>
                <w:color w:val="000000"/>
                <w:sz w:val="20"/>
                <w:szCs w:val="20"/>
              </w:rPr>
              <w:t>Total Pasivo Corriente</w:t>
            </w:r>
          </w:p>
        </w:tc>
        <w:tc>
          <w:tcPr>
            <w:tcW w:w="1556" w:type="dxa"/>
            <w:tcBorders>
              <w:top w:val="nil"/>
              <w:left w:val="nil"/>
              <w:bottom w:val="nil"/>
              <w:right w:val="nil"/>
            </w:tcBorders>
            <w:shd w:val="clear" w:color="000000" w:fill="D9D9D9"/>
            <w:noWrap/>
            <w:vAlign w:val="bottom"/>
            <w:hideMark/>
          </w:tcPr>
          <w:p w14:paraId="4759A205" w14:textId="77777777" w:rsidR="008F16FC" w:rsidRPr="008F16FC" w:rsidRDefault="008F16FC" w:rsidP="008F16FC">
            <w:pPr>
              <w:jc w:val="right"/>
              <w:rPr>
                <w:bCs/>
                <w:color w:val="000000"/>
                <w:sz w:val="20"/>
                <w:szCs w:val="20"/>
              </w:rPr>
            </w:pPr>
            <w:r w:rsidRPr="008F16FC">
              <w:rPr>
                <w:bCs/>
                <w:color w:val="000000"/>
                <w:sz w:val="20"/>
                <w:szCs w:val="20"/>
              </w:rPr>
              <w:t>6.905.178</w:t>
            </w:r>
          </w:p>
        </w:tc>
        <w:tc>
          <w:tcPr>
            <w:tcW w:w="1556" w:type="dxa"/>
            <w:tcBorders>
              <w:top w:val="nil"/>
              <w:left w:val="nil"/>
              <w:bottom w:val="nil"/>
              <w:right w:val="nil"/>
            </w:tcBorders>
            <w:shd w:val="clear" w:color="000000" w:fill="D9D9D9"/>
            <w:noWrap/>
            <w:vAlign w:val="bottom"/>
            <w:hideMark/>
          </w:tcPr>
          <w:p w14:paraId="54A970BB" w14:textId="77777777" w:rsidR="008F16FC" w:rsidRPr="008F16FC" w:rsidRDefault="008F16FC" w:rsidP="008F16FC">
            <w:pPr>
              <w:jc w:val="right"/>
              <w:rPr>
                <w:bCs/>
                <w:color w:val="000000"/>
                <w:sz w:val="20"/>
                <w:szCs w:val="20"/>
              </w:rPr>
            </w:pPr>
            <w:r w:rsidRPr="008F16FC">
              <w:rPr>
                <w:bCs/>
                <w:color w:val="000000"/>
                <w:sz w:val="20"/>
                <w:szCs w:val="20"/>
              </w:rPr>
              <w:t>9.002.387</w:t>
            </w:r>
          </w:p>
        </w:tc>
      </w:tr>
      <w:tr w:rsidR="008F16FC" w:rsidRPr="008F16FC" w14:paraId="6BC7362F" w14:textId="77777777" w:rsidTr="00BA304B">
        <w:trPr>
          <w:trHeight w:val="255"/>
        </w:trPr>
        <w:tc>
          <w:tcPr>
            <w:tcW w:w="3708" w:type="dxa"/>
            <w:tcBorders>
              <w:top w:val="nil"/>
              <w:left w:val="nil"/>
              <w:bottom w:val="nil"/>
              <w:right w:val="nil"/>
            </w:tcBorders>
            <w:shd w:val="clear" w:color="000000" w:fill="D9D9D9"/>
            <w:noWrap/>
            <w:vAlign w:val="bottom"/>
            <w:hideMark/>
          </w:tcPr>
          <w:p w14:paraId="2EE1420C" w14:textId="77777777" w:rsidR="008F16FC" w:rsidRPr="008F16FC" w:rsidRDefault="008F16FC" w:rsidP="008F16FC">
            <w:pPr>
              <w:rPr>
                <w:bCs/>
                <w:color w:val="000000"/>
                <w:sz w:val="20"/>
                <w:szCs w:val="20"/>
              </w:rPr>
            </w:pPr>
            <w:r w:rsidRPr="008F16FC">
              <w:rPr>
                <w:bCs/>
                <w:color w:val="000000"/>
                <w:sz w:val="20"/>
                <w:szCs w:val="20"/>
              </w:rPr>
              <w:t>Total Pasivo No Corriente</w:t>
            </w:r>
          </w:p>
        </w:tc>
        <w:tc>
          <w:tcPr>
            <w:tcW w:w="1556" w:type="dxa"/>
            <w:tcBorders>
              <w:top w:val="nil"/>
              <w:left w:val="nil"/>
              <w:bottom w:val="nil"/>
              <w:right w:val="nil"/>
            </w:tcBorders>
            <w:shd w:val="clear" w:color="000000" w:fill="D9D9D9"/>
            <w:noWrap/>
            <w:vAlign w:val="bottom"/>
            <w:hideMark/>
          </w:tcPr>
          <w:p w14:paraId="12AF85FA" w14:textId="77777777" w:rsidR="008F16FC" w:rsidRPr="008F16FC" w:rsidRDefault="008F16FC" w:rsidP="008F16FC">
            <w:pPr>
              <w:jc w:val="right"/>
              <w:rPr>
                <w:bCs/>
                <w:color w:val="000000"/>
                <w:sz w:val="20"/>
                <w:szCs w:val="20"/>
              </w:rPr>
            </w:pPr>
            <w:r w:rsidRPr="008F16FC">
              <w:rPr>
                <w:bCs/>
                <w:color w:val="000000"/>
                <w:sz w:val="20"/>
                <w:szCs w:val="20"/>
              </w:rPr>
              <w:t>773.891</w:t>
            </w:r>
          </w:p>
        </w:tc>
        <w:tc>
          <w:tcPr>
            <w:tcW w:w="1556" w:type="dxa"/>
            <w:tcBorders>
              <w:top w:val="nil"/>
              <w:left w:val="nil"/>
              <w:bottom w:val="nil"/>
              <w:right w:val="nil"/>
            </w:tcBorders>
            <w:shd w:val="clear" w:color="000000" w:fill="D9D9D9"/>
            <w:noWrap/>
            <w:vAlign w:val="bottom"/>
            <w:hideMark/>
          </w:tcPr>
          <w:p w14:paraId="72B38376" w14:textId="77777777" w:rsidR="008F16FC" w:rsidRPr="008F16FC" w:rsidRDefault="008F16FC" w:rsidP="008F16FC">
            <w:pPr>
              <w:jc w:val="right"/>
              <w:rPr>
                <w:bCs/>
                <w:color w:val="000000"/>
                <w:sz w:val="20"/>
                <w:szCs w:val="20"/>
              </w:rPr>
            </w:pPr>
            <w:r w:rsidRPr="008F16FC">
              <w:rPr>
                <w:bCs/>
                <w:color w:val="000000"/>
                <w:sz w:val="20"/>
                <w:szCs w:val="20"/>
              </w:rPr>
              <w:t>731.578</w:t>
            </w:r>
          </w:p>
        </w:tc>
      </w:tr>
      <w:tr w:rsidR="008F16FC" w:rsidRPr="008F16FC" w14:paraId="3AD62143" w14:textId="77777777" w:rsidTr="00BA304B">
        <w:trPr>
          <w:trHeight w:val="255"/>
        </w:trPr>
        <w:tc>
          <w:tcPr>
            <w:tcW w:w="3708" w:type="dxa"/>
            <w:tcBorders>
              <w:top w:val="nil"/>
              <w:left w:val="nil"/>
              <w:bottom w:val="nil"/>
              <w:right w:val="nil"/>
            </w:tcBorders>
            <w:shd w:val="clear" w:color="000000" w:fill="A6A6A6"/>
            <w:noWrap/>
            <w:vAlign w:val="bottom"/>
            <w:hideMark/>
          </w:tcPr>
          <w:p w14:paraId="54768DB4" w14:textId="77777777" w:rsidR="008F16FC" w:rsidRPr="008F16FC" w:rsidRDefault="008F16FC" w:rsidP="008F16FC">
            <w:pPr>
              <w:rPr>
                <w:b/>
                <w:bCs/>
                <w:color w:val="000000"/>
                <w:sz w:val="20"/>
                <w:szCs w:val="20"/>
                <w:u w:val="single"/>
              </w:rPr>
            </w:pPr>
            <w:r w:rsidRPr="008F16FC">
              <w:rPr>
                <w:b/>
                <w:bCs/>
                <w:color w:val="000000"/>
                <w:sz w:val="20"/>
                <w:szCs w:val="20"/>
                <w:u w:val="single"/>
              </w:rPr>
              <w:t>TOTAL PASIVO</w:t>
            </w:r>
          </w:p>
        </w:tc>
        <w:tc>
          <w:tcPr>
            <w:tcW w:w="1556" w:type="dxa"/>
            <w:tcBorders>
              <w:top w:val="nil"/>
              <w:left w:val="nil"/>
              <w:bottom w:val="nil"/>
              <w:right w:val="nil"/>
            </w:tcBorders>
            <w:shd w:val="clear" w:color="000000" w:fill="A6A6A6"/>
            <w:noWrap/>
            <w:vAlign w:val="bottom"/>
            <w:hideMark/>
          </w:tcPr>
          <w:p w14:paraId="63270A21" w14:textId="77777777" w:rsidR="008F16FC" w:rsidRPr="008F16FC" w:rsidRDefault="008F16FC" w:rsidP="008F16FC">
            <w:pPr>
              <w:jc w:val="right"/>
              <w:rPr>
                <w:b/>
                <w:bCs/>
                <w:color w:val="000000"/>
                <w:sz w:val="20"/>
                <w:szCs w:val="20"/>
                <w:u w:val="single"/>
              </w:rPr>
            </w:pPr>
            <w:r w:rsidRPr="008F16FC">
              <w:rPr>
                <w:b/>
                <w:bCs/>
                <w:color w:val="000000"/>
                <w:sz w:val="20"/>
                <w:szCs w:val="20"/>
                <w:u w:val="single"/>
              </w:rPr>
              <w:t>7.679.069</w:t>
            </w:r>
          </w:p>
        </w:tc>
        <w:tc>
          <w:tcPr>
            <w:tcW w:w="1556" w:type="dxa"/>
            <w:tcBorders>
              <w:top w:val="nil"/>
              <w:left w:val="nil"/>
              <w:bottom w:val="nil"/>
              <w:right w:val="nil"/>
            </w:tcBorders>
            <w:shd w:val="clear" w:color="000000" w:fill="A6A6A6"/>
            <w:noWrap/>
            <w:vAlign w:val="bottom"/>
            <w:hideMark/>
          </w:tcPr>
          <w:p w14:paraId="6BBC88B9" w14:textId="77777777" w:rsidR="008F16FC" w:rsidRPr="008F16FC" w:rsidRDefault="008F16FC" w:rsidP="008F16FC">
            <w:pPr>
              <w:jc w:val="right"/>
              <w:rPr>
                <w:b/>
                <w:bCs/>
                <w:color w:val="000000"/>
                <w:sz w:val="20"/>
                <w:szCs w:val="20"/>
                <w:u w:val="single"/>
              </w:rPr>
            </w:pPr>
            <w:r w:rsidRPr="008F16FC">
              <w:rPr>
                <w:b/>
                <w:bCs/>
                <w:color w:val="000000"/>
                <w:sz w:val="20"/>
                <w:szCs w:val="20"/>
                <w:u w:val="single"/>
              </w:rPr>
              <w:t>9.733.965</w:t>
            </w:r>
          </w:p>
        </w:tc>
      </w:tr>
      <w:tr w:rsidR="008F16FC" w:rsidRPr="008F16FC" w14:paraId="004175E4" w14:textId="77777777" w:rsidTr="00BA304B">
        <w:trPr>
          <w:trHeight w:val="255"/>
        </w:trPr>
        <w:tc>
          <w:tcPr>
            <w:tcW w:w="3708" w:type="dxa"/>
            <w:tcBorders>
              <w:top w:val="nil"/>
              <w:left w:val="nil"/>
              <w:bottom w:val="nil"/>
              <w:right w:val="nil"/>
            </w:tcBorders>
            <w:shd w:val="clear" w:color="auto" w:fill="auto"/>
            <w:noWrap/>
            <w:vAlign w:val="bottom"/>
            <w:hideMark/>
          </w:tcPr>
          <w:p w14:paraId="43C6CB26" w14:textId="77777777" w:rsidR="008F16FC" w:rsidRPr="008F16FC" w:rsidRDefault="008F16FC" w:rsidP="008F16FC">
            <w:pPr>
              <w:rPr>
                <w:color w:val="000000"/>
                <w:sz w:val="20"/>
                <w:szCs w:val="20"/>
              </w:rPr>
            </w:pPr>
          </w:p>
        </w:tc>
        <w:tc>
          <w:tcPr>
            <w:tcW w:w="1556" w:type="dxa"/>
            <w:tcBorders>
              <w:top w:val="nil"/>
              <w:left w:val="nil"/>
              <w:bottom w:val="nil"/>
              <w:right w:val="nil"/>
            </w:tcBorders>
            <w:shd w:val="clear" w:color="auto" w:fill="auto"/>
            <w:noWrap/>
            <w:vAlign w:val="bottom"/>
            <w:hideMark/>
          </w:tcPr>
          <w:p w14:paraId="3C6C5968" w14:textId="77777777" w:rsidR="008F16FC" w:rsidRPr="008F16FC" w:rsidRDefault="008F16FC" w:rsidP="008F16FC">
            <w:pPr>
              <w:rPr>
                <w:color w:val="000000"/>
                <w:sz w:val="20"/>
                <w:szCs w:val="20"/>
              </w:rPr>
            </w:pPr>
          </w:p>
        </w:tc>
        <w:tc>
          <w:tcPr>
            <w:tcW w:w="1556" w:type="dxa"/>
            <w:tcBorders>
              <w:top w:val="nil"/>
              <w:left w:val="nil"/>
              <w:bottom w:val="nil"/>
              <w:right w:val="nil"/>
            </w:tcBorders>
            <w:shd w:val="clear" w:color="auto" w:fill="auto"/>
            <w:noWrap/>
            <w:vAlign w:val="bottom"/>
            <w:hideMark/>
          </w:tcPr>
          <w:p w14:paraId="23AEB423" w14:textId="77777777" w:rsidR="008F16FC" w:rsidRPr="008F16FC" w:rsidRDefault="008F16FC" w:rsidP="008F16FC">
            <w:pPr>
              <w:rPr>
                <w:color w:val="000000"/>
                <w:sz w:val="20"/>
                <w:szCs w:val="20"/>
              </w:rPr>
            </w:pPr>
          </w:p>
        </w:tc>
      </w:tr>
      <w:tr w:rsidR="008F16FC" w:rsidRPr="008F16FC" w14:paraId="0BE527F6" w14:textId="77777777" w:rsidTr="00BA304B">
        <w:trPr>
          <w:trHeight w:val="255"/>
        </w:trPr>
        <w:tc>
          <w:tcPr>
            <w:tcW w:w="3708" w:type="dxa"/>
            <w:tcBorders>
              <w:top w:val="nil"/>
              <w:left w:val="nil"/>
              <w:bottom w:val="nil"/>
              <w:right w:val="nil"/>
            </w:tcBorders>
            <w:shd w:val="clear" w:color="auto" w:fill="auto"/>
            <w:noWrap/>
            <w:vAlign w:val="bottom"/>
            <w:hideMark/>
          </w:tcPr>
          <w:p w14:paraId="6A5450C4" w14:textId="77777777" w:rsidR="008F16FC" w:rsidRPr="008F16FC" w:rsidRDefault="008F16FC" w:rsidP="008F16FC">
            <w:pPr>
              <w:rPr>
                <w:b/>
                <w:bCs/>
                <w:color w:val="000000"/>
                <w:sz w:val="20"/>
                <w:szCs w:val="20"/>
                <w:u w:val="single"/>
              </w:rPr>
            </w:pPr>
            <w:r w:rsidRPr="008F16FC">
              <w:rPr>
                <w:b/>
                <w:bCs/>
                <w:color w:val="000000"/>
                <w:sz w:val="20"/>
                <w:szCs w:val="20"/>
                <w:u w:val="single"/>
              </w:rPr>
              <w:t>PATRIMONIO NETO</w:t>
            </w:r>
          </w:p>
        </w:tc>
        <w:tc>
          <w:tcPr>
            <w:tcW w:w="1556" w:type="dxa"/>
            <w:tcBorders>
              <w:top w:val="nil"/>
              <w:left w:val="nil"/>
              <w:bottom w:val="nil"/>
              <w:right w:val="nil"/>
            </w:tcBorders>
            <w:shd w:val="clear" w:color="auto" w:fill="auto"/>
            <w:noWrap/>
            <w:vAlign w:val="bottom"/>
            <w:hideMark/>
          </w:tcPr>
          <w:p w14:paraId="3FAB5E19" w14:textId="77777777" w:rsidR="008F16FC" w:rsidRPr="008F16FC" w:rsidRDefault="008F16FC" w:rsidP="008F16FC">
            <w:pPr>
              <w:rPr>
                <w:b/>
                <w:bCs/>
                <w:color w:val="000000"/>
                <w:sz w:val="20"/>
                <w:szCs w:val="20"/>
                <w:u w:val="single"/>
              </w:rPr>
            </w:pPr>
          </w:p>
        </w:tc>
        <w:tc>
          <w:tcPr>
            <w:tcW w:w="1556" w:type="dxa"/>
            <w:tcBorders>
              <w:top w:val="nil"/>
              <w:left w:val="nil"/>
              <w:bottom w:val="nil"/>
              <w:right w:val="nil"/>
            </w:tcBorders>
            <w:shd w:val="clear" w:color="auto" w:fill="auto"/>
            <w:noWrap/>
            <w:vAlign w:val="bottom"/>
            <w:hideMark/>
          </w:tcPr>
          <w:p w14:paraId="2C45C6B7" w14:textId="77777777" w:rsidR="008F16FC" w:rsidRPr="008F16FC" w:rsidRDefault="008F16FC" w:rsidP="008F16FC">
            <w:pPr>
              <w:rPr>
                <w:b/>
                <w:bCs/>
                <w:color w:val="000000"/>
                <w:sz w:val="20"/>
                <w:szCs w:val="20"/>
                <w:u w:val="single"/>
              </w:rPr>
            </w:pPr>
          </w:p>
        </w:tc>
      </w:tr>
      <w:tr w:rsidR="008F16FC" w:rsidRPr="008F16FC" w14:paraId="2C1633D6" w14:textId="77777777" w:rsidTr="00BA304B">
        <w:trPr>
          <w:trHeight w:val="255"/>
        </w:trPr>
        <w:tc>
          <w:tcPr>
            <w:tcW w:w="3708" w:type="dxa"/>
            <w:tcBorders>
              <w:top w:val="nil"/>
              <w:left w:val="nil"/>
              <w:bottom w:val="nil"/>
              <w:right w:val="nil"/>
            </w:tcBorders>
            <w:shd w:val="clear" w:color="auto" w:fill="auto"/>
            <w:noWrap/>
            <w:vAlign w:val="bottom"/>
            <w:hideMark/>
          </w:tcPr>
          <w:p w14:paraId="713AB4CC" w14:textId="77777777" w:rsidR="008F16FC" w:rsidRPr="008F16FC" w:rsidRDefault="008F16FC" w:rsidP="008F16FC">
            <w:pPr>
              <w:rPr>
                <w:color w:val="000000"/>
                <w:sz w:val="20"/>
                <w:szCs w:val="20"/>
              </w:rPr>
            </w:pPr>
            <w:r w:rsidRPr="008F16FC">
              <w:rPr>
                <w:color w:val="000000"/>
                <w:sz w:val="20"/>
                <w:szCs w:val="20"/>
              </w:rPr>
              <w:t>Capital</w:t>
            </w:r>
          </w:p>
        </w:tc>
        <w:tc>
          <w:tcPr>
            <w:tcW w:w="1556" w:type="dxa"/>
            <w:tcBorders>
              <w:top w:val="nil"/>
              <w:left w:val="nil"/>
              <w:bottom w:val="nil"/>
              <w:right w:val="nil"/>
            </w:tcBorders>
            <w:shd w:val="clear" w:color="auto" w:fill="auto"/>
            <w:noWrap/>
            <w:vAlign w:val="bottom"/>
            <w:hideMark/>
          </w:tcPr>
          <w:p w14:paraId="7436EB4B" w14:textId="77777777" w:rsidR="008F16FC" w:rsidRPr="008F16FC" w:rsidRDefault="008F16FC" w:rsidP="008F16FC">
            <w:pPr>
              <w:jc w:val="right"/>
              <w:rPr>
                <w:color w:val="000000"/>
                <w:sz w:val="20"/>
                <w:szCs w:val="20"/>
              </w:rPr>
            </w:pPr>
            <w:r w:rsidRPr="008F16FC">
              <w:rPr>
                <w:color w:val="000000"/>
                <w:sz w:val="20"/>
                <w:szCs w:val="20"/>
              </w:rPr>
              <w:t>350.000</w:t>
            </w:r>
          </w:p>
        </w:tc>
        <w:tc>
          <w:tcPr>
            <w:tcW w:w="1556" w:type="dxa"/>
            <w:tcBorders>
              <w:top w:val="nil"/>
              <w:left w:val="nil"/>
              <w:bottom w:val="nil"/>
              <w:right w:val="nil"/>
            </w:tcBorders>
            <w:shd w:val="clear" w:color="auto" w:fill="auto"/>
            <w:noWrap/>
            <w:vAlign w:val="bottom"/>
            <w:hideMark/>
          </w:tcPr>
          <w:p w14:paraId="79ED9FBE" w14:textId="77777777" w:rsidR="008F16FC" w:rsidRPr="008F16FC" w:rsidRDefault="008F16FC" w:rsidP="008F16FC">
            <w:pPr>
              <w:jc w:val="right"/>
              <w:rPr>
                <w:color w:val="000000"/>
                <w:sz w:val="20"/>
                <w:szCs w:val="20"/>
              </w:rPr>
            </w:pPr>
            <w:r w:rsidRPr="008F16FC">
              <w:rPr>
                <w:color w:val="000000"/>
                <w:sz w:val="20"/>
                <w:szCs w:val="20"/>
              </w:rPr>
              <w:t>350.000</w:t>
            </w:r>
          </w:p>
        </w:tc>
      </w:tr>
      <w:tr w:rsidR="008F16FC" w:rsidRPr="008F16FC" w14:paraId="41EAA6AB" w14:textId="77777777" w:rsidTr="00BA304B">
        <w:trPr>
          <w:trHeight w:val="255"/>
        </w:trPr>
        <w:tc>
          <w:tcPr>
            <w:tcW w:w="3708" w:type="dxa"/>
            <w:tcBorders>
              <w:top w:val="nil"/>
              <w:left w:val="nil"/>
              <w:bottom w:val="nil"/>
              <w:right w:val="nil"/>
            </w:tcBorders>
            <w:shd w:val="clear" w:color="auto" w:fill="auto"/>
            <w:noWrap/>
            <w:vAlign w:val="bottom"/>
            <w:hideMark/>
          </w:tcPr>
          <w:p w14:paraId="6ACF5D4D" w14:textId="77777777" w:rsidR="008F16FC" w:rsidRPr="008F16FC" w:rsidRDefault="008F16FC" w:rsidP="008F16FC">
            <w:pPr>
              <w:rPr>
                <w:color w:val="000000"/>
                <w:sz w:val="20"/>
                <w:szCs w:val="20"/>
              </w:rPr>
            </w:pPr>
            <w:r w:rsidRPr="008F16FC">
              <w:rPr>
                <w:color w:val="000000"/>
                <w:sz w:val="20"/>
                <w:szCs w:val="20"/>
              </w:rPr>
              <w:t>Ajuste del Capital</w:t>
            </w:r>
          </w:p>
        </w:tc>
        <w:tc>
          <w:tcPr>
            <w:tcW w:w="1556" w:type="dxa"/>
            <w:tcBorders>
              <w:top w:val="nil"/>
              <w:left w:val="nil"/>
              <w:bottom w:val="nil"/>
              <w:right w:val="nil"/>
            </w:tcBorders>
            <w:shd w:val="clear" w:color="auto" w:fill="auto"/>
            <w:noWrap/>
            <w:vAlign w:val="bottom"/>
            <w:hideMark/>
          </w:tcPr>
          <w:p w14:paraId="303B3488" w14:textId="77777777" w:rsidR="008F16FC" w:rsidRPr="008F16FC" w:rsidRDefault="008F16FC" w:rsidP="008F16FC">
            <w:pPr>
              <w:jc w:val="right"/>
              <w:rPr>
                <w:color w:val="000000"/>
                <w:sz w:val="20"/>
                <w:szCs w:val="20"/>
              </w:rPr>
            </w:pPr>
            <w:r w:rsidRPr="008F16FC">
              <w:rPr>
                <w:color w:val="000000"/>
                <w:sz w:val="20"/>
                <w:szCs w:val="20"/>
              </w:rPr>
              <w:t>861.855</w:t>
            </w:r>
          </w:p>
        </w:tc>
        <w:tc>
          <w:tcPr>
            <w:tcW w:w="1556" w:type="dxa"/>
            <w:tcBorders>
              <w:top w:val="nil"/>
              <w:left w:val="nil"/>
              <w:bottom w:val="nil"/>
              <w:right w:val="nil"/>
            </w:tcBorders>
            <w:shd w:val="clear" w:color="auto" w:fill="auto"/>
            <w:noWrap/>
            <w:vAlign w:val="bottom"/>
            <w:hideMark/>
          </w:tcPr>
          <w:p w14:paraId="6A5B0C10" w14:textId="77777777" w:rsidR="008F16FC" w:rsidRPr="008F16FC" w:rsidRDefault="008F16FC" w:rsidP="008F16FC">
            <w:pPr>
              <w:jc w:val="right"/>
              <w:rPr>
                <w:color w:val="000000"/>
                <w:sz w:val="20"/>
                <w:szCs w:val="20"/>
              </w:rPr>
            </w:pPr>
            <w:r w:rsidRPr="008F16FC">
              <w:rPr>
                <w:color w:val="000000"/>
                <w:sz w:val="20"/>
                <w:szCs w:val="20"/>
              </w:rPr>
              <w:t>861.855</w:t>
            </w:r>
          </w:p>
        </w:tc>
      </w:tr>
      <w:tr w:rsidR="008F16FC" w:rsidRPr="008F16FC" w14:paraId="14393E49" w14:textId="77777777" w:rsidTr="00BA304B">
        <w:trPr>
          <w:trHeight w:val="255"/>
        </w:trPr>
        <w:tc>
          <w:tcPr>
            <w:tcW w:w="3708" w:type="dxa"/>
            <w:tcBorders>
              <w:top w:val="nil"/>
              <w:left w:val="nil"/>
              <w:bottom w:val="nil"/>
              <w:right w:val="nil"/>
            </w:tcBorders>
            <w:shd w:val="clear" w:color="auto" w:fill="auto"/>
            <w:noWrap/>
            <w:vAlign w:val="bottom"/>
            <w:hideMark/>
          </w:tcPr>
          <w:p w14:paraId="6208B454" w14:textId="77777777" w:rsidR="008F16FC" w:rsidRPr="008F16FC" w:rsidRDefault="008F16FC" w:rsidP="008F16FC">
            <w:pPr>
              <w:rPr>
                <w:color w:val="000000"/>
                <w:sz w:val="20"/>
                <w:szCs w:val="20"/>
                <w:lang w:val="es-ES"/>
              </w:rPr>
            </w:pPr>
            <w:r w:rsidRPr="008F16FC">
              <w:rPr>
                <w:color w:val="000000"/>
                <w:sz w:val="20"/>
                <w:szCs w:val="20"/>
                <w:lang w:val="es-ES"/>
              </w:rPr>
              <w:t>Saldo por diferencia de conversión</w:t>
            </w:r>
          </w:p>
        </w:tc>
        <w:tc>
          <w:tcPr>
            <w:tcW w:w="1556" w:type="dxa"/>
            <w:tcBorders>
              <w:top w:val="nil"/>
              <w:left w:val="nil"/>
              <w:bottom w:val="nil"/>
              <w:right w:val="nil"/>
            </w:tcBorders>
            <w:shd w:val="clear" w:color="auto" w:fill="auto"/>
            <w:noWrap/>
            <w:vAlign w:val="bottom"/>
            <w:hideMark/>
          </w:tcPr>
          <w:p w14:paraId="02FADBED" w14:textId="77777777" w:rsidR="008F16FC" w:rsidRPr="008F16FC" w:rsidRDefault="008F16FC" w:rsidP="008F16FC">
            <w:pPr>
              <w:jc w:val="right"/>
              <w:rPr>
                <w:color w:val="000000"/>
                <w:sz w:val="20"/>
                <w:szCs w:val="20"/>
              </w:rPr>
            </w:pPr>
            <w:r w:rsidRPr="008F16FC">
              <w:rPr>
                <w:color w:val="000000"/>
                <w:sz w:val="20"/>
                <w:szCs w:val="20"/>
              </w:rPr>
              <w:t>(51.262)</w:t>
            </w:r>
          </w:p>
        </w:tc>
        <w:tc>
          <w:tcPr>
            <w:tcW w:w="1556" w:type="dxa"/>
            <w:tcBorders>
              <w:top w:val="nil"/>
              <w:left w:val="nil"/>
              <w:bottom w:val="nil"/>
              <w:right w:val="nil"/>
            </w:tcBorders>
            <w:shd w:val="clear" w:color="auto" w:fill="auto"/>
            <w:noWrap/>
            <w:vAlign w:val="bottom"/>
            <w:hideMark/>
          </w:tcPr>
          <w:p w14:paraId="6CD3CBAB" w14:textId="77777777" w:rsidR="008F16FC" w:rsidRPr="008F16FC" w:rsidRDefault="008F16FC" w:rsidP="008F16FC">
            <w:pPr>
              <w:jc w:val="right"/>
              <w:rPr>
                <w:color w:val="000000"/>
                <w:sz w:val="20"/>
                <w:szCs w:val="20"/>
              </w:rPr>
            </w:pPr>
            <w:r w:rsidRPr="008F16FC">
              <w:rPr>
                <w:color w:val="000000"/>
                <w:sz w:val="20"/>
                <w:szCs w:val="20"/>
              </w:rPr>
              <w:t>1.080</w:t>
            </w:r>
          </w:p>
        </w:tc>
      </w:tr>
      <w:tr w:rsidR="008F16FC" w:rsidRPr="008F16FC" w14:paraId="21230330" w14:textId="77777777" w:rsidTr="00BA304B">
        <w:trPr>
          <w:trHeight w:val="255"/>
        </w:trPr>
        <w:tc>
          <w:tcPr>
            <w:tcW w:w="3708" w:type="dxa"/>
            <w:tcBorders>
              <w:top w:val="nil"/>
              <w:left w:val="nil"/>
              <w:bottom w:val="nil"/>
              <w:right w:val="nil"/>
            </w:tcBorders>
            <w:shd w:val="clear" w:color="auto" w:fill="auto"/>
            <w:noWrap/>
            <w:vAlign w:val="bottom"/>
            <w:hideMark/>
          </w:tcPr>
          <w:p w14:paraId="731734EF" w14:textId="77777777" w:rsidR="008F16FC" w:rsidRPr="008F16FC" w:rsidRDefault="008F16FC" w:rsidP="008F16FC">
            <w:pPr>
              <w:rPr>
                <w:color w:val="000000"/>
                <w:sz w:val="20"/>
                <w:szCs w:val="20"/>
              </w:rPr>
            </w:pPr>
            <w:r w:rsidRPr="008F16FC">
              <w:rPr>
                <w:color w:val="000000"/>
                <w:sz w:val="20"/>
                <w:szCs w:val="20"/>
              </w:rPr>
              <w:t>Reserva legal</w:t>
            </w:r>
          </w:p>
        </w:tc>
        <w:tc>
          <w:tcPr>
            <w:tcW w:w="1556" w:type="dxa"/>
            <w:tcBorders>
              <w:top w:val="nil"/>
              <w:left w:val="nil"/>
              <w:bottom w:val="nil"/>
              <w:right w:val="nil"/>
            </w:tcBorders>
            <w:shd w:val="clear" w:color="auto" w:fill="auto"/>
            <w:noWrap/>
            <w:vAlign w:val="bottom"/>
            <w:hideMark/>
          </w:tcPr>
          <w:p w14:paraId="5C569A6D" w14:textId="77777777" w:rsidR="008F16FC" w:rsidRPr="008F16FC" w:rsidRDefault="008F16FC" w:rsidP="008F16FC">
            <w:pPr>
              <w:jc w:val="right"/>
              <w:rPr>
                <w:color w:val="000000"/>
                <w:sz w:val="20"/>
                <w:szCs w:val="20"/>
              </w:rPr>
            </w:pPr>
            <w:r w:rsidRPr="008F16FC">
              <w:rPr>
                <w:color w:val="000000"/>
                <w:sz w:val="20"/>
                <w:szCs w:val="20"/>
              </w:rPr>
              <w:t>31.406</w:t>
            </w:r>
          </w:p>
        </w:tc>
        <w:tc>
          <w:tcPr>
            <w:tcW w:w="1556" w:type="dxa"/>
            <w:tcBorders>
              <w:top w:val="nil"/>
              <w:left w:val="nil"/>
              <w:bottom w:val="nil"/>
              <w:right w:val="nil"/>
            </w:tcBorders>
            <w:shd w:val="clear" w:color="auto" w:fill="auto"/>
            <w:noWrap/>
            <w:vAlign w:val="bottom"/>
            <w:hideMark/>
          </w:tcPr>
          <w:p w14:paraId="016F2D21" w14:textId="77777777" w:rsidR="008F16FC" w:rsidRPr="008F16FC" w:rsidRDefault="008F16FC" w:rsidP="008F16FC">
            <w:pPr>
              <w:jc w:val="right"/>
              <w:rPr>
                <w:color w:val="000000"/>
                <w:sz w:val="20"/>
                <w:szCs w:val="20"/>
              </w:rPr>
            </w:pPr>
            <w:r w:rsidRPr="008F16FC">
              <w:rPr>
                <w:color w:val="000000"/>
                <w:sz w:val="20"/>
                <w:szCs w:val="20"/>
              </w:rPr>
              <w:t>28.589</w:t>
            </w:r>
          </w:p>
        </w:tc>
      </w:tr>
      <w:tr w:rsidR="008F16FC" w:rsidRPr="008F16FC" w14:paraId="3573FD61" w14:textId="77777777" w:rsidTr="00BA304B">
        <w:trPr>
          <w:trHeight w:val="255"/>
        </w:trPr>
        <w:tc>
          <w:tcPr>
            <w:tcW w:w="3708" w:type="dxa"/>
            <w:tcBorders>
              <w:top w:val="nil"/>
              <w:left w:val="nil"/>
              <w:bottom w:val="nil"/>
              <w:right w:val="nil"/>
            </w:tcBorders>
            <w:shd w:val="clear" w:color="auto" w:fill="auto"/>
            <w:noWrap/>
            <w:vAlign w:val="bottom"/>
            <w:hideMark/>
          </w:tcPr>
          <w:p w14:paraId="573E04C1" w14:textId="77777777" w:rsidR="008F16FC" w:rsidRPr="008F16FC" w:rsidRDefault="008F16FC" w:rsidP="008F16FC">
            <w:pPr>
              <w:rPr>
                <w:color w:val="000000"/>
                <w:sz w:val="20"/>
                <w:szCs w:val="20"/>
              </w:rPr>
            </w:pPr>
            <w:r w:rsidRPr="008F16FC">
              <w:rPr>
                <w:color w:val="000000"/>
                <w:sz w:val="20"/>
                <w:szCs w:val="20"/>
              </w:rPr>
              <w:t>Otras reservas</w:t>
            </w:r>
          </w:p>
        </w:tc>
        <w:tc>
          <w:tcPr>
            <w:tcW w:w="1556" w:type="dxa"/>
            <w:tcBorders>
              <w:top w:val="nil"/>
              <w:left w:val="nil"/>
              <w:bottom w:val="nil"/>
              <w:right w:val="nil"/>
            </w:tcBorders>
            <w:shd w:val="clear" w:color="auto" w:fill="auto"/>
            <w:noWrap/>
            <w:vAlign w:val="bottom"/>
            <w:hideMark/>
          </w:tcPr>
          <w:p w14:paraId="01494DED" w14:textId="77777777" w:rsidR="008F16FC" w:rsidRPr="008F16FC" w:rsidRDefault="008F16FC" w:rsidP="008F16FC">
            <w:pPr>
              <w:jc w:val="right"/>
              <w:rPr>
                <w:color w:val="000000"/>
                <w:sz w:val="20"/>
                <w:szCs w:val="20"/>
              </w:rPr>
            </w:pPr>
            <w:r w:rsidRPr="008F16FC">
              <w:rPr>
                <w:color w:val="000000"/>
                <w:sz w:val="20"/>
                <w:szCs w:val="20"/>
              </w:rPr>
              <w:t>485.498</w:t>
            </w:r>
          </w:p>
        </w:tc>
        <w:tc>
          <w:tcPr>
            <w:tcW w:w="1556" w:type="dxa"/>
            <w:tcBorders>
              <w:top w:val="nil"/>
              <w:left w:val="nil"/>
              <w:bottom w:val="nil"/>
              <w:right w:val="nil"/>
            </w:tcBorders>
            <w:shd w:val="clear" w:color="auto" w:fill="auto"/>
            <w:noWrap/>
            <w:vAlign w:val="bottom"/>
            <w:hideMark/>
          </w:tcPr>
          <w:p w14:paraId="743F24CF" w14:textId="77777777" w:rsidR="008F16FC" w:rsidRPr="008F16FC" w:rsidRDefault="008F16FC" w:rsidP="008F16FC">
            <w:pPr>
              <w:jc w:val="right"/>
              <w:rPr>
                <w:color w:val="000000"/>
                <w:sz w:val="20"/>
                <w:szCs w:val="20"/>
              </w:rPr>
            </w:pPr>
            <w:r w:rsidRPr="008F16FC">
              <w:rPr>
                <w:color w:val="000000"/>
                <w:sz w:val="20"/>
                <w:szCs w:val="20"/>
              </w:rPr>
              <w:t>431.977</w:t>
            </w:r>
          </w:p>
        </w:tc>
      </w:tr>
      <w:tr w:rsidR="008F16FC" w:rsidRPr="008F16FC" w14:paraId="52EF6836" w14:textId="77777777" w:rsidTr="00BA304B">
        <w:trPr>
          <w:trHeight w:val="255"/>
        </w:trPr>
        <w:tc>
          <w:tcPr>
            <w:tcW w:w="3708" w:type="dxa"/>
            <w:tcBorders>
              <w:top w:val="nil"/>
              <w:left w:val="nil"/>
              <w:bottom w:val="nil"/>
              <w:right w:val="nil"/>
            </w:tcBorders>
            <w:shd w:val="clear" w:color="auto" w:fill="auto"/>
            <w:noWrap/>
            <w:vAlign w:val="bottom"/>
            <w:hideMark/>
          </w:tcPr>
          <w:p w14:paraId="3DCC5212" w14:textId="77777777" w:rsidR="008F16FC" w:rsidRPr="008F16FC" w:rsidRDefault="008F16FC" w:rsidP="008F16FC">
            <w:pPr>
              <w:rPr>
                <w:color w:val="000000"/>
                <w:sz w:val="20"/>
                <w:szCs w:val="20"/>
              </w:rPr>
            </w:pPr>
            <w:r w:rsidRPr="008F16FC">
              <w:rPr>
                <w:color w:val="000000"/>
                <w:sz w:val="20"/>
                <w:szCs w:val="20"/>
              </w:rPr>
              <w:t>Superávit de revaluación</w:t>
            </w:r>
          </w:p>
        </w:tc>
        <w:tc>
          <w:tcPr>
            <w:tcW w:w="1556" w:type="dxa"/>
            <w:tcBorders>
              <w:top w:val="nil"/>
              <w:left w:val="nil"/>
              <w:bottom w:val="nil"/>
              <w:right w:val="nil"/>
            </w:tcBorders>
            <w:shd w:val="clear" w:color="auto" w:fill="auto"/>
            <w:noWrap/>
            <w:vAlign w:val="bottom"/>
            <w:hideMark/>
          </w:tcPr>
          <w:p w14:paraId="62756297" w14:textId="77777777" w:rsidR="008F16FC" w:rsidRPr="008F16FC" w:rsidRDefault="008F16FC" w:rsidP="008F16FC">
            <w:pPr>
              <w:jc w:val="right"/>
              <w:rPr>
                <w:color w:val="000000"/>
                <w:sz w:val="20"/>
                <w:szCs w:val="20"/>
              </w:rPr>
            </w:pPr>
            <w:r w:rsidRPr="008F16FC">
              <w:rPr>
                <w:color w:val="000000"/>
                <w:sz w:val="20"/>
                <w:szCs w:val="20"/>
              </w:rPr>
              <w:t>279.261</w:t>
            </w:r>
          </w:p>
        </w:tc>
        <w:tc>
          <w:tcPr>
            <w:tcW w:w="1556" w:type="dxa"/>
            <w:tcBorders>
              <w:top w:val="nil"/>
              <w:left w:val="nil"/>
              <w:bottom w:val="nil"/>
              <w:right w:val="nil"/>
            </w:tcBorders>
            <w:shd w:val="clear" w:color="auto" w:fill="auto"/>
            <w:noWrap/>
            <w:vAlign w:val="bottom"/>
            <w:hideMark/>
          </w:tcPr>
          <w:p w14:paraId="4C5423D4" w14:textId="77777777" w:rsidR="008F16FC" w:rsidRPr="008F16FC" w:rsidRDefault="008F16FC" w:rsidP="008F16FC">
            <w:pPr>
              <w:jc w:val="right"/>
              <w:rPr>
                <w:color w:val="000000"/>
                <w:sz w:val="20"/>
                <w:szCs w:val="20"/>
              </w:rPr>
            </w:pPr>
            <w:r w:rsidRPr="008F16FC">
              <w:rPr>
                <w:color w:val="000000"/>
                <w:sz w:val="20"/>
                <w:szCs w:val="20"/>
              </w:rPr>
              <w:t>436.358</w:t>
            </w:r>
          </w:p>
        </w:tc>
      </w:tr>
      <w:tr w:rsidR="008F16FC" w:rsidRPr="008F16FC" w14:paraId="2A12A0E5" w14:textId="77777777" w:rsidTr="00BA304B">
        <w:trPr>
          <w:trHeight w:val="255"/>
        </w:trPr>
        <w:tc>
          <w:tcPr>
            <w:tcW w:w="3708" w:type="dxa"/>
            <w:tcBorders>
              <w:top w:val="nil"/>
              <w:left w:val="nil"/>
              <w:bottom w:val="nil"/>
              <w:right w:val="nil"/>
            </w:tcBorders>
            <w:shd w:val="clear" w:color="auto" w:fill="auto"/>
            <w:noWrap/>
            <w:vAlign w:val="bottom"/>
            <w:hideMark/>
          </w:tcPr>
          <w:p w14:paraId="457DC48C" w14:textId="77777777" w:rsidR="008F16FC" w:rsidRPr="008F16FC" w:rsidRDefault="008F16FC" w:rsidP="008F16FC">
            <w:pPr>
              <w:rPr>
                <w:color w:val="000000"/>
                <w:sz w:val="20"/>
                <w:szCs w:val="20"/>
              </w:rPr>
            </w:pPr>
            <w:r w:rsidRPr="008F16FC">
              <w:rPr>
                <w:color w:val="000000"/>
                <w:sz w:val="20"/>
                <w:szCs w:val="20"/>
              </w:rPr>
              <w:t>Resultados no asignados</w:t>
            </w:r>
          </w:p>
        </w:tc>
        <w:tc>
          <w:tcPr>
            <w:tcW w:w="1556" w:type="dxa"/>
            <w:tcBorders>
              <w:top w:val="nil"/>
              <w:left w:val="nil"/>
              <w:bottom w:val="nil"/>
              <w:right w:val="nil"/>
            </w:tcBorders>
            <w:shd w:val="clear" w:color="auto" w:fill="auto"/>
            <w:noWrap/>
            <w:vAlign w:val="bottom"/>
            <w:hideMark/>
          </w:tcPr>
          <w:p w14:paraId="04E9FC0A" w14:textId="77777777" w:rsidR="008F16FC" w:rsidRPr="008F16FC" w:rsidRDefault="008F16FC" w:rsidP="008F16FC">
            <w:pPr>
              <w:jc w:val="right"/>
              <w:rPr>
                <w:color w:val="000000"/>
                <w:sz w:val="20"/>
                <w:szCs w:val="20"/>
              </w:rPr>
            </w:pPr>
            <w:r w:rsidRPr="008F16FC">
              <w:rPr>
                <w:color w:val="000000"/>
                <w:sz w:val="20"/>
                <w:szCs w:val="20"/>
              </w:rPr>
              <w:t>542.211</w:t>
            </w:r>
          </w:p>
        </w:tc>
        <w:tc>
          <w:tcPr>
            <w:tcW w:w="1556" w:type="dxa"/>
            <w:tcBorders>
              <w:top w:val="nil"/>
              <w:left w:val="nil"/>
              <w:bottom w:val="nil"/>
              <w:right w:val="nil"/>
            </w:tcBorders>
            <w:shd w:val="clear" w:color="auto" w:fill="auto"/>
            <w:noWrap/>
            <w:vAlign w:val="bottom"/>
            <w:hideMark/>
          </w:tcPr>
          <w:p w14:paraId="1F76C28F" w14:textId="77777777" w:rsidR="008F16FC" w:rsidRPr="008F16FC" w:rsidRDefault="008F16FC" w:rsidP="008F16FC">
            <w:pPr>
              <w:jc w:val="right"/>
              <w:rPr>
                <w:color w:val="000000"/>
                <w:sz w:val="20"/>
                <w:szCs w:val="20"/>
              </w:rPr>
            </w:pPr>
            <w:r w:rsidRPr="008F16FC">
              <w:rPr>
                <w:color w:val="000000"/>
                <w:sz w:val="20"/>
                <w:szCs w:val="20"/>
              </w:rPr>
              <w:t>326.919</w:t>
            </w:r>
          </w:p>
        </w:tc>
      </w:tr>
      <w:tr w:rsidR="008F16FC" w:rsidRPr="008F16FC" w14:paraId="360B77A0" w14:textId="77777777" w:rsidTr="00BA304B">
        <w:trPr>
          <w:trHeight w:val="255"/>
        </w:trPr>
        <w:tc>
          <w:tcPr>
            <w:tcW w:w="3708" w:type="dxa"/>
            <w:tcBorders>
              <w:top w:val="nil"/>
              <w:left w:val="nil"/>
              <w:bottom w:val="nil"/>
              <w:right w:val="nil"/>
            </w:tcBorders>
            <w:shd w:val="clear" w:color="auto" w:fill="auto"/>
            <w:noWrap/>
            <w:vAlign w:val="bottom"/>
            <w:hideMark/>
          </w:tcPr>
          <w:p w14:paraId="27B34CD5" w14:textId="77777777" w:rsidR="008F16FC" w:rsidRPr="008F16FC" w:rsidRDefault="008F16FC" w:rsidP="008F16FC">
            <w:pPr>
              <w:rPr>
                <w:bCs/>
                <w:color w:val="000000"/>
                <w:sz w:val="20"/>
                <w:szCs w:val="20"/>
              </w:rPr>
            </w:pPr>
            <w:r w:rsidRPr="008F16FC">
              <w:rPr>
                <w:bCs/>
                <w:color w:val="000000"/>
                <w:sz w:val="20"/>
                <w:szCs w:val="20"/>
              </w:rPr>
              <w:t>Atribuible Sociedad controladora</w:t>
            </w:r>
          </w:p>
        </w:tc>
        <w:tc>
          <w:tcPr>
            <w:tcW w:w="1556" w:type="dxa"/>
            <w:tcBorders>
              <w:top w:val="nil"/>
              <w:left w:val="nil"/>
              <w:bottom w:val="nil"/>
              <w:right w:val="nil"/>
            </w:tcBorders>
            <w:shd w:val="clear" w:color="auto" w:fill="auto"/>
            <w:noWrap/>
            <w:vAlign w:val="bottom"/>
            <w:hideMark/>
          </w:tcPr>
          <w:p w14:paraId="2497407A" w14:textId="77777777" w:rsidR="008F16FC" w:rsidRPr="008F16FC" w:rsidRDefault="008F16FC" w:rsidP="008F16FC">
            <w:pPr>
              <w:jc w:val="right"/>
              <w:rPr>
                <w:bCs/>
                <w:color w:val="000000"/>
                <w:sz w:val="20"/>
                <w:szCs w:val="20"/>
              </w:rPr>
            </w:pPr>
            <w:r w:rsidRPr="008F16FC">
              <w:rPr>
                <w:bCs/>
                <w:color w:val="000000"/>
                <w:sz w:val="20"/>
                <w:szCs w:val="20"/>
              </w:rPr>
              <w:t>2.498.970</w:t>
            </w:r>
          </w:p>
        </w:tc>
        <w:tc>
          <w:tcPr>
            <w:tcW w:w="1556" w:type="dxa"/>
            <w:tcBorders>
              <w:top w:val="nil"/>
              <w:left w:val="nil"/>
              <w:bottom w:val="nil"/>
              <w:right w:val="nil"/>
            </w:tcBorders>
            <w:shd w:val="clear" w:color="auto" w:fill="auto"/>
            <w:noWrap/>
            <w:vAlign w:val="bottom"/>
            <w:hideMark/>
          </w:tcPr>
          <w:p w14:paraId="59914B88" w14:textId="77777777" w:rsidR="008F16FC" w:rsidRPr="008F16FC" w:rsidRDefault="008F16FC" w:rsidP="008F16FC">
            <w:pPr>
              <w:jc w:val="right"/>
              <w:rPr>
                <w:bCs/>
                <w:color w:val="000000"/>
                <w:sz w:val="20"/>
                <w:szCs w:val="20"/>
              </w:rPr>
            </w:pPr>
            <w:r w:rsidRPr="008F16FC">
              <w:rPr>
                <w:bCs/>
                <w:color w:val="000000"/>
                <w:sz w:val="20"/>
                <w:szCs w:val="20"/>
              </w:rPr>
              <w:t>2.436.777</w:t>
            </w:r>
          </w:p>
        </w:tc>
      </w:tr>
      <w:tr w:rsidR="008F16FC" w:rsidRPr="008F16FC" w14:paraId="454AC2F5" w14:textId="77777777" w:rsidTr="00BA304B">
        <w:trPr>
          <w:trHeight w:val="255"/>
        </w:trPr>
        <w:tc>
          <w:tcPr>
            <w:tcW w:w="3708" w:type="dxa"/>
            <w:tcBorders>
              <w:top w:val="nil"/>
              <w:left w:val="nil"/>
              <w:bottom w:val="nil"/>
              <w:right w:val="nil"/>
            </w:tcBorders>
            <w:shd w:val="clear" w:color="auto" w:fill="auto"/>
            <w:noWrap/>
            <w:vAlign w:val="bottom"/>
            <w:hideMark/>
          </w:tcPr>
          <w:p w14:paraId="70F8F915" w14:textId="77777777" w:rsidR="008F16FC" w:rsidRPr="008F16FC" w:rsidRDefault="008F16FC" w:rsidP="008F16FC">
            <w:pPr>
              <w:rPr>
                <w:color w:val="000000"/>
                <w:sz w:val="20"/>
                <w:szCs w:val="20"/>
              </w:rPr>
            </w:pPr>
            <w:r w:rsidRPr="008F16FC">
              <w:rPr>
                <w:color w:val="000000"/>
                <w:sz w:val="20"/>
                <w:szCs w:val="20"/>
              </w:rPr>
              <w:t>Participaciones no controladora</w:t>
            </w:r>
          </w:p>
        </w:tc>
        <w:tc>
          <w:tcPr>
            <w:tcW w:w="1556" w:type="dxa"/>
            <w:tcBorders>
              <w:top w:val="nil"/>
              <w:left w:val="nil"/>
              <w:bottom w:val="nil"/>
              <w:right w:val="nil"/>
            </w:tcBorders>
            <w:shd w:val="clear" w:color="auto" w:fill="auto"/>
            <w:noWrap/>
            <w:vAlign w:val="bottom"/>
            <w:hideMark/>
          </w:tcPr>
          <w:p w14:paraId="1A78912B" w14:textId="77777777" w:rsidR="008F16FC" w:rsidRPr="008F16FC" w:rsidRDefault="008F16FC" w:rsidP="008F16FC">
            <w:pPr>
              <w:jc w:val="right"/>
              <w:rPr>
                <w:color w:val="000000"/>
                <w:sz w:val="20"/>
                <w:szCs w:val="20"/>
              </w:rPr>
            </w:pPr>
            <w:r w:rsidRPr="008F16FC">
              <w:rPr>
                <w:color w:val="000000"/>
                <w:sz w:val="20"/>
                <w:szCs w:val="20"/>
              </w:rPr>
              <w:t>15.936</w:t>
            </w:r>
          </w:p>
        </w:tc>
        <w:tc>
          <w:tcPr>
            <w:tcW w:w="1556" w:type="dxa"/>
            <w:tcBorders>
              <w:top w:val="nil"/>
              <w:left w:val="nil"/>
              <w:bottom w:val="nil"/>
              <w:right w:val="nil"/>
            </w:tcBorders>
            <w:shd w:val="clear" w:color="auto" w:fill="auto"/>
            <w:noWrap/>
            <w:vAlign w:val="bottom"/>
            <w:hideMark/>
          </w:tcPr>
          <w:p w14:paraId="1E65DFE3" w14:textId="77777777" w:rsidR="008F16FC" w:rsidRPr="008F16FC" w:rsidRDefault="008F16FC" w:rsidP="008F16FC">
            <w:pPr>
              <w:jc w:val="right"/>
              <w:rPr>
                <w:color w:val="000000"/>
                <w:sz w:val="20"/>
                <w:szCs w:val="20"/>
              </w:rPr>
            </w:pPr>
            <w:r w:rsidRPr="008F16FC">
              <w:rPr>
                <w:color w:val="000000"/>
                <w:sz w:val="20"/>
                <w:szCs w:val="20"/>
              </w:rPr>
              <w:t>16.031</w:t>
            </w:r>
          </w:p>
        </w:tc>
      </w:tr>
      <w:tr w:rsidR="008F16FC" w:rsidRPr="008F16FC" w14:paraId="7767E8EE" w14:textId="77777777" w:rsidTr="00BA304B">
        <w:trPr>
          <w:trHeight w:val="255"/>
        </w:trPr>
        <w:tc>
          <w:tcPr>
            <w:tcW w:w="3708" w:type="dxa"/>
            <w:tcBorders>
              <w:top w:val="nil"/>
              <w:left w:val="nil"/>
              <w:bottom w:val="nil"/>
              <w:right w:val="nil"/>
            </w:tcBorders>
            <w:shd w:val="clear" w:color="auto" w:fill="auto"/>
            <w:noWrap/>
            <w:vAlign w:val="bottom"/>
            <w:hideMark/>
          </w:tcPr>
          <w:p w14:paraId="60261362" w14:textId="77777777" w:rsidR="008F16FC" w:rsidRPr="008F16FC" w:rsidRDefault="008F16FC" w:rsidP="008F16FC">
            <w:pPr>
              <w:rPr>
                <w:color w:val="000000"/>
                <w:sz w:val="20"/>
                <w:szCs w:val="20"/>
              </w:rPr>
            </w:pPr>
          </w:p>
        </w:tc>
        <w:tc>
          <w:tcPr>
            <w:tcW w:w="1556" w:type="dxa"/>
            <w:tcBorders>
              <w:top w:val="nil"/>
              <w:left w:val="nil"/>
              <w:bottom w:val="nil"/>
              <w:right w:val="nil"/>
            </w:tcBorders>
            <w:shd w:val="clear" w:color="auto" w:fill="auto"/>
            <w:noWrap/>
            <w:vAlign w:val="bottom"/>
            <w:hideMark/>
          </w:tcPr>
          <w:p w14:paraId="2FC28366" w14:textId="77777777" w:rsidR="008F16FC" w:rsidRPr="008F16FC" w:rsidRDefault="008F16FC" w:rsidP="008F16FC">
            <w:pPr>
              <w:rPr>
                <w:color w:val="000000"/>
                <w:sz w:val="20"/>
                <w:szCs w:val="20"/>
              </w:rPr>
            </w:pPr>
          </w:p>
        </w:tc>
        <w:tc>
          <w:tcPr>
            <w:tcW w:w="1556" w:type="dxa"/>
            <w:tcBorders>
              <w:top w:val="nil"/>
              <w:left w:val="nil"/>
              <w:bottom w:val="nil"/>
              <w:right w:val="nil"/>
            </w:tcBorders>
            <w:shd w:val="clear" w:color="auto" w:fill="auto"/>
            <w:noWrap/>
            <w:vAlign w:val="bottom"/>
            <w:hideMark/>
          </w:tcPr>
          <w:p w14:paraId="5437B001" w14:textId="77777777" w:rsidR="008F16FC" w:rsidRPr="008F16FC" w:rsidRDefault="008F16FC" w:rsidP="008F16FC">
            <w:pPr>
              <w:rPr>
                <w:color w:val="000000"/>
                <w:sz w:val="20"/>
                <w:szCs w:val="20"/>
              </w:rPr>
            </w:pPr>
          </w:p>
        </w:tc>
      </w:tr>
      <w:tr w:rsidR="008F16FC" w:rsidRPr="008F16FC" w14:paraId="59A9243F" w14:textId="77777777" w:rsidTr="00BA304B">
        <w:trPr>
          <w:trHeight w:val="255"/>
        </w:trPr>
        <w:tc>
          <w:tcPr>
            <w:tcW w:w="3708" w:type="dxa"/>
            <w:tcBorders>
              <w:top w:val="nil"/>
              <w:left w:val="nil"/>
              <w:bottom w:val="nil"/>
              <w:right w:val="nil"/>
            </w:tcBorders>
            <w:shd w:val="clear" w:color="000000" w:fill="A6A6A6"/>
            <w:noWrap/>
            <w:vAlign w:val="bottom"/>
            <w:hideMark/>
          </w:tcPr>
          <w:p w14:paraId="685FF91B" w14:textId="77777777" w:rsidR="008F16FC" w:rsidRPr="008F16FC" w:rsidRDefault="008F16FC" w:rsidP="008F16FC">
            <w:pPr>
              <w:rPr>
                <w:b/>
                <w:bCs/>
                <w:color w:val="000000"/>
                <w:sz w:val="20"/>
                <w:szCs w:val="20"/>
                <w:u w:val="single"/>
              </w:rPr>
            </w:pPr>
            <w:r w:rsidRPr="008F16FC">
              <w:rPr>
                <w:b/>
                <w:bCs/>
                <w:color w:val="000000"/>
                <w:sz w:val="20"/>
                <w:szCs w:val="20"/>
                <w:u w:val="single"/>
              </w:rPr>
              <w:t>TOTAL PATRIMONIO NETO</w:t>
            </w:r>
          </w:p>
        </w:tc>
        <w:tc>
          <w:tcPr>
            <w:tcW w:w="1556" w:type="dxa"/>
            <w:tcBorders>
              <w:top w:val="nil"/>
              <w:left w:val="nil"/>
              <w:bottom w:val="nil"/>
              <w:right w:val="nil"/>
            </w:tcBorders>
            <w:shd w:val="clear" w:color="000000" w:fill="A6A6A6"/>
            <w:noWrap/>
            <w:vAlign w:val="bottom"/>
            <w:hideMark/>
          </w:tcPr>
          <w:p w14:paraId="44E46A62" w14:textId="77777777" w:rsidR="008F16FC" w:rsidRPr="008F16FC" w:rsidRDefault="008F16FC" w:rsidP="008F16FC">
            <w:pPr>
              <w:jc w:val="right"/>
              <w:rPr>
                <w:b/>
                <w:bCs/>
                <w:color w:val="000000"/>
                <w:sz w:val="20"/>
                <w:szCs w:val="20"/>
                <w:u w:val="single"/>
              </w:rPr>
            </w:pPr>
            <w:r w:rsidRPr="008F16FC">
              <w:rPr>
                <w:b/>
                <w:bCs/>
                <w:color w:val="000000"/>
                <w:sz w:val="20"/>
                <w:szCs w:val="20"/>
                <w:u w:val="single"/>
              </w:rPr>
              <w:t>2.514.905</w:t>
            </w:r>
          </w:p>
        </w:tc>
        <w:tc>
          <w:tcPr>
            <w:tcW w:w="1556" w:type="dxa"/>
            <w:tcBorders>
              <w:top w:val="nil"/>
              <w:left w:val="nil"/>
              <w:bottom w:val="nil"/>
              <w:right w:val="nil"/>
            </w:tcBorders>
            <w:shd w:val="clear" w:color="000000" w:fill="A6A6A6"/>
            <w:noWrap/>
            <w:vAlign w:val="bottom"/>
            <w:hideMark/>
          </w:tcPr>
          <w:p w14:paraId="09D208D2" w14:textId="77777777" w:rsidR="008F16FC" w:rsidRPr="008F16FC" w:rsidRDefault="008F16FC" w:rsidP="008F16FC">
            <w:pPr>
              <w:jc w:val="right"/>
              <w:rPr>
                <w:b/>
                <w:bCs/>
                <w:color w:val="000000"/>
                <w:sz w:val="20"/>
                <w:szCs w:val="20"/>
                <w:u w:val="single"/>
              </w:rPr>
            </w:pPr>
            <w:r w:rsidRPr="008F16FC">
              <w:rPr>
                <w:b/>
                <w:bCs/>
                <w:color w:val="000000"/>
                <w:sz w:val="20"/>
                <w:szCs w:val="20"/>
                <w:u w:val="single"/>
              </w:rPr>
              <w:t>2.452.808</w:t>
            </w:r>
          </w:p>
        </w:tc>
      </w:tr>
    </w:tbl>
    <w:p w14:paraId="48E07B6C" w14:textId="77777777" w:rsidR="008F16FC" w:rsidRPr="008F16FC" w:rsidRDefault="008F16FC" w:rsidP="008F16FC">
      <w:pPr>
        <w:widowControl w:val="0"/>
        <w:rPr>
          <w:rFonts w:eastAsia="Calibri"/>
          <w:sz w:val="20"/>
          <w:szCs w:val="20"/>
          <w:lang w:val="es-MX"/>
        </w:rPr>
      </w:pPr>
    </w:p>
    <w:p w14:paraId="7E0CAB09" w14:textId="4400B461" w:rsidR="008F16FC" w:rsidRPr="008F16FC" w:rsidRDefault="008F16FC" w:rsidP="008F16FC">
      <w:pPr>
        <w:widowControl w:val="0"/>
        <w:rPr>
          <w:rFonts w:eastAsia="Calibri"/>
          <w:sz w:val="20"/>
          <w:szCs w:val="20"/>
          <w:lang w:val="es-MX"/>
        </w:rPr>
      </w:pPr>
      <w:r w:rsidRPr="008F16FC">
        <w:rPr>
          <w:rFonts w:eastAsia="Calibri"/>
          <w:sz w:val="20"/>
          <w:szCs w:val="20"/>
          <w:lang w:val="es-MX"/>
        </w:rPr>
        <w:t>A continuación, se detalla el Estado de Situación Patrimonial de la Compañía por los ejercicios finalizados el 30 de junio de 2017 (expresado en miles de Pesos).</w:t>
      </w:r>
    </w:p>
    <w:p w14:paraId="470A62E4" w14:textId="77777777" w:rsidR="008F16FC" w:rsidRPr="008F16FC" w:rsidRDefault="008F16FC" w:rsidP="008F16FC">
      <w:pPr>
        <w:rPr>
          <w:rFonts w:eastAsia="Calibri"/>
          <w:b/>
          <w:bCs/>
          <w:sz w:val="20"/>
          <w:szCs w:val="20"/>
          <w:lang w:val="es-MX"/>
        </w:rPr>
      </w:pPr>
    </w:p>
    <w:tbl>
      <w:tblPr>
        <w:tblW w:w="5272" w:type="dxa"/>
        <w:tblInd w:w="70" w:type="dxa"/>
        <w:tblCellMar>
          <w:left w:w="70" w:type="dxa"/>
          <w:right w:w="70" w:type="dxa"/>
        </w:tblCellMar>
        <w:tblLook w:val="04A0" w:firstRow="1" w:lastRow="0" w:firstColumn="1" w:lastColumn="0" w:noHBand="0" w:noVBand="1"/>
      </w:tblPr>
      <w:tblGrid>
        <w:gridCol w:w="3716"/>
        <w:gridCol w:w="1556"/>
      </w:tblGrid>
      <w:tr w:rsidR="008F16FC" w:rsidRPr="008F16FC" w14:paraId="17A74D9C" w14:textId="77777777" w:rsidTr="00BA304B">
        <w:trPr>
          <w:trHeight w:val="255"/>
        </w:trPr>
        <w:tc>
          <w:tcPr>
            <w:tcW w:w="3716" w:type="dxa"/>
            <w:tcBorders>
              <w:top w:val="nil"/>
              <w:left w:val="nil"/>
              <w:bottom w:val="nil"/>
              <w:right w:val="nil"/>
            </w:tcBorders>
            <w:shd w:val="clear" w:color="auto" w:fill="auto"/>
            <w:noWrap/>
            <w:vAlign w:val="bottom"/>
            <w:hideMark/>
          </w:tcPr>
          <w:p w14:paraId="7480B0F2" w14:textId="77777777" w:rsidR="008F16FC" w:rsidRPr="008F16FC" w:rsidRDefault="008F16FC" w:rsidP="008F16FC">
            <w:pPr>
              <w:rPr>
                <w:color w:val="000000"/>
                <w:sz w:val="20"/>
                <w:szCs w:val="20"/>
                <w:lang w:val="es-ES"/>
              </w:rPr>
            </w:pPr>
          </w:p>
        </w:tc>
        <w:tc>
          <w:tcPr>
            <w:tcW w:w="1556" w:type="dxa"/>
            <w:tcBorders>
              <w:top w:val="nil"/>
              <w:left w:val="nil"/>
              <w:bottom w:val="nil"/>
              <w:right w:val="nil"/>
            </w:tcBorders>
            <w:shd w:val="clear" w:color="auto" w:fill="auto"/>
            <w:noWrap/>
            <w:vAlign w:val="bottom"/>
            <w:hideMark/>
          </w:tcPr>
          <w:p w14:paraId="0811383E" w14:textId="77777777" w:rsidR="008F16FC" w:rsidRPr="008F16FC" w:rsidRDefault="008F16FC" w:rsidP="008F16FC">
            <w:pPr>
              <w:jc w:val="right"/>
              <w:rPr>
                <w:b/>
                <w:bCs/>
                <w:color w:val="000000"/>
                <w:sz w:val="20"/>
                <w:szCs w:val="20"/>
              </w:rPr>
            </w:pPr>
            <w:r w:rsidRPr="008F16FC">
              <w:rPr>
                <w:b/>
                <w:bCs/>
                <w:color w:val="000000"/>
                <w:sz w:val="20"/>
                <w:szCs w:val="20"/>
              </w:rPr>
              <w:t>30/06/2017</w:t>
            </w:r>
          </w:p>
        </w:tc>
      </w:tr>
      <w:tr w:rsidR="008F16FC" w:rsidRPr="008F16FC" w14:paraId="783ED2E3" w14:textId="77777777" w:rsidTr="00BA304B">
        <w:trPr>
          <w:trHeight w:val="255"/>
        </w:trPr>
        <w:tc>
          <w:tcPr>
            <w:tcW w:w="3716" w:type="dxa"/>
            <w:tcBorders>
              <w:top w:val="nil"/>
              <w:left w:val="nil"/>
              <w:bottom w:val="nil"/>
              <w:right w:val="nil"/>
            </w:tcBorders>
            <w:shd w:val="clear" w:color="auto" w:fill="auto"/>
            <w:noWrap/>
            <w:vAlign w:val="bottom"/>
            <w:hideMark/>
          </w:tcPr>
          <w:p w14:paraId="08591E29" w14:textId="77777777" w:rsidR="008F16FC" w:rsidRPr="008F16FC" w:rsidRDefault="008F16FC" w:rsidP="008F16FC">
            <w:pPr>
              <w:rPr>
                <w:b/>
                <w:bCs/>
                <w:color w:val="000000"/>
                <w:sz w:val="20"/>
                <w:szCs w:val="20"/>
                <w:u w:val="single"/>
              </w:rPr>
            </w:pPr>
            <w:r w:rsidRPr="008F16FC">
              <w:rPr>
                <w:b/>
                <w:bCs/>
                <w:color w:val="000000"/>
                <w:sz w:val="20"/>
                <w:szCs w:val="20"/>
                <w:u w:val="single"/>
              </w:rPr>
              <w:t>ACTIVO</w:t>
            </w:r>
          </w:p>
        </w:tc>
        <w:tc>
          <w:tcPr>
            <w:tcW w:w="1556" w:type="dxa"/>
            <w:tcBorders>
              <w:top w:val="nil"/>
              <w:left w:val="nil"/>
              <w:bottom w:val="nil"/>
              <w:right w:val="nil"/>
            </w:tcBorders>
            <w:shd w:val="clear" w:color="auto" w:fill="auto"/>
            <w:noWrap/>
            <w:vAlign w:val="bottom"/>
            <w:hideMark/>
          </w:tcPr>
          <w:p w14:paraId="5DE6BF1E" w14:textId="77777777" w:rsidR="008F16FC" w:rsidRPr="008F16FC" w:rsidRDefault="008F16FC" w:rsidP="008F16FC">
            <w:pPr>
              <w:rPr>
                <w:b/>
                <w:bCs/>
                <w:color w:val="000000"/>
                <w:sz w:val="20"/>
                <w:szCs w:val="20"/>
                <w:u w:val="single"/>
              </w:rPr>
            </w:pPr>
          </w:p>
        </w:tc>
      </w:tr>
      <w:tr w:rsidR="008F16FC" w:rsidRPr="008F16FC" w14:paraId="45F93CD1" w14:textId="77777777" w:rsidTr="00BA304B">
        <w:trPr>
          <w:trHeight w:val="255"/>
        </w:trPr>
        <w:tc>
          <w:tcPr>
            <w:tcW w:w="3716" w:type="dxa"/>
            <w:tcBorders>
              <w:top w:val="nil"/>
              <w:left w:val="nil"/>
              <w:bottom w:val="nil"/>
              <w:right w:val="nil"/>
            </w:tcBorders>
            <w:shd w:val="clear" w:color="000000" w:fill="D9D9D9"/>
            <w:noWrap/>
            <w:vAlign w:val="bottom"/>
            <w:hideMark/>
          </w:tcPr>
          <w:p w14:paraId="1D2D4B5F" w14:textId="77777777" w:rsidR="008F16FC" w:rsidRPr="008F16FC" w:rsidRDefault="008F16FC" w:rsidP="008F16FC">
            <w:pPr>
              <w:rPr>
                <w:bCs/>
                <w:color w:val="000000"/>
                <w:sz w:val="20"/>
                <w:szCs w:val="20"/>
              </w:rPr>
            </w:pPr>
            <w:r w:rsidRPr="008F16FC">
              <w:rPr>
                <w:bCs/>
                <w:color w:val="000000"/>
                <w:sz w:val="20"/>
                <w:szCs w:val="20"/>
              </w:rPr>
              <w:t>Total Activo Corriente</w:t>
            </w:r>
          </w:p>
        </w:tc>
        <w:tc>
          <w:tcPr>
            <w:tcW w:w="1556" w:type="dxa"/>
            <w:tcBorders>
              <w:top w:val="nil"/>
              <w:left w:val="nil"/>
              <w:bottom w:val="nil"/>
              <w:right w:val="nil"/>
            </w:tcBorders>
            <w:shd w:val="clear" w:color="000000" w:fill="D9D9D9"/>
            <w:noWrap/>
            <w:vAlign w:val="bottom"/>
            <w:hideMark/>
          </w:tcPr>
          <w:p w14:paraId="6DB14D8E" w14:textId="77777777" w:rsidR="008F16FC" w:rsidRPr="008F16FC" w:rsidRDefault="008F16FC" w:rsidP="008F16FC">
            <w:pPr>
              <w:jc w:val="right"/>
              <w:rPr>
                <w:bCs/>
                <w:color w:val="000000"/>
                <w:sz w:val="20"/>
                <w:szCs w:val="20"/>
              </w:rPr>
            </w:pPr>
            <w:r w:rsidRPr="008F16FC">
              <w:rPr>
                <w:bCs/>
                <w:color w:val="000000"/>
                <w:sz w:val="20"/>
                <w:szCs w:val="20"/>
              </w:rPr>
              <w:t>4.034.890</w:t>
            </w:r>
          </w:p>
        </w:tc>
      </w:tr>
      <w:tr w:rsidR="008F16FC" w:rsidRPr="008F16FC" w14:paraId="7AE78894" w14:textId="77777777" w:rsidTr="00BA304B">
        <w:trPr>
          <w:trHeight w:val="255"/>
        </w:trPr>
        <w:tc>
          <w:tcPr>
            <w:tcW w:w="3716" w:type="dxa"/>
            <w:tcBorders>
              <w:top w:val="nil"/>
              <w:left w:val="nil"/>
              <w:bottom w:val="nil"/>
              <w:right w:val="nil"/>
            </w:tcBorders>
            <w:shd w:val="clear" w:color="000000" w:fill="D9D9D9"/>
            <w:noWrap/>
            <w:vAlign w:val="bottom"/>
            <w:hideMark/>
          </w:tcPr>
          <w:p w14:paraId="059EFE10" w14:textId="77777777" w:rsidR="008F16FC" w:rsidRPr="008F16FC" w:rsidRDefault="008F16FC" w:rsidP="008F16FC">
            <w:pPr>
              <w:rPr>
                <w:bCs/>
                <w:color w:val="000000"/>
                <w:sz w:val="20"/>
                <w:szCs w:val="20"/>
              </w:rPr>
            </w:pPr>
            <w:r w:rsidRPr="008F16FC">
              <w:rPr>
                <w:bCs/>
                <w:color w:val="000000"/>
                <w:sz w:val="20"/>
                <w:szCs w:val="20"/>
              </w:rPr>
              <w:t>Total Activo No Corriente</w:t>
            </w:r>
          </w:p>
        </w:tc>
        <w:tc>
          <w:tcPr>
            <w:tcW w:w="1556" w:type="dxa"/>
            <w:tcBorders>
              <w:top w:val="nil"/>
              <w:left w:val="nil"/>
              <w:bottom w:val="nil"/>
              <w:right w:val="nil"/>
            </w:tcBorders>
            <w:shd w:val="clear" w:color="000000" w:fill="D9D9D9"/>
            <w:noWrap/>
            <w:vAlign w:val="bottom"/>
            <w:hideMark/>
          </w:tcPr>
          <w:p w14:paraId="3F856103" w14:textId="77777777" w:rsidR="008F16FC" w:rsidRPr="008F16FC" w:rsidRDefault="008F16FC" w:rsidP="008F16FC">
            <w:pPr>
              <w:jc w:val="right"/>
              <w:rPr>
                <w:bCs/>
                <w:color w:val="000000"/>
                <w:sz w:val="20"/>
                <w:szCs w:val="20"/>
              </w:rPr>
            </w:pPr>
            <w:r w:rsidRPr="008F16FC">
              <w:rPr>
                <w:bCs/>
                <w:color w:val="000000"/>
                <w:sz w:val="20"/>
                <w:szCs w:val="20"/>
              </w:rPr>
              <w:t>1.190.797</w:t>
            </w:r>
          </w:p>
        </w:tc>
      </w:tr>
      <w:tr w:rsidR="008F16FC" w:rsidRPr="008F16FC" w14:paraId="3C413999" w14:textId="77777777" w:rsidTr="00BA304B">
        <w:trPr>
          <w:trHeight w:val="255"/>
        </w:trPr>
        <w:tc>
          <w:tcPr>
            <w:tcW w:w="3716" w:type="dxa"/>
            <w:tcBorders>
              <w:top w:val="nil"/>
              <w:left w:val="nil"/>
              <w:bottom w:val="nil"/>
              <w:right w:val="nil"/>
            </w:tcBorders>
            <w:shd w:val="clear" w:color="000000" w:fill="A6A6A6"/>
            <w:noWrap/>
            <w:vAlign w:val="bottom"/>
            <w:hideMark/>
          </w:tcPr>
          <w:p w14:paraId="1F6F8377" w14:textId="77777777" w:rsidR="008F16FC" w:rsidRPr="008F16FC" w:rsidRDefault="008F16FC" w:rsidP="008F16FC">
            <w:pPr>
              <w:rPr>
                <w:b/>
                <w:bCs/>
                <w:color w:val="000000"/>
                <w:sz w:val="20"/>
                <w:szCs w:val="20"/>
                <w:u w:val="single"/>
              </w:rPr>
            </w:pPr>
            <w:r w:rsidRPr="008F16FC">
              <w:rPr>
                <w:b/>
                <w:bCs/>
                <w:color w:val="000000"/>
                <w:sz w:val="20"/>
                <w:szCs w:val="20"/>
                <w:u w:val="single"/>
              </w:rPr>
              <w:t>TOTAL ACTIVO</w:t>
            </w:r>
          </w:p>
        </w:tc>
        <w:tc>
          <w:tcPr>
            <w:tcW w:w="1556" w:type="dxa"/>
            <w:tcBorders>
              <w:top w:val="nil"/>
              <w:left w:val="nil"/>
              <w:bottom w:val="nil"/>
              <w:right w:val="nil"/>
            </w:tcBorders>
            <w:shd w:val="clear" w:color="000000" w:fill="A6A6A6"/>
            <w:noWrap/>
            <w:vAlign w:val="bottom"/>
            <w:hideMark/>
          </w:tcPr>
          <w:p w14:paraId="14131CB6" w14:textId="77777777" w:rsidR="008F16FC" w:rsidRPr="008F16FC" w:rsidRDefault="008F16FC" w:rsidP="008F16FC">
            <w:pPr>
              <w:jc w:val="right"/>
              <w:rPr>
                <w:b/>
                <w:bCs/>
                <w:color w:val="000000"/>
                <w:sz w:val="20"/>
                <w:szCs w:val="20"/>
                <w:u w:val="single"/>
              </w:rPr>
            </w:pPr>
            <w:r w:rsidRPr="008F16FC">
              <w:rPr>
                <w:b/>
                <w:bCs/>
                <w:color w:val="000000"/>
                <w:sz w:val="20"/>
                <w:szCs w:val="20"/>
                <w:u w:val="single"/>
              </w:rPr>
              <w:t>5.225.687</w:t>
            </w:r>
          </w:p>
        </w:tc>
      </w:tr>
      <w:tr w:rsidR="008F16FC" w:rsidRPr="008F16FC" w14:paraId="75B15DB4" w14:textId="77777777" w:rsidTr="00BA304B">
        <w:trPr>
          <w:trHeight w:val="255"/>
        </w:trPr>
        <w:tc>
          <w:tcPr>
            <w:tcW w:w="3716" w:type="dxa"/>
            <w:tcBorders>
              <w:top w:val="nil"/>
              <w:left w:val="nil"/>
              <w:bottom w:val="nil"/>
              <w:right w:val="nil"/>
            </w:tcBorders>
            <w:shd w:val="clear" w:color="auto" w:fill="auto"/>
            <w:noWrap/>
            <w:vAlign w:val="bottom"/>
            <w:hideMark/>
          </w:tcPr>
          <w:p w14:paraId="2D4B875D" w14:textId="77777777" w:rsidR="008F16FC" w:rsidRPr="008F16FC" w:rsidRDefault="008F16FC" w:rsidP="008F16FC">
            <w:pPr>
              <w:rPr>
                <w:color w:val="000000"/>
                <w:sz w:val="20"/>
                <w:szCs w:val="20"/>
              </w:rPr>
            </w:pPr>
          </w:p>
        </w:tc>
        <w:tc>
          <w:tcPr>
            <w:tcW w:w="1556" w:type="dxa"/>
            <w:tcBorders>
              <w:top w:val="nil"/>
              <w:left w:val="nil"/>
              <w:bottom w:val="nil"/>
              <w:right w:val="nil"/>
            </w:tcBorders>
            <w:shd w:val="clear" w:color="auto" w:fill="auto"/>
            <w:noWrap/>
            <w:vAlign w:val="bottom"/>
            <w:hideMark/>
          </w:tcPr>
          <w:p w14:paraId="4594BA06" w14:textId="77777777" w:rsidR="008F16FC" w:rsidRPr="008F16FC" w:rsidRDefault="008F16FC" w:rsidP="008F16FC">
            <w:pPr>
              <w:rPr>
                <w:color w:val="000000"/>
                <w:sz w:val="20"/>
                <w:szCs w:val="20"/>
              </w:rPr>
            </w:pPr>
          </w:p>
        </w:tc>
      </w:tr>
      <w:tr w:rsidR="008F16FC" w:rsidRPr="008F16FC" w14:paraId="035D5D13" w14:textId="77777777" w:rsidTr="00BA304B">
        <w:trPr>
          <w:trHeight w:val="255"/>
        </w:trPr>
        <w:tc>
          <w:tcPr>
            <w:tcW w:w="3716" w:type="dxa"/>
            <w:tcBorders>
              <w:top w:val="nil"/>
              <w:left w:val="nil"/>
              <w:bottom w:val="nil"/>
              <w:right w:val="nil"/>
            </w:tcBorders>
            <w:shd w:val="clear" w:color="auto" w:fill="auto"/>
            <w:noWrap/>
            <w:vAlign w:val="bottom"/>
            <w:hideMark/>
          </w:tcPr>
          <w:p w14:paraId="3064C751" w14:textId="77777777" w:rsidR="008F16FC" w:rsidRPr="008F16FC" w:rsidRDefault="008F16FC" w:rsidP="008F16FC">
            <w:pPr>
              <w:rPr>
                <w:b/>
                <w:bCs/>
                <w:color w:val="000000"/>
                <w:sz w:val="20"/>
                <w:szCs w:val="20"/>
                <w:u w:val="single"/>
              </w:rPr>
            </w:pPr>
            <w:r w:rsidRPr="008F16FC">
              <w:rPr>
                <w:b/>
                <w:bCs/>
                <w:color w:val="000000"/>
                <w:sz w:val="20"/>
                <w:szCs w:val="20"/>
                <w:u w:val="single"/>
              </w:rPr>
              <w:t>PASIVO</w:t>
            </w:r>
          </w:p>
        </w:tc>
        <w:tc>
          <w:tcPr>
            <w:tcW w:w="1556" w:type="dxa"/>
            <w:tcBorders>
              <w:top w:val="nil"/>
              <w:left w:val="nil"/>
              <w:bottom w:val="nil"/>
              <w:right w:val="nil"/>
            </w:tcBorders>
            <w:shd w:val="clear" w:color="auto" w:fill="auto"/>
            <w:noWrap/>
            <w:vAlign w:val="bottom"/>
            <w:hideMark/>
          </w:tcPr>
          <w:p w14:paraId="253F2AE5" w14:textId="77777777" w:rsidR="008F16FC" w:rsidRPr="008F16FC" w:rsidRDefault="008F16FC" w:rsidP="008F16FC">
            <w:pPr>
              <w:rPr>
                <w:b/>
                <w:bCs/>
                <w:color w:val="000000"/>
                <w:sz w:val="20"/>
                <w:szCs w:val="20"/>
                <w:u w:val="single"/>
              </w:rPr>
            </w:pPr>
          </w:p>
        </w:tc>
      </w:tr>
      <w:tr w:rsidR="008F16FC" w:rsidRPr="008F16FC" w14:paraId="6347E191" w14:textId="77777777" w:rsidTr="00BA304B">
        <w:trPr>
          <w:trHeight w:val="255"/>
        </w:trPr>
        <w:tc>
          <w:tcPr>
            <w:tcW w:w="3716" w:type="dxa"/>
            <w:tcBorders>
              <w:top w:val="nil"/>
              <w:left w:val="nil"/>
              <w:bottom w:val="nil"/>
              <w:right w:val="nil"/>
            </w:tcBorders>
            <w:shd w:val="clear" w:color="000000" w:fill="D9D9D9"/>
            <w:noWrap/>
            <w:vAlign w:val="bottom"/>
            <w:hideMark/>
          </w:tcPr>
          <w:p w14:paraId="2FC85920" w14:textId="77777777" w:rsidR="008F16FC" w:rsidRPr="008F16FC" w:rsidRDefault="008F16FC" w:rsidP="008F16FC">
            <w:pPr>
              <w:rPr>
                <w:bCs/>
                <w:color w:val="000000"/>
                <w:sz w:val="20"/>
                <w:szCs w:val="20"/>
              </w:rPr>
            </w:pPr>
            <w:r w:rsidRPr="008F16FC">
              <w:rPr>
                <w:bCs/>
                <w:color w:val="000000"/>
                <w:sz w:val="20"/>
                <w:szCs w:val="20"/>
              </w:rPr>
              <w:t>Total Pasivo Corriente</w:t>
            </w:r>
          </w:p>
        </w:tc>
        <w:tc>
          <w:tcPr>
            <w:tcW w:w="1556" w:type="dxa"/>
            <w:tcBorders>
              <w:top w:val="nil"/>
              <w:left w:val="nil"/>
              <w:bottom w:val="nil"/>
              <w:right w:val="nil"/>
            </w:tcBorders>
            <w:shd w:val="clear" w:color="000000" w:fill="D9D9D9"/>
            <w:noWrap/>
            <w:vAlign w:val="bottom"/>
            <w:hideMark/>
          </w:tcPr>
          <w:p w14:paraId="340FF572" w14:textId="77777777" w:rsidR="008F16FC" w:rsidRPr="008F16FC" w:rsidRDefault="008F16FC" w:rsidP="008F16FC">
            <w:pPr>
              <w:jc w:val="right"/>
              <w:rPr>
                <w:bCs/>
                <w:color w:val="000000"/>
                <w:sz w:val="20"/>
                <w:szCs w:val="20"/>
              </w:rPr>
            </w:pPr>
            <w:r w:rsidRPr="008F16FC">
              <w:rPr>
                <w:bCs/>
                <w:color w:val="000000"/>
                <w:sz w:val="20"/>
                <w:szCs w:val="20"/>
              </w:rPr>
              <w:t>3.983.590</w:t>
            </w:r>
          </w:p>
        </w:tc>
      </w:tr>
      <w:tr w:rsidR="008F16FC" w:rsidRPr="008F16FC" w14:paraId="056D4D22" w14:textId="77777777" w:rsidTr="00BA304B">
        <w:trPr>
          <w:trHeight w:val="255"/>
        </w:trPr>
        <w:tc>
          <w:tcPr>
            <w:tcW w:w="3716" w:type="dxa"/>
            <w:tcBorders>
              <w:top w:val="nil"/>
              <w:left w:val="nil"/>
              <w:bottom w:val="nil"/>
              <w:right w:val="nil"/>
            </w:tcBorders>
            <w:shd w:val="clear" w:color="000000" w:fill="D9D9D9"/>
            <w:noWrap/>
            <w:vAlign w:val="bottom"/>
            <w:hideMark/>
          </w:tcPr>
          <w:p w14:paraId="57A558A2" w14:textId="77777777" w:rsidR="008F16FC" w:rsidRPr="008F16FC" w:rsidRDefault="008F16FC" w:rsidP="008F16FC">
            <w:pPr>
              <w:rPr>
                <w:bCs/>
                <w:color w:val="000000"/>
                <w:sz w:val="20"/>
                <w:szCs w:val="20"/>
              </w:rPr>
            </w:pPr>
            <w:r w:rsidRPr="008F16FC">
              <w:rPr>
                <w:bCs/>
                <w:color w:val="000000"/>
                <w:sz w:val="20"/>
                <w:szCs w:val="20"/>
              </w:rPr>
              <w:t>Total Pasivo No Corriente</w:t>
            </w:r>
          </w:p>
        </w:tc>
        <w:tc>
          <w:tcPr>
            <w:tcW w:w="1556" w:type="dxa"/>
            <w:tcBorders>
              <w:top w:val="nil"/>
              <w:left w:val="nil"/>
              <w:bottom w:val="nil"/>
              <w:right w:val="nil"/>
            </w:tcBorders>
            <w:shd w:val="clear" w:color="000000" w:fill="D9D9D9"/>
            <w:noWrap/>
            <w:vAlign w:val="bottom"/>
            <w:hideMark/>
          </w:tcPr>
          <w:p w14:paraId="7D461A56" w14:textId="77777777" w:rsidR="008F16FC" w:rsidRPr="008F16FC" w:rsidRDefault="008F16FC" w:rsidP="008F16FC">
            <w:pPr>
              <w:jc w:val="right"/>
              <w:rPr>
                <w:bCs/>
                <w:color w:val="000000"/>
                <w:sz w:val="20"/>
                <w:szCs w:val="20"/>
              </w:rPr>
            </w:pPr>
            <w:r w:rsidRPr="008F16FC">
              <w:rPr>
                <w:bCs/>
                <w:color w:val="000000"/>
                <w:sz w:val="20"/>
                <w:szCs w:val="20"/>
              </w:rPr>
              <w:t>287.456</w:t>
            </w:r>
          </w:p>
        </w:tc>
      </w:tr>
      <w:tr w:rsidR="008F16FC" w:rsidRPr="008F16FC" w14:paraId="32F03052" w14:textId="77777777" w:rsidTr="00BA304B">
        <w:trPr>
          <w:trHeight w:val="255"/>
        </w:trPr>
        <w:tc>
          <w:tcPr>
            <w:tcW w:w="3716" w:type="dxa"/>
            <w:tcBorders>
              <w:top w:val="nil"/>
              <w:left w:val="nil"/>
              <w:bottom w:val="nil"/>
              <w:right w:val="nil"/>
            </w:tcBorders>
            <w:shd w:val="clear" w:color="000000" w:fill="A6A6A6"/>
            <w:noWrap/>
            <w:vAlign w:val="bottom"/>
            <w:hideMark/>
          </w:tcPr>
          <w:p w14:paraId="4D34B671" w14:textId="77777777" w:rsidR="008F16FC" w:rsidRPr="008F16FC" w:rsidRDefault="008F16FC" w:rsidP="008F16FC">
            <w:pPr>
              <w:rPr>
                <w:b/>
                <w:bCs/>
                <w:color w:val="000000"/>
                <w:sz w:val="20"/>
                <w:szCs w:val="20"/>
                <w:u w:val="single"/>
              </w:rPr>
            </w:pPr>
            <w:r w:rsidRPr="008F16FC">
              <w:rPr>
                <w:b/>
                <w:bCs/>
                <w:color w:val="000000"/>
                <w:sz w:val="20"/>
                <w:szCs w:val="20"/>
                <w:u w:val="single"/>
              </w:rPr>
              <w:t>TOTAL PASIVO</w:t>
            </w:r>
          </w:p>
        </w:tc>
        <w:tc>
          <w:tcPr>
            <w:tcW w:w="1556" w:type="dxa"/>
            <w:tcBorders>
              <w:top w:val="nil"/>
              <w:left w:val="nil"/>
              <w:bottom w:val="nil"/>
              <w:right w:val="nil"/>
            </w:tcBorders>
            <w:shd w:val="clear" w:color="000000" w:fill="A6A6A6"/>
            <w:noWrap/>
            <w:vAlign w:val="bottom"/>
            <w:hideMark/>
          </w:tcPr>
          <w:p w14:paraId="7A47E384" w14:textId="77777777" w:rsidR="008F16FC" w:rsidRPr="008F16FC" w:rsidRDefault="008F16FC" w:rsidP="008F16FC">
            <w:pPr>
              <w:jc w:val="right"/>
              <w:rPr>
                <w:b/>
                <w:bCs/>
                <w:color w:val="000000"/>
                <w:sz w:val="20"/>
                <w:szCs w:val="20"/>
                <w:u w:val="single"/>
              </w:rPr>
            </w:pPr>
            <w:r w:rsidRPr="008F16FC">
              <w:rPr>
                <w:b/>
                <w:bCs/>
                <w:color w:val="000000"/>
                <w:sz w:val="20"/>
                <w:szCs w:val="20"/>
                <w:u w:val="single"/>
              </w:rPr>
              <w:t>4.271.046</w:t>
            </w:r>
          </w:p>
        </w:tc>
      </w:tr>
      <w:tr w:rsidR="008F16FC" w:rsidRPr="008F16FC" w14:paraId="556E1920" w14:textId="77777777" w:rsidTr="00BA304B">
        <w:trPr>
          <w:trHeight w:val="255"/>
        </w:trPr>
        <w:tc>
          <w:tcPr>
            <w:tcW w:w="3716" w:type="dxa"/>
            <w:tcBorders>
              <w:top w:val="nil"/>
              <w:left w:val="nil"/>
              <w:bottom w:val="nil"/>
              <w:right w:val="nil"/>
            </w:tcBorders>
            <w:shd w:val="clear" w:color="auto" w:fill="auto"/>
            <w:noWrap/>
            <w:vAlign w:val="bottom"/>
            <w:hideMark/>
          </w:tcPr>
          <w:p w14:paraId="437A8CE2" w14:textId="77777777" w:rsidR="008F16FC" w:rsidRPr="008F16FC" w:rsidRDefault="008F16FC" w:rsidP="008F16FC">
            <w:pPr>
              <w:rPr>
                <w:color w:val="000000"/>
                <w:sz w:val="20"/>
                <w:szCs w:val="20"/>
              </w:rPr>
            </w:pPr>
          </w:p>
        </w:tc>
        <w:tc>
          <w:tcPr>
            <w:tcW w:w="1556" w:type="dxa"/>
            <w:tcBorders>
              <w:top w:val="nil"/>
              <w:left w:val="nil"/>
              <w:bottom w:val="nil"/>
              <w:right w:val="nil"/>
            </w:tcBorders>
            <w:shd w:val="clear" w:color="auto" w:fill="auto"/>
            <w:noWrap/>
            <w:vAlign w:val="bottom"/>
            <w:hideMark/>
          </w:tcPr>
          <w:p w14:paraId="4F7BA4CD" w14:textId="77777777" w:rsidR="008F16FC" w:rsidRPr="008F16FC" w:rsidRDefault="008F16FC" w:rsidP="008F16FC">
            <w:pPr>
              <w:rPr>
                <w:color w:val="000000"/>
                <w:sz w:val="20"/>
                <w:szCs w:val="20"/>
              </w:rPr>
            </w:pPr>
          </w:p>
        </w:tc>
      </w:tr>
      <w:tr w:rsidR="008F16FC" w:rsidRPr="008F16FC" w14:paraId="1EBB578E" w14:textId="77777777" w:rsidTr="00BA304B">
        <w:trPr>
          <w:trHeight w:val="255"/>
        </w:trPr>
        <w:tc>
          <w:tcPr>
            <w:tcW w:w="3716" w:type="dxa"/>
            <w:tcBorders>
              <w:top w:val="nil"/>
              <w:left w:val="nil"/>
              <w:bottom w:val="nil"/>
              <w:right w:val="nil"/>
            </w:tcBorders>
            <w:shd w:val="clear" w:color="auto" w:fill="auto"/>
            <w:noWrap/>
            <w:vAlign w:val="bottom"/>
            <w:hideMark/>
          </w:tcPr>
          <w:p w14:paraId="7BC6B37E" w14:textId="77777777" w:rsidR="008F16FC" w:rsidRPr="008F16FC" w:rsidRDefault="008F16FC" w:rsidP="008F16FC">
            <w:pPr>
              <w:rPr>
                <w:b/>
                <w:bCs/>
                <w:color w:val="000000"/>
                <w:sz w:val="20"/>
                <w:szCs w:val="20"/>
                <w:u w:val="single"/>
              </w:rPr>
            </w:pPr>
            <w:r w:rsidRPr="008F16FC">
              <w:rPr>
                <w:b/>
                <w:bCs/>
                <w:color w:val="000000"/>
                <w:sz w:val="20"/>
                <w:szCs w:val="20"/>
                <w:u w:val="single"/>
              </w:rPr>
              <w:t>PATRIMONIO NETO</w:t>
            </w:r>
          </w:p>
        </w:tc>
        <w:tc>
          <w:tcPr>
            <w:tcW w:w="1556" w:type="dxa"/>
            <w:tcBorders>
              <w:top w:val="nil"/>
              <w:left w:val="nil"/>
              <w:bottom w:val="nil"/>
              <w:right w:val="nil"/>
            </w:tcBorders>
            <w:shd w:val="clear" w:color="auto" w:fill="auto"/>
            <w:noWrap/>
            <w:vAlign w:val="bottom"/>
            <w:hideMark/>
          </w:tcPr>
          <w:p w14:paraId="10E0E4EF" w14:textId="77777777" w:rsidR="008F16FC" w:rsidRPr="008F16FC" w:rsidRDefault="008F16FC" w:rsidP="008F16FC">
            <w:pPr>
              <w:rPr>
                <w:b/>
                <w:bCs/>
                <w:color w:val="000000"/>
                <w:sz w:val="20"/>
                <w:szCs w:val="20"/>
                <w:u w:val="single"/>
              </w:rPr>
            </w:pPr>
          </w:p>
        </w:tc>
      </w:tr>
      <w:tr w:rsidR="008F16FC" w:rsidRPr="008F16FC" w14:paraId="0F4DFB14" w14:textId="77777777" w:rsidTr="00BA304B">
        <w:trPr>
          <w:trHeight w:val="255"/>
        </w:trPr>
        <w:tc>
          <w:tcPr>
            <w:tcW w:w="3716" w:type="dxa"/>
            <w:tcBorders>
              <w:top w:val="nil"/>
              <w:left w:val="nil"/>
              <w:bottom w:val="nil"/>
              <w:right w:val="nil"/>
            </w:tcBorders>
            <w:shd w:val="clear" w:color="auto" w:fill="auto"/>
            <w:noWrap/>
            <w:vAlign w:val="bottom"/>
            <w:hideMark/>
          </w:tcPr>
          <w:p w14:paraId="141A94F1" w14:textId="77777777" w:rsidR="008F16FC" w:rsidRPr="008F16FC" w:rsidRDefault="008F16FC" w:rsidP="008F16FC">
            <w:pPr>
              <w:rPr>
                <w:color w:val="000000"/>
                <w:sz w:val="20"/>
                <w:szCs w:val="20"/>
              </w:rPr>
            </w:pPr>
            <w:r w:rsidRPr="008F16FC">
              <w:rPr>
                <w:color w:val="000000"/>
                <w:sz w:val="20"/>
                <w:szCs w:val="20"/>
              </w:rPr>
              <w:t>Capital</w:t>
            </w:r>
          </w:p>
        </w:tc>
        <w:tc>
          <w:tcPr>
            <w:tcW w:w="1556" w:type="dxa"/>
            <w:tcBorders>
              <w:top w:val="nil"/>
              <w:left w:val="nil"/>
              <w:bottom w:val="nil"/>
              <w:right w:val="nil"/>
            </w:tcBorders>
            <w:shd w:val="clear" w:color="auto" w:fill="auto"/>
            <w:noWrap/>
            <w:vAlign w:val="bottom"/>
            <w:hideMark/>
          </w:tcPr>
          <w:p w14:paraId="5AD0976C" w14:textId="77777777" w:rsidR="008F16FC" w:rsidRPr="008F16FC" w:rsidRDefault="008F16FC" w:rsidP="008F16FC">
            <w:pPr>
              <w:jc w:val="right"/>
              <w:rPr>
                <w:color w:val="000000"/>
                <w:sz w:val="20"/>
                <w:szCs w:val="20"/>
              </w:rPr>
            </w:pPr>
            <w:r w:rsidRPr="008F16FC">
              <w:rPr>
                <w:color w:val="000000"/>
                <w:sz w:val="20"/>
                <w:szCs w:val="20"/>
              </w:rPr>
              <w:t>350.000</w:t>
            </w:r>
          </w:p>
        </w:tc>
      </w:tr>
      <w:tr w:rsidR="008F16FC" w:rsidRPr="008F16FC" w14:paraId="510EB638" w14:textId="77777777" w:rsidTr="00BA304B">
        <w:trPr>
          <w:trHeight w:val="255"/>
        </w:trPr>
        <w:tc>
          <w:tcPr>
            <w:tcW w:w="3716" w:type="dxa"/>
            <w:tcBorders>
              <w:top w:val="nil"/>
              <w:left w:val="nil"/>
              <w:bottom w:val="nil"/>
              <w:right w:val="nil"/>
            </w:tcBorders>
            <w:shd w:val="clear" w:color="auto" w:fill="auto"/>
            <w:noWrap/>
            <w:vAlign w:val="bottom"/>
            <w:hideMark/>
          </w:tcPr>
          <w:p w14:paraId="3DA5F6DF" w14:textId="77777777" w:rsidR="008F16FC" w:rsidRPr="008F16FC" w:rsidRDefault="008F16FC" w:rsidP="008F16FC">
            <w:pPr>
              <w:rPr>
                <w:color w:val="000000"/>
                <w:sz w:val="20"/>
                <w:szCs w:val="20"/>
              </w:rPr>
            </w:pPr>
            <w:r w:rsidRPr="008F16FC">
              <w:rPr>
                <w:color w:val="000000"/>
                <w:sz w:val="20"/>
                <w:szCs w:val="20"/>
              </w:rPr>
              <w:t>Ajuste del Capital</w:t>
            </w:r>
          </w:p>
        </w:tc>
        <w:tc>
          <w:tcPr>
            <w:tcW w:w="1556" w:type="dxa"/>
            <w:tcBorders>
              <w:top w:val="nil"/>
              <w:left w:val="nil"/>
              <w:bottom w:val="nil"/>
              <w:right w:val="nil"/>
            </w:tcBorders>
            <w:shd w:val="clear" w:color="auto" w:fill="auto"/>
            <w:noWrap/>
            <w:vAlign w:val="bottom"/>
            <w:hideMark/>
          </w:tcPr>
          <w:p w14:paraId="22FCA33A" w14:textId="77777777" w:rsidR="008F16FC" w:rsidRPr="008F16FC" w:rsidRDefault="008F16FC" w:rsidP="008F16FC">
            <w:pPr>
              <w:jc w:val="right"/>
              <w:rPr>
                <w:color w:val="000000"/>
                <w:sz w:val="20"/>
                <w:szCs w:val="20"/>
              </w:rPr>
            </w:pPr>
            <w:r w:rsidRPr="008F16FC">
              <w:rPr>
                <w:color w:val="000000"/>
                <w:sz w:val="20"/>
                <w:szCs w:val="20"/>
              </w:rPr>
              <w:t>0</w:t>
            </w:r>
          </w:p>
        </w:tc>
      </w:tr>
      <w:tr w:rsidR="008F16FC" w:rsidRPr="008F16FC" w14:paraId="2F7F2D85" w14:textId="77777777" w:rsidTr="00BA304B">
        <w:trPr>
          <w:trHeight w:val="255"/>
        </w:trPr>
        <w:tc>
          <w:tcPr>
            <w:tcW w:w="3716" w:type="dxa"/>
            <w:tcBorders>
              <w:top w:val="nil"/>
              <w:left w:val="nil"/>
              <w:bottom w:val="nil"/>
              <w:right w:val="nil"/>
            </w:tcBorders>
            <w:shd w:val="clear" w:color="auto" w:fill="auto"/>
            <w:noWrap/>
            <w:vAlign w:val="bottom"/>
            <w:hideMark/>
          </w:tcPr>
          <w:p w14:paraId="3C716D7E" w14:textId="77777777" w:rsidR="008F16FC" w:rsidRPr="008F16FC" w:rsidRDefault="008F16FC" w:rsidP="008F16FC">
            <w:pPr>
              <w:rPr>
                <w:color w:val="000000"/>
                <w:sz w:val="20"/>
                <w:szCs w:val="20"/>
                <w:lang w:val="es-ES"/>
              </w:rPr>
            </w:pPr>
            <w:r w:rsidRPr="008F16FC">
              <w:rPr>
                <w:color w:val="000000"/>
                <w:sz w:val="20"/>
                <w:szCs w:val="20"/>
                <w:lang w:val="es-ES"/>
              </w:rPr>
              <w:t>Saldo por diferencia de conversión</w:t>
            </w:r>
          </w:p>
        </w:tc>
        <w:tc>
          <w:tcPr>
            <w:tcW w:w="1556" w:type="dxa"/>
            <w:tcBorders>
              <w:top w:val="nil"/>
              <w:left w:val="nil"/>
              <w:bottom w:val="nil"/>
              <w:right w:val="nil"/>
            </w:tcBorders>
            <w:shd w:val="clear" w:color="auto" w:fill="auto"/>
            <w:noWrap/>
            <w:vAlign w:val="bottom"/>
            <w:hideMark/>
          </w:tcPr>
          <w:p w14:paraId="66824ADF" w14:textId="77777777" w:rsidR="008F16FC" w:rsidRPr="008F16FC" w:rsidRDefault="008F16FC" w:rsidP="008F16FC">
            <w:pPr>
              <w:jc w:val="right"/>
              <w:rPr>
                <w:color w:val="000000"/>
                <w:sz w:val="20"/>
                <w:szCs w:val="20"/>
              </w:rPr>
            </w:pPr>
            <w:r w:rsidRPr="008F16FC">
              <w:rPr>
                <w:color w:val="000000"/>
                <w:sz w:val="20"/>
                <w:szCs w:val="20"/>
              </w:rPr>
              <w:t>6.761</w:t>
            </w:r>
          </w:p>
        </w:tc>
      </w:tr>
      <w:tr w:rsidR="008F16FC" w:rsidRPr="008F16FC" w14:paraId="7D392FE7" w14:textId="77777777" w:rsidTr="00BA304B">
        <w:trPr>
          <w:trHeight w:val="255"/>
        </w:trPr>
        <w:tc>
          <w:tcPr>
            <w:tcW w:w="3716" w:type="dxa"/>
            <w:tcBorders>
              <w:top w:val="nil"/>
              <w:left w:val="nil"/>
              <w:bottom w:val="nil"/>
              <w:right w:val="nil"/>
            </w:tcBorders>
            <w:shd w:val="clear" w:color="auto" w:fill="auto"/>
            <w:noWrap/>
            <w:vAlign w:val="bottom"/>
            <w:hideMark/>
          </w:tcPr>
          <w:p w14:paraId="3D021F5C" w14:textId="77777777" w:rsidR="008F16FC" w:rsidRPr="008F16FC" w:rsidRDefault="008F16FC" w:rsidP="008F16FC">
            <w:pPr>
              <w:rPr>
                <w:color w:val="000000"/>
                <w:sz w:val="20"/>
                <w:szCs w:val="20"/>
              </w:rPr>
            </w:pPr>
            <w:r w:rsidRPr="008F16FC">
              <w:rPr>
                <w:color w:val="000000"/>
                <w:sz w:val="20"/>
                <w:szCs w:val="20"/>
              </w:rPr>
              <w:t>Reserva legal</w:t>
            </w:r>
          </w:p>
        </w:tc>
        <w:tc>
          <w:tcPr>
            <w:tcW w:w="1556" w:type="dxa"/>
            <w:tcBorders>
              <w:top w:val="nil"/>
              <w:left w:val="nil"/>
              <w:bottom w:val="nil"/>
              <w:right w:val="nil"/>
            </w:tcBorders>
            <w:shd w:val="clear" w:color="auto" w:fill="auto"/>
            <w:noWrap/>
            <w:vAlign w:val="bottom"/>
            <w:hideMark/>
          </w:tcPr>
          <w:p w14:paraId="1579D04F" w14:textId="77777777" w:rsidR="008F16FC" w:rsidRPr="008F16FC" w:rsidRDefault="008F16FC" w:rsidP="008F16FC">
            <w:pPr>
              <w:jc w:val="right"/>
              <w:rPr>
                <w:color w:val="000000"/>
                <w:sz w:val="20"/>
                <w:szCs w:val="20"/>
              </w:rPr>
            </w:pPr>
            <w:r w:rsidRPr="008F16FC">
              <w:rPr>
                <w:color w:val="000000"/>
                <w:sz w:val="20"/>
                <w:szCs w:val="20"/>
              </w:rPr>
              <w:t>13.015</w:t>
            </w:r>
          </w:p>
        </w:tc>
      </w:tr>
      <w:tr w:rsidR="008F16FC" w:rsidRPr="008F16FC" w14:paraId="5047C148" w14:textId="77777777" w:rsidTr="00BA304B">
        <w:trPr>
          <w:trHeight w:val="255"/>
        </w:trPr>
        <w:tc>
          <w:tcPr>
            <w:tcW w:w="3716" w:type="dxa"/>
            <w:tcBorders>
              <w:top w:val="nil"/>
              <w:left w:val="nil"/>
              <w:bottom w:val="nil"/>
              <w:right w:val="nil"/>
            </w:tcBorders>
            <w:shd w:val="clear" w:color="auto" w:fill="auto"/>
            <w:noWrap/>
            <w:vAlign w:val="bottom"/>
            <w:hideMark/>
          </w:tcPr>
          <w:p w14:paraId="15EF9C85" w14:textId="77777777" w:rsidR="008F16FC" w:rsidRPr="008F16FC" w:rsidRDefault="008F16FC" w:rsidP="008F16FC">
            <w:pPr>
              <w:rPr>
                <w:color w:val="000000"/>
                <w:sz w:val="20"/>
                <w:szCs w:val="20"/>
              </w:rPr>
            </w:pPr>
            <w:r w:rsidRPr="008F16FC">
              <w:rPr>
                <w:color w:val="000000"/>
                <w:sz w:val="20"/>
                <w:szCs w:val="20"/>
              </w:rPr>
              <w:t>Otras reservas</w:t>
            </w:r>
          </w:p>
        </w:tc>
        <w:tc>
          <w:tcPr>
            <w:tcW w:w="1556" w:type="dxa"/>
            <w:tcBorders>
              <w:top w:val="nil"/>
              <w:left w:val="nil"/>
              <w:bottom w:val="nil"/>
              <w:right w:val="nil"/>
            </w:tcBorders>
            <w:shd w:val="clear" w:color="auto" w:fill="auto"/>
            <w:noWrap/>
            <w:vAlign w:val="bottom"/>
            <w:hideMark/>
          </w:tcPr>
          <w:p w14:paraId="24544780" w14:textId="77777777" w:rsidR="008F16FC" w:rsidRPr="008F16FC" w:rsidRDefault="008F16FC" w:rsidP="008F16FC">
            <w:pPr>
              <w:jc w:val="right"/>
              <w:rPr>
                <w:color w:val="000000"/>
                <w:sz w:val="20"/>
                <w:szCs w:val="20"/>
              </w:rPr>
            </w:pPr>
            <w:r w:rsidRPr="008F16FC">
              <w:rPr>
                <w:color w:val="000000"/>
                <w:sz w:val="20"/>
                <w:szCs w:val="20"/>
              </w:rPr>
              <w:t>271.730</w:t>
            </w:r>
          </w:p>
        </w:tc>
      </w:tr>
      <w:tr w:rsidR="008F16FC" w:rsidRPr="008F16FC" w14:paraId="2E8DD36F" w14:textId="77777777" w:rsidTr="00BA304B">
        <w:trPr>
          <w:trHeight w:val="255"/>
        </w:trPr>
        <w:tc>
          <w:tcPr>
            <w:tcW w:w="3716" w:type="dxa"/>
            <w:tcBorders>
              <w:top w:val="nil"/>
              <w:left w:val="nil"/>
              <w:bottom w:val="nil"/>
              <w:right w:val="nil"/>
            </w:tcBorders>
            <w:shd w:val="clear" w:color="auto" w:fill="auto"/>
            <w:noWrap/>
            <w:vAlign w:val="bottom"/>
            <w:hideMark/>
          </w:tcPr>
          <w:p w14:paraId="6BCEC171" w14:textId="77777777" w:rsidR="008F16FC" w:rsidRPr="008F16FC" w:rsidRDefault="008F16FC" w:rsidP="008F16FC">
            <w:pPr>
              <w:rPr>
                <w:color w:val="000000"/>
                <w:sz w:val="20"/>
                <w:szCs w:val="20"/>
              </w:rPr>
            </w:pPr>
            <w:r w:rsidRPr="008F16FC">
              <w:rPr>
                <w:color w:val="000000"/>
                <w:sz w:val="20"/>
                <w:szCs w:val="20"/>
              </w:rPr>
              <w:t>Superávit de revaluación</w:t>
            </w:r>
          </w:p>
        </w:tc>
        <w:tc>
          <w:tcPr>
            <w:tcW w:w="1556" w:type="dxa"/>
            <w:tcBorders>
              <w:top w:val="nil"/>
              <w:left w:val="nil"/>
              <w:bottom w:val="nil"/>
              <w:right w:val="nil"/>
            </w:tcBorders>
            <w:shd w:val="clear" w:color="auto" w:fill="auto"/>
            <w:noWrap/>
            <w:vAlign w:val="bottom"/>
            <w:hideMark/>
          </w:tcPr>
          <w:p w14:paraId="75E00788" w14:textId="77777777" w:rsidR="008F16FC" w:rsidRPr="008F16FC" w:rsidRDefault="008F16FC" w:rsidP="008F16FC">
            <w:pPr>
              <w:jc w:val="right"/>
              <w:rPr>
                <w:color w:val="000000"/>
                <w:sz w:val="20"/>
                <w:szCs w:val="20"/>
              </w:rPr>
            </w:pPr>
            <w:r w:rsidRPr="008F16FC">
              <w:rPr>
                <w:color w:val="000000"/>
                <w:sz w:val="20"/>
                <w:szCs w:val="20"/>
              </w:rPr>
              <w:t>286.951</w:t>
            </w:r>
          </w:p>
        </w:tc>
      </w:tr>
      <w:tr w:rsidR="008F16FC" w:rsidRPr="008F16FC" w14:paraId="0E7DE069" w14:textId="77777777" w:rsidTr="00BA304B">
        <w:trPr>
          <w:trHeight w:val="255"/>
        </w:trPr>
        <w:tc>
          <w:tcPr>
            <w:tcW w:w="3716" w:type="dxa"/>
            <w:tcBorders>
              <w:top w:val="nil"/>
              <w:left w:val="nil"/>
              <w:bottom w:val="nil"/>
              <w:right w:val="nil"/>
            </w:tcBorders>
            <w:shd w:val="clear" w:color="auto" w:fill="auto"/>
            <w:noWrap/>
            <w:vAlign w:val="bottom"/>
            <w:hideMark/>
          </w:tcPr>
          <w:p w14:paraId="11F519E0" w14:textId="77777777" w:rsidR="008F16FC" w:rsidRPr="008F16FC" w:rsidRDefault="008F16FC" w:rsidP="008F16FC">
            <w:pPr>
              <w:rPr>
                <w:color w:val="000000"/>
                <w:sz w:val="20"/>
                <w:szCs w:val="20"/>
              </w:rPr>
            </w:pPr>
            <w:r w:rsidRPr="008F16FC">
              <w:rPr>
                <w:color w:val="000000"/>
                <w:sz w:val="20"/>
                <w:szCs w:val="20"/>
              </w:rPr>
              <w:t>Resultados no asignados</w:t>
            </w:r>
          </w:p>
        </w:tc>
        <w:tc>
          <w:tcPr>
            <w:tcW w:w="1556" w:type="dxa"/>
            <w:tcBorders>
              <w:top w:val="nil"/>
              <w:left w:val="nil"/>
              <w:bottom w:val="nil"/>
              <w:right w:val="nil"/>
            </w:tcBorders>
            <w:shd w:val="clear" w:color="auto" w:fill="auto"/>
            <w:noWrap/>
            <w:vAlign w:val="bottom"/>
            <w:hideMark/>
          </w:tcPr>
          <w:p w14:paraId="02EE63F8" w14:textId="77777777" w:rsidR="008F16FC" w:rsidRPr="008F16FC" w:rsidRDefault="008F16FC" w:rsidP="008F16FC">
            <w:pPr>
              <w:jc w:val="right"/>
              <w:rPr>
                <w:color w:val="000000"/>
                <w:sz w:val="20"/>
                <w:szCs w:val="20"/>
              </w:rPr>
            </w:pPr>
            <w:r w:rsidRPr="008F16FC">
              <w:rPr>
                <w:color w:val="000000"/>
                <w:sz w:val="20"/>
                <w:szCs w:val="20"/>
              </w:rPr>
              <w:t>23.251</w:t>
            </w:r>
          </w:p>
        </w:tc>
      </w:tr>
      <w:tr w:rsidR="008F16FC" w:rsidRPr="008F16FC" w14:paraId="05966ACA" w14:textId="77777777" w:rsidTr="00BA304B">
        <w:trPr>
          <w:trHeight w:val="255"/>
        </w:trPr>
        <w:tc>
          <w:tcPr>
            <w:tcW w:w="3716" w:type="dxa"/>
            <w:tcBorders>
              <w:top w:val="nil"/>
              <w:left w:val="nil"/>
              <w:bottom w:val="nil"/>
              <w:right w:val="nil"/>
            </w:tcBorders>
            <w:shd w:val="clear" w:color="auto" w:fill="auto"/>
            <w:noWrap/>
            <w:vAlign w:val="bottom"/>
            <w:hideMark/>
          </w:tcPr>
          <w:p w14:paraId="0E16E248" w14:textId="77777777" w:rsidR="008F16FC" w:rsidRPr="008F16FC" w:rsidRDefault="008F16FC" w:rsidP="008F16FC">
            <w:pPr>
              <w:rPr>
                <w:b/>
                <w:bCs/>
                <w:color w:val="000000"/>
                <w:sz w:val="20"/>
                <w:szCs w:val="20"/>
              </w:rPr>
            </w:pPr>
            <w:r w:rsidRPr="008F16FC">
              <w:rPr>
                <w:b/>
                <w:bCs/>
                <w:color w:val="000000"/>
                <w:sz w:val="20"/>
                <w:szCs w:val="20"/>
              </w:rPr>
              <w:t>Atribuible Sociedad controladora</w:t>
            </w:r>
          </w:p>
        </w:tc>
        <w:tc>
          <w:tcPr>
            <w:tcW w:w="1556" w:type="dxa"/>
            <w:tcBorders>
              <w:top w:val="nil"/>
              <w:left w:val="nil"/>
              <w:bottom w:val="nil"/>
              <w:right w:val="nil"/>
            </w:tcBorders>
            <w:shd w:val="clear" w:color="auto" w:fill="auto"/>
            <w:noWrap/>
            <w:vAlign w:val="bottom"/>
            <w:hideMark/>
          </w:tcPr>
          <w:p w14:paraId="1EF3AF3D" w14:textId="77777777" w:rsidR="008F16FC" w:rsidRPr="008F16FC" w:rsidRDefault="008F16FC" w:rsidP="008F16FC">
            <w:pPr>
              <w:jc w:val="right"/>
              <w:rPr>
                <w:b/>
                <w:bCs/>
                <w:color w:val="000000"/>
                <w:sz w:val="20"/>
                <w:szCs w:val="20"/>
              </w:rPr>
            </w:pPr>
            <w:r w:rsidRPr="008F16FC">
              <w:rPr>
                <w:b/>
                <w:bCs/>
                <w:color w:val="000000"/>
                <w:sz w:val="20"/>
                <w:szCs w:val="20"/>
              </w:rPr>
              <w:t>951.708</w:t>
            </w:r>
          </w:p>
        </w:tc>
      </w:tr>
      <w:tr w:rsidR="008F16FC" w:rsidRPr="008F16FC" w14:paraId="045E4945" w14:textId="77777777" w:rsidTr="00BA304B">
        <w:trPr>
          <w:trHeight w:val="255"/>
        </w:trPr>
        <w:tc>
          <w:tcPr>
            <w:tcW w:w="3716" w:type="dxa"/>
            <w:tcBorders>
              <w:top w:val="nil"/>
              <w:left w:val="nil"/>
              <w:bottom w:val="nil"/>
              <w:right w:val="nil"/>
            </w:tcBorders>
            <w:shd w:val="clear" w:color="auto" w:fill="auto"/>
            <w:noWrap/>
            <w:vAlign w:val="bottom"/>
            <w:hideMark/>
          </w:tcPr>
          <w:p w14:paraId="768B80A0" w14:textId="77777777" w:rsidR="008F16FC" w:rsidRPr="008F16FC" w:rsidRDefault="008F16FC" w:rsidP="008F16FC">
            <w:pPr>
              <w:rPr>
                <w:color w:val="000000"/>
                <w:sz w:val="20"/>
                <w:szCs w:val="20"/>
              </w:rPr>
            </w:pPr>
            <w:r w:rsidRPr="008F16FC">
              <w:rPr>
                <w:color w:val="000000"/>
                <w:sz w:val="20"/>
                <w:szCs w:val="20"/>
              </w:rPr>
              <w:t>Participaciones no controladora</w:t>
            </w:r>
          </w:p>
        </w:tc>
        <w:tc>
          <w:tcPr>
            <w:tcW w:w="1556" w:type="dxa"/>
            <w:tcBorders>
              <w:top w:val="nil"/>
              <w:left w:val="nil"/>
              <w:bottom w:val="nil"/>
              <w:right w:val="nil"/>
            </w:tcBorders>
            <w:shd w:val="clear" w:color="auto" w:fill="auto"/>
            <w:noWrap/>
            <w:vAlign w:val="bottom"/>
            <w:hideMark/>
          </w:tcPr>
          <w:p w14:paraId="60D271A2" w14:textId="77777777" w:rsidR="008F16FC" w:rsidRPr="008F16FC" w:rsidRDefault="008F16FC" w:rsidP="008F16FC">
            <w:pPr>
              <w:jc w:val="right"/>
              <w:rPr>
                <w:color w:val="000000"/>
                <w:sz w:val="20"/>
                <w:szCs w:val="20"/>
              </w:rPr>
            </w:pPr>
            <w:r w:rsidRPr="008F16FC">
              <w:rPr>
                <w:color w:val="000000"/>
                <w:sz w:val="20"/>
                <w:szCs w:val="20"/>
              </w:rPr>
              <w:t>2.933</w:t>
            </w:r>
          </w:p>
        </w:tc>
      </w:tr>
      <w:tr w:rsidR="008F16FC" w:rsidRPr="008F16FC" w14:paraId="324CB2AD" w14:textId="77777777" w:rsidTr="00BA304B">
        <w:trPr>
          <w:trHeight w:val="255"/>
        </w:trPr>
        <w:tc>
          <w:tcPr>
            <w:tcW w:w="3716" w:type="dxa"/>
            <w:tcBorders>
              <w:top w:val="nil"/>
              <w:left w:val="nil"/>
              <w:bottom w:val="nil"/>
              <w:right w:val="nil"/>
            </w:tcBorders>
            <w:shd w:val="clear" w:color="auto" w:fill="auto"/>
            <w:noWrap/>
            <w:vAlign w:val="bottom"/>
            <w:hideMark/>
          </w:tcPr>
          <w:p w14:paraId="302D8162" w14:textId="77777777" w:rsidR="008F16FC" w:rsidRPr="008F16FC" w:rsidRDefault="008F16FC" w:rsidP="008F16FC">
            <w:pPr>
              <w:rPr>
                <w:color w:val="000000"/>
                <w:sz w:val="20"/>
                <w:szCs w:val="20"/>
              </w:rPr>
            </w:pPr>
          </w:p>
        </w:tc>
        <w:tc>
          <w:tcPr>
            <w:tcW w:w="1556" w:type="dxa"/>
            <w:tcBorders>
              <w:top w:val="nil"/>
              <w:left w:val="nil"/>
              <w:bottom w:val="nil"/>
              <w:right w:val="nil"/>
            </w:tcBorders>
            <w:shd w:val="clear" w:color="auto" w:fill="auto"/>
            <w:noWrap/>
            <w:vAlign w:val="bottom"/>
            <w:hideMark/>
          </w:tcPr>
          <w:p w14:paraId="5CC9519C" w14:textId="77777777" w:rsidR="008F16FC" w:rsidRPr="008F16FC" w:rsidRDefault="008F16FC" w:rsidP="008F16FC">
            <w:pPr>
              <w:rPr>
                <w:color w:val="000000"/>
                <w:sz w:val="20"/>
                <w:szCs w:val="20"/>
              </w:rPr>
            </w:pPr>
          </w:p>
        </w:tc>
      </w:tr>
      <w:tr w:rsidR="008F16FC" w:rsidRPr="008F16FC" w14:paraId="54EE875F" w14:textId="77777777" w:rsidTr="00BA304B">
        <w:trPr>
          <w:trHeight w:val="255"/>
        </w:trPr>
        <w:tc>
          <w:tcPr>
            <w:tcW w:w="3716" w:type="dxa"/>
            <w:tcBorders>
              <w:top w:val="nil"/>
              <w:left w:val="nil"/>
              <w:bottom w:val="nil"/>
              <w:right w:val="nil"/>
            </w:tcBorders>
            <w:shd w:val="clear" w:color="000000" w:fill="A6A6A6"/>
            <w:noWrap/>
            <w:vAlign w:val="bottom"/>
            <w:hideMark/>
          </w:tcPr>
          <w:p w14:paraId="436F6AFE" w14:textId="77777777" w:rsidR="008F16FC" w:rsidRPr="008F16FC" w:rsidRDefault="008F16FC" w:rsidP="008F16FC">
            <w:pPr>
              <w:rPr>
                <w:b/>
                <w:bCs/>
                <w:color w:val="000000"/>
                <w:sz w:val="20"/>
                <w:szCs w:val="20"/>
                <w:u w:val="single"/>
              </w:rPr>
            </w:pPr>
            <w:r w:rsidRPr="008F16FC">
              <w:rPr>
                <w:b/>
                <w:bCs/>
                <w:color w:val="000000"/>
                <w:sz w:val="20"/>
                <w:szCs w:val="20"/>
                <w:u w:val="single"/>
              </w:rPr>
              <w:t>TOTAL PATRIMONIO NETO</w:t>
            </w:r>
          </w:p>
        </w:tc>
        <w:tc>
          <w:tcPr>
            <w:tcW w:w="1556" w:type="dxa"/>
            <w:tcBorders>
              <w:top w:val="nil"/>
              <w:left w:val="nil"/>
              <w:bottom w:val="nil"/>
              <w:right w:val="nil"/>
            </w:tcBorders>
            <w:shd w:val="clear" w:color="000000" w:fill="A6A6A6"/>
            <w:noWrap/>
            <w:vAlign w:val="bottom"/>
            <w:hideMark/>
          </w:tcPr>
          <w:p w14:paraId="24686B71" w14:textId="77777777" w:rsidR="008F16FC" w:rsidRPr="008F16FC" w:rsidRDefault="008F16FC" w:rsidP="008F16FC">
            <w:pPr>
              <w:jc w:val="right"/>
              <w:rPr>
                <w:b/>
                <w:bCs/>
                <w:color w:val="000000"/>
                <w:sz w:val="20"/>
                <w:szCs w:val="20"/>
                <w:u w:val="single"/>
              </w:rPr>
            </w:pPr>
            <w:r w:rsidRPr="008F16FC">
              <w:rPr>
                <w:b/>
                <w:bCs/>
                <w:color w:val="000000"/>
                <w:sz w:val="20"/>
                <w:szCs w:val="20"/>
                <w:u w:val="single"/>
              </w:rPr>
              <w:t>954.641</w:t>
            </w:r>
          </w:p>
        </w:tc>
      </w:tr>
    </w:tbl>
    <w:p w14:paraId="5DCC1FA0" w14:textId="77777777" w:rsidR="008F16FC" w:rsidRPr="008F16FC" w:rsidRDefault="008F16FC" w:rsidP="008F16FC">
      <w:pPr>
        <w:rPr>
          <w:rFonts w:eastAsia="Calibri"/>
          <w:b/>
          <w:bCs/>
          <w:sz w:val="20"/>
          <w:szCs w:val="20"/>
          <w:lang w:val="es-MX"/>
        </w:rPr>
      </w:pPr>
    </w:p>
    <w:p w14:paraId="7AE62E57" w14:textId="77777777" w:rsidR="008F16FC" w:rsidRPr="008F16FC" w:rsidRDefault="008F16FC" w:rsidP="008F16FC">
      <w:pPr>
        <w:widowControl w:val="0"/>
        <w:jc w:val="both"/>
        <w:rPr>
          <w:rFonts w:eastAsia="Calibri"/>
          <w:sz w:val="20"/>
          <w:szCs w:val="20"/>
          <w:lang w:val="es-MX"/>
        </w:rPr>
      </w:pPr>
      <w:r w:rsidRPr="008F16FC">
        <w:rPr>
          <w:rFonts w:eastAsia="Calibri"/>
          <w:sz w:val="20"/>
          <w:szCs w:val="20"/>
          <w:lang w:val="es-MX"/>
        </w:rPr>
        <w:t>A continuación, se detalla el Estado de Situación Patrimonial de la Compañía por el período intermedio finalizado el 30 de septiembre de 2019, en comparación a la información contable correspondiente al ejercicio económico finalizado el 30 de junio de 2019 (expresado en moneda constante, en miles de Pesos).</w:t>
      </w:r>
    </w:p>
    <w:p w14:paraId="6B8CAB0D" w14:textId="77777777" w:rsidR="008F16FC" w:rsidRPr="008F16FC" w:rsidRDefault="008F16FC" w:rsidP="008F16FC">
      <w:pPr>
        <w:widowControl w:val="0"/>
        <w:jc w:val="both"/>
        <w:rPr>
          <w:rFonts w:eastAsia="Calibri"/>
          <w:sz w:val="20"/>
          <w:szCs w:val="20"/>
          <w:lang w:val="es-MX"/>
        </w:rPr>
      </w:pPr>
    </w:p>
    <w:tbl>
      <w:tblPr>
        <w:tblW w:w="6820" w:type="dxa"/>
        <w:tblInd w:w="70" w:type="dxa"/>
        <w:tblCellMar>
          <w:left w:w="70" w:type="dxa"/>
          <w:right w:w="70" w:type="dxa"/>
        </w:tblCellMar>
        <w:tblLook w:val="04A0" w:firstRow="1" w:lastRow="0" w:firstColumn="1" w:lastColumn="0" w:noHBand="0" w:noVBand="1"/>
      </w:tblPr>
      <w:tblGrid>
        <w:gridCol w:w="3708"/>
        <w:gridCol w:w="1556"/>
        <w:gridCol w:w="1556"/>
      </w:tblGrid>
      <w:tr w:rsidR="008F16FC" w:rsidRPr="008F16FC" w14:paraId="219F30C8" w14:textId="77777777" w:rsidTr="008F16FC">
        <w:trPr>
          <w:trHeight w:val="255"/>
        </w:trPr>
        <w:tc>
          <w:tcPr>
            <w:tcW w:w="3708" w:type="dxa"/>
            <w:tcBorders>
              <w:top w:val="nil"/>
              <w:left w:val="nil"/>
              <w:bottom w:val="nil"/>
              <w:right w:val="nil"/>
            </w:tcBorders>
            <w:shd w:val="clear" w:color="auto" w:fill="auto"/>
            <w:noWrap/>
            <w:vAlign w:val="bottom"/>
            <w:hideMark/>
          </w:tcPr>
          <w:p w14:paraId="0E8AFDD9" w14:textId="77777777" w:rsidR="008F16FC" w:rsidRPr="008F16FC" w:rsidRDefault="008F16FC" w:rsidP="008F16FC">
            <w:pPr>
              <w:rPr>
                <w:color w:val="000000"/>
                <w:sz w:val="20"/>
                <w:szCs w:val="20"/>
                <w:lang w:val="es-ES"/>
              </w:rPr>
            </w:pPr>
          </w:p>
        </w:tc>
        <w:tc>
          <w:tcPr>
            <w:tcW w:w="1556" w:type="dxa"/>
            <w:tcBorders>
              <w:top w:val="nil"/>
              <w:left w:val="nil"/>
              <w:bottom w:val="nil"/>
              <w:right w:val="nil"/>
            </w:tcBorders>
            <w:shd w:val="clear" w:color="auto" w:fill="auto"/>
            <w:noWrap/>
            <w:vAlign w:val="bottom"/>
            <w:hideMark/>
          </w:tcPr>
          <w:p w14:paraId="05392582" w14:textId="77777777" w:rsidR="008F16FC" w:rsidRPr="008F16FC" w:rsidRDefault="008F16FC" w:rsidP="008F16FC">
            <w:pPr>
              <w:jc w:val="right"/>
              <w:rPr>
                <w:b/>
                <w:bCs/>
                <w:color w:val="000000"/>
                <w:sz w:val="20"/>
                <w:szCs w:val="20"/>
              </w:rPr>
            </w:pPr>
            <w:r w:rsidRPr="008F16FC">
              <w:rPr>
                <w:b/>
                <w:bCs/>
                <w:color w:val="000000"/>
                <w:sz w:val="20"/>
                <w:szCs w:val="20"/>
              </w:rPr>
              <w:t>30/09/2019</w:t>
            </w:r>
          </w:p>
        </w:tc>
        <w:tc>
          <w:tcPr>
            <w:tcW w:w="1556" w:type="dxa"/>
            <w:tcBorders>
              <w:top w:val="nil"/>
              <w:left w:val="nil"/>
              <w:bottom w:val="nil"/>
              <w:right w:val="nil"/>
            </w:tcBorders>
            <w:shd w:val="clear" w:color="auto" w:fill="auto"/>
            <w:noWrap/>
            <w:vAlign w:val="bottom"/>
            <w:hideMark/>
          </w:tcPr>
          <w:p w14:paraId="7C609E20" w14:textId="77777777" w:rsidR="008F16FC" w:rsidRPr="008F16FC" w:rsidRDefault="008F16FC" w:rsidP="008F16FC">
            <w:pPr>
              <w:jc w:val="right"/>
              <w:rPr>
                <w:b/>
                <w:bCs/>
                <w:color w:val="000000"/>
                <w:sz w:val="20"/>
                <w:szCs w:val="20"/>
              </w:rPr>
            </w:pPr>
            <w:r w:rsidRPr="008F16FC">
              <w:rPr>
                <w:b/>
                <w:bCs/>
                <w:color w:val="000000"/>
                <w:sz w:val="20"/>
                <w:szCs w:val="20"/>
              </w:rPr>
              <w:t xml:space="preserve">30/06/2019 </w:t>
            </w:r>
          </w:p>
        </w:tc>
      </w:tr>
      <w:tr w:rsidR="008F16FC" w:rsidRPr="008F16FC" w14:paraId="4B58D1D0" w14:textId="77777777" w:rsidTr="008F16FC">
        <w:trPr>
          <w:trHeight w:val="255"/>
        </w:trPr>
        <w:tc>
          <w:tcPr>
            <w:tcW w:w="3708" w:type="dxa"/>
            <w:tcBorders>
              <w:top w:val="nil"/>
              <w:left w:val="nil"/>
              <w:bottom w:val="nil"/>
              <w:right w:val="nil"/>
            </w:tcBorders>
            <w:shd w:val="clear" w:color="auto" w:fill="auto"/>
            <w:noWrap/>
            <w:vAlign w:val="bottom"/>
            <w:hideMark/>
          </w:tcPr>
          <w:p w14:paraId="731F2592" w14:textId="77777777" w:rsidR="008F16FC" w:rsidRPr="008F16FC" w:rsidRDefault="008F16FC" w:rsidP="008F16FC">
            <w:pPr>
              <w:rPr>
                <w:b/>
                <w:bCs/>
                <w:color w:val="000000"/>
                <w:sz w:val="20"/>
                <w:szCs w:val="20"/>
                <w:u w:val="single"/>
              </w:rPr>
            </w:pPr>
            <w:r w:rsidRPr="008F16FC">
              <w:rPr>
                <w:b/>
                <w:bCs/>
                <w:color w:val="000000"/>
                <w:sz w:val="20"/>
                <w:szCs w:val="20"/>
                <w:u w:val="single"/>
              </w:rPr>
              <w:t>ACTIVO</w:t>
            </w:r>
          </w:p>
        </w:tc>
        <w:tc>
          <w:tcPr>
            <w:tcW w:w="1556" w:type="dxa"/>
            <w:tcBorders>
              <w:top w:val="nil"/>
              <w:left w:val="nil"/>
              <w:bottom w:val="nil"/>
              <w:right w:val="nil"/>
            </w:tcBorders>
            <w:shd w:val="clear" w:color="auto" w:fill="auto"/>
            <w:noWrap/>
            <w:vAlign w:val="bottom"/>
            <w:hideMark/>
          </w:tcPr>
          <w:p w14:paraId="0CF145BB" w14:textId="77777777" w:rsidR="008F16FC" w:rsidRPr="008F16FC" w:rsidRDefault="008F16FC" w:rsidP="008F16FC">
            <w:pPr>
              <w:rPr>
                <w:b/>
                <w:bCs/>
                <w:color w:val="000000"/>
                <w:sz w:val="20"/>
                <w:szCs w:val="20"/>
                <w:u w:val="single"/>
              </w:rPr>
            </w:pPr>
          </w:p>
        </w:tc>
        <w:tc>
          <w:tcPr>
            <w:tcW w:w="1556" w:type="dxa"/>
            <w:tcBorders>
              <w:top w:val="nil"/>
              <w:left w:val="nil"/>
              <w:bottom w:val="nil"/>
              <w:right w:val="nil"/>
            </w:tcBorders>
            <w:shd w:val="clear" w:color="auto" w:fill="auto"/>
            <w:noWrap/>
            <w:vAlign w:val="bottom"/>
            <w:hideMark/>
          </w:tcPr>
          <w:p w14:paraId="1F0CDBCC" w14:textId="77777777" w:rsidR="008F16FC" w:rsidRPr="008F16FC" w:rsidRDefault="008F16FC" w:rsidP="008F16FC">
            <w:pPr>
              <w:rPr>
                <w:b/>
                <w:bCs/>
                <w:color w:val="000000"/>
                <w:sz w:val="20"/>
                <w:szCs w:val="20"/>
                <w:u w:val="single"/>
              </w:rPr>
            </w:pPr>
          </w:p>
        </w:tc>
      </w:tr>
      <w:tr w:rsidR="008F16FC" w:rsidRPr="008F16FC" w14:paraId="59E31681" w14:textId="77777777" w:rsidTr="008F16FC">
        <w:trPr>
          <w:trHeight w:val="255"/>
        </w:trPr>
        <w:tc>
          <w:tcPr>
            <w:tcW w:w="3708" w:type="dxa"/>
            <w:tcBorders>
              <w:top w:val="nil"/>
              <w:left w:val="nil"/>
              <w:bottom w:val="nil"/>
              <w:right w:val="nil"/>
            </w:tcBorders>
            <w:shd w:val="clear" w:color="000000" w:fill="D9D9D9"/>
            <w:noWrap/>
            <w:vAlign w:val="bottom"/>
            <w:hideMark/>
          </w:tcPr>
          <w:p w14:paraId="2975F4F3" w14:textId="77777777" w:rsidR="008F16FC" w:rsidRPr="008F16FC" w:rsidRDefault="008F16FC" w:rsidP="008F16FC">
            <w:pPr>
              <w:rPr>
                <w:bCs/>
                <w:color w:val="000000"/>
                <w:sz w:val="20"/>
                <w:szCs w:val="20"/>
              </w:rPr>
            </w:pPr>
            <w:r w:rsidRPr="008F16FC">
              <w:rPr>
                <w:bCs/>
                <w:color w:val="000000"/>
                <w:sz w:val="20"/>
                <w:szCs w:val="20"/>
              </w:rPr>
              <w:t>Total Activo Corriente</w:t>
            </w:r>
          </w:p>
        </w:tc>
        <w:tc>
          <w:tcPr>
            <w:tcW w:w="1556" w:type="dxa"/>
            <w:tcBorders>
              <w:top w:val="nil"/>
              <w:left w:val="nil"/>
              <w:bottom w:val="nil"/>
              <w:right w:val="nil"/>
            </w:tcBorders>
            <w:shd w:val="clear" w:color="000000" w:fill="D9D9D9"/>
            <w:noWrap/>
            <w:vAlign w:val="bottom"/>
          </w:tcPr>
          <w:p w14:paraId="2D42E6B2" w14:textId="77777777" w:rsidR="008F16FC" w:rsidRPr="008F16FC" w:rsidRDefault="008F16FC" w:rsidP="008F16FC">
            <w:pPr>
              <w:jc w:val="right"/>
              <w:rPr>
                <w:bCs/>
                <w:color w:val="000000"/>
                <w:sz w:val="20"/>
                <w:szCs w:val="20"/>
              </w:rPr>
            </w:pPr>
            <w:r w:rsidRPr="008F16FC">
              <w:rPr>
                <w:bCs/>
                <w:color w:val="000000"/>
                <w:sz w:val="20"/>
                <w:szCs w:val="20"/>
              </w:rPr>
              <w:t>7.967.165</w:t>
            </w:r>
          </w:p>
        </w:tc>
        <w:tc>
          <w:tcPr>
            <w:tcW w:w="1556" w:type="dxa"/>
            <w:tcBorders>
              <w:top w:val="nil"/>
              <w:left w:val="nil"/>
              <w:bottom w:val="nil"/>
              <w:right w:val="nil"/>
            </w:tcBorders>
            <w:shd w:val="clear" w:color="000000" w:fill="D9D9D9"/>
            <w:noWrap/>
            <w:vAlign w:val="bottom"/>
          </w:tcPr>
          <w:p w14:paraId="7A98FB06" w14:textId="77777777" w:rsidR="008F16FC" w:rsidRPr="008F16FC" w:rsidRDefault="008F16FC" w:rsidP="008F16FC">
            <w:pPr>
              <w:jc w:val="right"/>
              <w:rPr>
                <w:bCs/>
                <w:color w:val="000000"/>
                <w:sz w:val="20"/>
                <w:szCs w:val="20"/>
              </w:rPr>
            </w:pPr>
            <w:r w:rsidRPr="008F16FC">
              <w:rPr>
                <w:bCs/>
                <w:color w:val="000000"/>
                <w:sz w:val="20"/>
                <w:szCs w:val="20"/>
              </w:rPr>
              <w:t>8.236.375</w:t>
            </w:r>
          </w:p>
        </w:tc>
      </w:tr>
      <w:tr w:rsidR="008F16FC" w:rsidRPr="008F16FC" w14:paraId="579E3063" w14:textId="77777777" w:rsidTr="008F16FC">
        <w:trPr>
          <w:trHeight w:val="255"/>
        </w:trPr>
        <w:tc>
          <w:tcPr>
            <w:tcW w:w="3708" w:type="dxa"/>
            <w:tcBorders>
              <w:top w:val="nil"/>
              <w:left w:val="nil"/>
              <w:bottom w:val="nil"/>
              <w:right w:val="nil"/>
            </w:tcBorders>
            <w:shd w:val="clear" w:color="000000" w:fill="D9D9D9"/>
            <w:noWrap/>
            <w:vAlign w:val="bottom"/>
            <w:hideMark/>
          </w:tcPr>
          <w:p w14:paraId="77E3407B" w14:textId="77777777" w:rsidR="008F16FC" w:rsidRPr="008F16FC" w:rsidRDefault="008F16FC" w:rsidP="008F16FC">
            <w:pPr>
              <w:rPr>
                <w:bCs/>
                <w:color w:val="000000"/>
                <w:sz w:val="20"/>
                <w:szCs w:val="20"/>
              </w:rPr>
            </w:pPr>
            <w:r w:rsidRPr="008F16FC">
              <w:rPr>
                <w:bCs/>
                <w:color w:val="000000"/>
                <w:sz w:val="20"/>
                <w:szCs w:val="20"/>
              </w:rPr>
              <w:t>Total Activo No Corriente</w:t>
            </w:r>
          </w:p>
        </w:tc>
        <w:tc>
          <w:tcPr>
            <w:tcW w:w="1556" w:type="dxa"/>
            <w:tcBorders>
              <w:top w:val="nil"/>
              <w:left w:val="nil"/>
              <w:bottom w:val="nil"/>
              <w:right w:val="nil"/>
            </w:tcBorders>
            <w:shd w:val="clear" w:color="000000" w:fill="D9D9D9"/>
            <w:noWrap/>
            <w:vAlign w:val="bottom"/>
          </w:tcPr>
          <w:p w14:paraId="642DA4EB" w14:textId="77777777" w:rsidR="008F16FC" w:rsidRPr="008F16FC" w:rsidRDefault="008F16FC" w:rsidP="008F16FC">
            <w:pPr>
              <w:jc w:val="right"/>
              <w:rPr>
                <w:bCs/>
                <w:color w:val="000000"/>
                <w:sz w:val="20"/>
                <w:szCs w:val="20"/>
              </w:rPr>
            </w:pPr>
            <w:r w:rsidRPr="008F16FC">
              <w:rPr>
                <w:bCs/>
                <w:color w:val="000000"/>
                <w:sz w:val="20"/>
                <w:szCs w:val="20"/>
              </w:rPr>
              <w:t>3.608.422</w:t>
            </w:r>
          </w:p>
        </w:tc>
        <w:tc>
          <w:tcPr>
            <w:tcW w:w="1556" w:type="dxa"/>
            <w:tcBorders>
              <w:top w:val="nil"/>
              <w:left w:val="nil"/>
              <w:bottom w:val="nil"/>
              <w:right w:val="nil"/>
            </w:tcBorders>
            <w:shd w:val="clear" w:color="000000" w:fill="D9D9D9"/>
            <w:noWrap/>
            <w:vAlign w:val="bottom"/>
          </w:tcPr>
          <w:p w14:paraId="461CBD7D" w14:textId="77777777" w:rsidR="008F16FC" w:rsidRPr="008F16FC" w:rsidRDefault="008F16FC" w:rsidP="008F16FC">
            <w:pPr>
              <w:jc w:val="right"/>
              <w:rPr>
                <w:bCs/>
                <w:color w:val="000000"/>
                <w:sz w:val="20"/>
                <w:szCs w:val="20"/>
              </w:rPr>
            </w:pPr>
            <w:r w:rsidRPr="008F16FC">
              <w:rPr>
                <w:bCs/>
                <w:color w:val="000000"/>
                <w:sz w:val="20"/>
                <w:szCs w:val="20"/>
              </w:rPr>
              <w:t>3.230.990</w:t>
            </w:r>
          </w:p>
        </w:tc>
      </w:tr>
      <w:tr w:rsidR="008F16FC" w:rsidRPr="008F16FC" w14:paraId="71553DC2" w14:textId="77777777" w:rsidTr="008F16FC">
        <w:trPr>
          <w:trHeight w:val="255"/>
        </w:trPr>
        <w:tc>
          <w:tcPr>
            <w:tcW w:w="3708" w:type="dxa"/>
            <w:tcBorders>
              <w:top w:val="nil"/>
              <w:left w:val="nil"/>
              <w:bottom w:val="nil"/>
              <w:right w:val="nil"/>
            </w:tcBorders>
            <w:shd w:val="clear" w:color="000000" w:fill="A6A6A6"/>
            <w:noWrap/>
            <w:vAlign w:val="bottom"/>
            <w:hideMark/>
          </w:tcPr>
          <w:p w14:paraId="6AB326D8" w14:textId="77777777" w:rsidR="008F16FC" w:rsidRPr="008F16FC" w:rsidRDefault="008F16FC" w:rsidP="008F16FC">
            <w:pPr>
              <w:rPr>
                <w:b/>
                <w:bCs/>
                <w:color w:val="000000"/>
                <w:sz w:val="20"/>
                <w:szCs w:val="20"/>
                <w:u w:val="single"/>
              </w:rPr>
            </w:pPr>
            <w:r w:rsidRPr="008F16FC">
              <w:rPr>
                <w:b/>
                <w:bCs/>
                <w:color w:val="000000"/>
                <w:sz w:val="20"/>
                <w:szCs w:val="20"/>
                <w:u w:val="single"/>
              </w:rPr>
              <w:t>TOTAL ACTIVO</w:t>
            </w:r>
          </w:p>
        </w:tc>
        <w:tc>
          <w:tcPr>
            <w:tcW w:w="1556" w:type="dxa"/>
            <w:tcBorders>
              <w:top w:val="nil"/>
              <w:left w:val="nil"/>
              <w:bottom w:val="nil"/>
              <w:right w:val="nil"/>
            </w:tcBorders>
            <w:shd w:val="clear" w:color="000000" w:fill="A6A6A6"/>
            <w:noWrap/>
            <w:vAlign w:val="bottom"/>
          </w:tcPr>
          <w:p w14:paraId="75E62759" w14:textId="77777777" w:rsidR="008F16FC" w:rsidRPr="008F16FC" w:rsidRDefault="008F16FC" w:rsidP="008F16FC">
            <w:pPr>
              <w:jc w:val="right"/>
              <w:rPr>
                <w:b/>
                <w:bCs/>
                <w:color w:val="000000"/>
                <w:sz w:val="20"/>
                <w:szCs w:val="20"/>
                <w:u w:val="single"/>
              </w:rPr>
            </w:pPr>
            <w:r w:rsidRPr="008F16FC">
              <w:rPr>
                <w:b/>
                <w:bCs/>
                <w:color w:val="000000"/>
                <w:sz w:val="20"/>
                <w:szCs w:val="20"/>
                <w:u w:val="single"/>
              </w:rPr>
              <w:t>11.575.587</w:t>
            </w:r>
          </w:p>
        </w:tc>
        <w:tc>
          <w:tcPr>
            <w:tcW w:w="1556" w:type="dxa"/>
            <w:tcBorders>
              <w:top w:val="nil"/>
              <w:left w:val="nil"/>
              <w:bottom w:val="nil"/>
              <w:right w:val="nil"/>
            </w:tcBorders>
            <w:shd w:val="clear" w:color="000000" w:fill="A6A6A6"/>
            <w:noWrap/>
            <w:vAlign w:val="bottom"/>
          </w:tcPr>
          <w:p w14:paraId="19807D57" w14:textId="77777777" w:rsidR="008F16FC" w:rsidRPr="008F16FC" w:rsidRDefault="008F16FC" w:rsidP="008F16FC">
            <w:pPr>
              <w:jc w:val="right"/>
              <w:rPr>
                <w:b/>
                <w:bCs/>
                <w:color w:val="000000"/>
                <w:sz w:val="20"/>
                <w:szCs w:val="20"/>
                <w:u w:val="single"/>
              </w:rPr>
            </w:pPr>
            <w:r w:rsidRPr="008F16FC">
              <w:rPr>
                <w:b/>
                <w:bCs/>
                <w:color w:val="000000"/>
                <w:sz w:val="20"/>
                <w:szCs w:val="20"/>
                <w:u w:val="single"/>
              </w:rPr>
              <w:t>11.467.365</w:t>
            </w:r>
          </w:p>
        </w:tc>
      </w:tr>
      <w:tr w:rsidR="008F16FC" w:rsidRPr="008F16FC" w14:paraId="39646519" w14:textId="77777777" w:rsidTr="008F16FC">
        <w:trPr>
          <w:trHeight w:val="255"/>
        </w:trPr>
        <w:tc>
          <w:tcPr>
            <w:tcW w:w="3708" w:type="dxa"/>
            <w:tcBorders>
              <w:top w:val="nil"/>
              <w:left w:val="nil"/>
              <w:bottom w:val="nil"/>
              <w:right w:val="nil"/>
            </w:tcBorders>
            <w:shd w:val="clear" w:color="auto" w:fill="auto"/>
            <w:noWrap/>
            <w:vAlign w:val="bottom"/>
            <w:hideMark/>
          </w:tcPr>
          <w:p w14:paraId="6E2F1C6E" w14:textId="77777777" w:rsidR="008F16FC" w:rsidRPr="008F16FC" w:rsidRDefault="008F16FC" w:rsidP="008F16FC">
            <w:pPr>
              <w:rPr>
                <w:color w:val="000000"/>
                <w:sz w:val="20"/>
                <w:szCs w:val="20"/>
              </w:rPr>
            </w:pPr>
          </w:p>
        </w:tc>
        <w:tc>
          <w:tcPr>
            <w:tcW w:w="1556" w:type="dxa"/>
            <w:tcBorders>
              <w:top w:val="nil"/>
              <w:left w:val="nil"/>
              <w:bottom w:val="nil"/>
              <w:right w:val="nil"/>
            </w:tcBorders>
            <w:shd w:val="clear" w:color="auto" w:fill="auto"/>
            <w:noWrap/>
            <w:vAlign w:val="bottom"/>
          </w:tcPr>
          <w:p w14:paraId="2062A9F7" w14:textId="77777777" w:rsidR="008F16FC" w:rsidRPr="008F16FC" w:rsidRDefault="008F16FC" w:rsidP="008F16FC">
            <w:pPr>
              <w:rPr>
                <w:b/>
                <w:color w:val="000000"/>
                <w:sz w:val="20"/>
                <w:szCs w:val="20"/>
              </w:rPr>
            </w:pPr>
          </w:p>
        </w:tc>
        <w:tc>
          <w:tcPr>
            <w:tcW w:w="1556" w:type="dxa"/>
            <w:tcBorders>
              <w:top w:val="nil"/>
              <w:left w:val="nil"/>
              <w:bottom w:val="nil"/>
              <w:right w:val="nil"/>
            </w:tcBorders>
            <w:shd w:val="clear" w:color="auto" w:fill="auto"/>
            <w:noWrap/>
            <w:vAlign w:val="bottom"/>
          </w:tcPr>
          <w:p w14:paraId="041F21E8" w14:textId="77777777" w:rsidR="008F16FC" w:rsidRPr="008F16FC" w:rsidRDefault="008F16FC" w:rsidP="008F16FC">
            <w:pPr>
              <w:rPr>
                <w:b/>
                <w:color w:val="000000"/>
                <w:sz w:val="20"/>
                <w:szCs w:val="20"/>
              </w:rPr>
            </w:pPr>
          </w:p>
        </w:tc>
      </w:tr>
      <w:tr w:rsidR="008F16FC" w:rsidRPr="008F16FC" w14:paraId="2641DB0A" w14:textId="77777777" w:rsidTr="008F16FC">
        <w:trPr>
          <w:trHeight w:val="255"/>
        </w:trPr>
        <w:tc>
          <w:tcPr>
            <w:tcW w:w="3708" w:type="dxa"/>
            <w:tcBorders>
              <w:top w:val="nil"/>
              <w:left w:val="nil"/>
              <w:bottom w:val="nil"/>
              <w:right w:val="nil"/>
            </w:tcBorders>
            <w:shd w:val="clear" w:color="auto" w:fill="auto"/>
            <w:noWrap/>
            <w:vAlign w:val="bottom"/>
            <w:hideMark/>
          </w:tcPr>
          <w:p w14:paraId="5B87432D" w14:textId="77777777" w:rsidR="008F16FC" w:rsidRPr="008F16FC" w:rsidRDefault="008F16FC" w:rsidP="008F16FC">
            <w:pPr>
              <w:rPr>
                <w:b/>
                <w:bCs/>
                <w:color w:val="000000"/>
                <w:sz w:val="20"/>
                <w:szCs w:val="20"/>
                <w:u w:val="single"/>
              </w:rPr>
            </w:pPr>
            <w:r w:rsidRPr="008F16FC">
              <w:rPr>
                <w:b/>
                <w:bCs/>
                <w:color w:val="000000"/>
                <w:sz w:val="20"/>
                <w:szCs w:val="20"/>
                <w:u w:val="single"/>
              </w:rPr>
              <w:t>PASIVO</w:t>
            </w:r>
          </w:p>
        </w:tc>
        <w:tc>
          <w:tcPr>
            <w:tcW w:w="1556" w:type="dxa"/>
            <w:tcBorders>
              <w:top w:val="nil"/>
              <w:left w:val="nil"/>
              <w:bottom w:val="nil"/>
              <w:right w:val="nil"/>
            </w:tcBorders>
            <w:shd w:val="clear" w:color="auto" w:fill="auto"/>
            <w:noWrap/>
            <w:vAlign w:val="bottom"/>
          </w:tcPr>
          <w:p w14:paraId="6F29000B" w14:textId="77777777" w:rsidR="008F16FC" w:rsidRPr="008F16FC" w:rsidRDefault="008F16FC" w:rsidP="008F16FC">
            <w:pPr>
              <w:rPr>
                <w:b/>
                <w:bCs/>
                <w:color w:val="000000"/>
                <w:sz w:val="20"/>
                <w:szCs w:val="20"/>
                <w:u w:val="single"/>
              </w:rPr>
            </w:pPr>
          </w:p>
        </w:tc>
        <w:tc>
          <w:tcPr>
            <w:tcW w:w="1556" w:type="dxa"/>
            <w:tcBorders>
              <w:top w:val="nil"/>
              <w:left w:val="nil"/>
              <w:bottom w:val="nil"/>
              <w:right w:val="nil"/>
            </w:tcBorders>
            <w:shd w:val="clear" w:color="auto" w:fill="auto"/>
            <w:noWrap/>
            <w:vAlign w:val="bottom"/>
          </w:tcPr>
          <w:p w14:paraId="12F39904" w14:textId="77777777" w:rsidR="008F16FC" w:rsidRPr="008F16FC" w:rsidRDefault="008F16FC" w:rsidP="008F16FC">
            <w:pPr>
              <w:rPr>
                <w:b/>
                <w:bCs/>
                <w:color w:val="000000"/>
                <w:sz w:val="20"/>
                <w:szCs w:val="20"/>
                <w:u w:val="single"/>
              </w:rPr>
            </w:pPr>
          </w:p>
        </w:tc>
      </w:tr>
      <w:tr w:rsidR="008F16FC" w:rsidRPr="008F16FC" w14:paraId="00F71E0F" w14:textId="77777777" w:rsidTr="008F16FC">
        <w:trPr>
          <w:trHeight w:val="255"/>
        </w:trPr>
        <w:tc>
          <w:tcPr>
            <w:tcW w:w="3708" w:type="dxa"/>
            <w:tcBorders>
              <w:top w:val="nil"/>
              <w:left w:val="nil"/>
              <w:bottom w:val="nil"/>
              <w:right w:val="nil"/>
            </w:tcBorders>
            <w:shd w:val="clear" w:color="000000" w:fill="D9D9D9"/>
            <w:noWrap/>
            <w:vAlign w:val="bottom"/>
            <w:hideMark/>
          </w:tcPr>
          <w:p w14:paraId="477CC508" w14:textId="77777777" w:rsidR="008F16FC" w:rsidRPr="008F16FC" w:rsidRDefault="008F16FC" w:rsidP="008F16FC">
            <w:pPr>
              <w:rPr>
                <w:bCs/>
                <w:color w:val="000000"/>
                <w:sz w:val="20"/>
                <w:szCs w:val="20"/>
              </w:rPr>
            </w:pPr>
            <w:r w:rsidRPr="008F16FC">
              <w:rPr>
                <w:bCs/>
                <w:color w:val="000000"/>
                <w:sz w:val="20"/>
                <w:szCs w:val="20"/>
              </w:rPr>
              <w:t>Total Pasivo Corriente</w:t>
            </w:r>
          </w:p>
        </w:tc>
        <w:tc>
          <w:tcPr>
            <w:tcW w:w="1556" w:type="dxa"/>
            <w:tcBorders>
              <w:top w:val="nil"/>
              <w:left w:val="nil"/>
              <w:bottom w:val="nil"/>
              <w:right w:val="nil"/>
            </w:tcBorders>
            <w:shd w:val="clear" w:color="000000" w:fill="D9D9D9"/>
            <w:noWrap/>
            <w:vAlign w:val="bottom"/>
          </w:tcPr>
          <w:p w14:paraId="189F98CE" w14:textId="77777777" w:rsidR="008F16FC" w:rsidRPr="008F16FC" w:rsidRDefault="008F16FC" w:rsidP="008F16FC">
            <w:pPr>
              <w:jc w:val="right"/>
              <w:rPr>
                <w:bCs/>
                <w:color w:val="000000"/>
                <w:sz w:val="20"/>
                <w:szCs w:val="20"/>
              </w:rPr>
            </w:pPr>
            <w:r w:rsidRPr="008F16FC">
              <w:rPr>
                <w:bCs/>
                <w:color w:val="000000"/>
                <w:sz w:val="20"/>
                <w:szCs w:val="20"/>
              </w:rPr>
              <w:t>7.464.950</w:t>
            </w:r>
          </w:p>
        </w:tc>
        <w:tc>
          <w:tcPr>
            <w:tcW w:w="1556" w:type="dxa"/>
            <w:tcBorders>
              <w:top w:val="nil"/>
              <w:left w:val="nil"/>
              <w:bottom w:val="nil"/>
              <w:right w:val="nil"/>
            </w:tcBorders>
            <w:shd w:val="clear" w:color="000000" w:fill="D9D9D9"/>
            <w:noWrap/>
            <w:vAlign w:val="bottom"/>
          </w:tcPr>
          <w:p w14:paraId="3DB5C298" w14:textId="77777777" w:rsidR="008F16FC" w:rsidRPr="008F16FC" w:rsidRDefault="008F16FC" w:rsidP="008F16FC">
            <w:pPr>
              <w:jc w:val="right"/>
              <w:rPr>
                <w:bCs/>
                <w:color w:val="000000"/>
                <w:sz w:val="20"/>
                <w:szCs w:val="20"/>
              </w:rPr>
            </w:pPr>
            <w:r w:rsidRPr="008F16FC">
              <w:rPr>
                <w:bCs/>
                <w:color w:val="000000"/>
                <w:sz w:val="20"/>
                <w:szCs w:val="20"/>
              </w:rPr>
              <w:t>7.767.746</w:t>
            </w:r>
          </w:p>
        </w:tc>
      </w:tr>
      <w:tr w:rsidR="008F16FC" w:rsidRPr="008F16FC" w14:paraId="322F51D1" w14:textId="77777777" w:rsidTr="008F16FC">
        <w:trPr>
          <w:trHeight w:val="255"/>
        </w:trPr>
        <w:tc>
          <w:tcPr>
            <w:tcW w:w="3708" w:type="dxa"/>
            <w:tcBorders>
              <w:top w:val="nil"/>
              <w:left w:val="nil"/>
              <w:bottom w:val="nil"/>
              <w:right w:val="nil"/>
            </w:tcBorders>
            <w:shd w:val="clear" w:color="000000" w:fill="D9D9D9"/>
            <w:noWrap/>
            <w:vAlign w:val="bottom"/>
            <w:hideMark/>
          </w:tcPr>
          <w:p w14:paraId="2348DAF3" w14:textId="77777777" w:rsidR="008F16FC" w:rsidRPr="008F16FC" w:rsidRDefault="008F16FC" w:rsidP="008F16FC">
            <w:pPr>
              <w:rPr>
                <w:bCs/>
                <w:color w:val="000000"/>
                <w:sz w:val="20"/>
                <w:szCs w:val="20"/>
              </w:rPr>
            </w:pPr>
            <w:r w:rsidRPr="008F16FC">
              <w:rPr>
                <w:bCs/>
                <w:color w:val="000000"/>
                <w:sz w:val="20"/>
                <w:szCs w:val="20"/>
              </w:rPr>
              <w:t>Total Pasivo No Corriente</w:t>
            </w:r>
          </w:p>
        </w:tc>
        <w:tc>
          <w:tcPr>
            <w:tcW w:w="1556" w:type="dxa"/>
            <w:tcBorders>
              <w:top w:val="nil"/>
              <w:left w:val="nil"/>
              <w:bottom w:val="nil"/>
              <w:right w:val="nil"/>
            </w:tcBorders>
            <w:shd w:val="clear" w:color="000000" w:fill="D9D9D9"/>
            <w:noWrap/>
            <w:vAlign w:val="bottom"/>
          </w:tcPr>
          <w:p w14:paraId="3D046A48" w14:textId="77777777" w:rsidR="008F16FC" w:rsidRPr="008F16FC" w:rsidRDefault="008F16FC" w:rsidP="008F16FC">
            <w:pPr>
              <w:jc w:val="right"/>
              <w:rPr>
                <w:bCs/>
                <w:color w:val="000000"/>
                <w:sz w:val="20"/>
                <w:szCs w:val="20"/>
              </w:rPr>
            </w:pPr>
            <w:r w:rsidRPr="008F16FC">
              <w:rPr>
                <w:bCs/>
                <w:color w:val="000000"/>
                <w:sz w:val="20"/>
                <w:szCs w:val="20"/>
              </w:rPr>
              <w:t>900.752</w:t>
            </w:r>
          </w:p>
        </w:tc>
        <w:tc>
          <w:tcPr>
            <w:tcW w:w="1556" w:type="dxa"/>
            <w:tcBorders>
              <w:top w:val="nil"/>
              <w:left w:val="nil"/>
              <w:bottom w:val="nil"/>
              <w:right w:val="nil"/>
            </w:tcBorders>
            <w:shd w:val="clear" w:color="000000" w:fill="D9D9D9"/>
            <w:noWrap/>
            <w:vAlign w:val="bottom"/>
          </w:tcPr>
          <w:p w14:paraId="6D6E0E81" w14:textId="77777777" w:rsidR="008F16FC" w:rsidRPr="008F16FC" w:rsidRDefault="008F16FC" w:rsidP="008F16FC">
            <w:pPr>
              <w:jc w:val="right"/>
              <w:rPr>
                <w:bCs/>
                <w:color w:val="000000"/>
                <w:sz w:val="20"/>
                <w:szCs w:val="20"/>
              </w:rPr>
            </w:pPr>
            <w:r w:rsidRPr="008F16FC">
              <w:rPr>
                <w:bCs/>
                <w:color w:val="000000"/>
                <w:sz w:val="20"/>
                <w:szCs w:val="20"/>
              </w:rPr>
              <w:t>870.562</w:t>
            </w:r>
          </w:p>
        </w:tc>
      </w:tr>
      <w:tr w:rsidR="008F16FC" w:rsidRPr="008F16FC" w14:paraId="7C9BABA1" w14:textId="77777777" w:rsidTr="008F16FC">
        <w:trPr>
          <w:trHeight w:val="255"/>
        </w:trPr>
        <w:tc>
          <w:tcPr>
            <w:tcW w:w="3708" w:type="dxa"/>
            <w:tcBorders>
              <w:top w:val="nil"/>
              <w:left w:val="nil"/>
              <w:bottom w:val="nil"/>
              <w:right w:val="nil"/>
            </w:tcBorders>
            <w:shd w:val="clear" w:color="000000" w:fill="A6A6A6"/>
            <w:noWrap/>
            <w:vAlign w:val="bottom"/>
            <w:hideMark/>
          </w:tcPr>
          <w:p w14:paraId="5C628894" w14:textId="77777777" w:rsidR="008F16FC" w:rsidRPr="008F16FC" w:rsidRDefault="008F16FC" w:rsidP="008F16FC">
            <w:pPr>
              <w:rPr>
                <w:b/>
                <w:bCs/>
                <w:color w:val="000000"/>
                <w:sz w:val="20"/>
                <w:szCs w:val="20"/>
                <w:u w:val="single"/>
              </w:rPr>
            </w:pPr>
            <w:r w:rsidRPr="008F16FC">
              <w:rPr>
                <w:b/>
                <w:bCs/>
                <w:color w:val="000000"/>
                <w:sz w:val="20"/>
                <w:szCs w:val="20"/>
                <w:u w:val="single"/>
              </w:rPr>
              <w:t>TOTAL PASIVO</w:t>
            </w:r>
          </w:p>
        </w:tc>
        <w:tc>
          <w:tcPr>
            <w:tcW w:w="1556" w:type="dxa"/>
            <w:tcBorders>
              <w:top w:val="nil"/>
              <w:left w:val="nil"/>
              <w:bottom w:val="nil"/>
              <w:right w:val="nil"/>
            </w:tcBorders>
            <w:shd w:val="clear" w:color="000000" w:fill="A6A6A6"/>
            <w:noWrap/>
            <w:vAlign w:val="bottom"/>
          </w:tcPr>
          <w:p w14:paraId="4B1E84CF" w14:textId="77777777" w:rsidR="008F16FC" w:rsidRPr="008F16FC" w:rsidRDefault="008F16FC" w:rsidP="008F16FC">
            <w:pPr>
              <w:jc w:val="right"/>
              <w:rPr>
                <w:b/>
                <w:bCs/>
                <w:color w:val="000000"/>
                <w:sz w:val="20"/>
                <w:szCs w:val="20"/>
                <w:u w:val="single"/>
              </w:rPr>
            </w:pPr>
            <w:r w:rsidRPr="008F16FC">
              <w:rPr>
                <w:b/>
                <w:bCs/>
                <w:color w:val="000000"/>
                <w:sz w:val="20"/>
                <w:szCs w:val="20"/>
                <w:u w:val="single"/>
              </w:rPr>
              <w:t>8.365.702</w:t>
            </w:r>
          </w:p>
        </w:tc>
        <w:tc>
          <w:tcPr>
            <w:tcW w:w="1556" w:type="dxa"/>
            <w:tcBorders>
              <w:top w:val="nil"/>
              <w:left w:val="nil"/>
              <w:bottom w:val="nil"/>
              <w:right w:val="nil"/>
            </w:tcBorders>
            <w:shd w:val="clear" w:color="000000" w:fill="A6A6A6"/>
            <w:noWrap/>
            <w:vAlign w:val="bottom"/>
          </w:tcPr>
          <w:p w14:paraId="6CD9DA61" w14:textId="77777777" w:rsidR="008F16FC" w:rsidRPr="008F16FC" w:rsidRDefault="008F16FC" w:rsidP="008F16FC">
            <w:pPr>
              <w:jc w:val="right"/>
              <w:rPr>
                <w:b/>
                <w:bCs/>
                <w:color w:val="000000"/>
                <w:sz w:val="20"/>
                <w:szCs w:val="20"/>
                <w:u w:val="single"/>
              </w:rPr>
            </w:pPr>
            <w:r w:rsidRPr="008F16FC">
              <w:rPr>
                <w:b/>
                <w:bCs/>
                <w:color w:val="000000"/>
                <w:sz w:val="20"/>
                <w:szCs w:val="20"/>
                <w:u w:val="single"/>
              </w:rPr>
              <w:t>8.638.308</w:t>
            </w:r>
          </w:p>
        </w:tc>
      </w:tr>
      <w:tr w:rsidR="008F16FC" w:rsidRPr="008F16FC" w14:paraId="3A3A93DB" w14:textId="77777777" w:rsidTr="008F16FC">
        <w:trPr>
          <w:trHeight w:val="255"/>
        </w:trPr>
        <w:tc>
          <w:tcPr>
            <w:tcW w:w="3708" w:type="dxa"/>
            <w:tcBorders>
              <w:top w:val="nil"/>
              <w:left w:val="nil"/>
              <w:bottom w:val="nil"/>
              <w:right w:val="nil"/>
            </w:tcBorders>
            <w:shd w:val="clear" w:color="auto" w:fill="auto"/>
            <w:noWrap/>
            <w:vAlign w:val="bottom"/>
            <w:hideMark/>
          </w:tcPr>
          <w:p w14:paraId="7B142B02" w14:textId="77777777" w:rsidR="008F16FC" w:rsidRPr="008F16FC" w:rsidRDefault="008F16FC" w:rsidP="008F16FC">
            <w:pPr>
              <w:rPr>
                <w:color w:val="000000"/>
                <w:sz w:val="20"/>
                <w:szCs w:val="20"/>
              </w:rPr>
            </w:pPr>
          </w:p>
        </w:tc>
        <w:tc>
          <w:tcPr>
            <w:tcW w:w="1556" w:type="dxa"/>
            <w:tcBorders>
              <w:top w:val="nil"/>
              <w:left w:val="nil"/>
              <w:bottom w:val="nil"/>
              <w:right w:val="nil"/>
            </w:tcBorders>
            <w:shd w:val="clear" w:color="auto" w:fill="auto"/>
            <w:noWrap/>
            <w:vAlign w:val="bottom"/>
          </w:tcPr>
          <w:p w14:paraId="4FC2DEBE" w14:textId="77777777" w:rsidR="008F16FC" w:rsidRPr="008F16FC" w:rsidRDefault="008F16FC" w:rsidP="008F16FC">
            <w:pPr>
              <w:rPr>
                <w:color w:val="000000"/>
                <w:sz w:val="20"/>
                <w:szCs w:val="20"/>
              </w:rPr>
            </w:pPr>
          </w:p>
        </w:tc>
        <w:tc>
          <w:tcPr>
            <w:tcW w:w="1556" w:type="dxa"/>
            <w:tcBorders>
              <w:top w:val="nil"/>
              <w:left w:val="nil"/>
              <w:bottom w:val="nil"/>
              <w:right w:val="nil"/>
            </w:tcBorders>
            <w:shd w:val="clear" w:color="auto" w:fill="auto"/>
            <w:noWrap/>
            <w:vAlign w:val="bottom"/>
          </w:tcPr>
          <w:p w14:paraId="01E7F1F9" w14:textId="77777777" w:rsidR="008F16FC" w:rsidRPr="008F16FC" w:rsidRDefault="008F16FC" w:rsidP="008F16FC">
            <w:pPr>
              <w:rPr>
                <w:color w:val="000000"/>
                <w:sz w:val="20"/>
                <w:szCs w:val="20"/>
              </w:rPr>
            </w:pPr>
          </w:p>
        </w:tc>
      </w:tr>
      <w:tr w:rsidR="008F16FC" w:rsidRPr="008F16FC" w14:paraId="78C97683" w14:textId="77777777" w:rsidTr="008F16FC">
        <w:trPr>
          <w:trHeight w:val="255"/>
        </w:trPr>
        <w:tc>
          <w:tcPr>
            <w:tcW w:w="3708" w:type="dxa"/>
            <w:tcBorders>
              <w:top w:val="nil"/>
              <w:left w:val="nil"/>
              <w:bottom w:val="nil"/>
              <w:right w:val="nil"/>
            </w:tcBorders>
            <w:shd w:val="clear" w:color="auto" w:fill="auto"/>
            <w:noWrap/>
            <w:vAlign w:val="bottom"/>
            <w:hideMark/>
          </w:tcPr>
          <w:p w14:paraId="74470D74" w14:textId="77777777" w:rsidR="008F16FC" w:rsidRPr="008F16FC" w:rsidRDefault="008F16FC" w:rsidP="008F16FC">
            <w:pPr>
              <w:rPr>
                <w:b/>
                <w:bCs/>
                <w:color w:val="000000"/>
                <w:sz w:val="20"/>
                <w:szCs w:val="20"/>
                <w:u w:val="single"/>
              </w:rPr>
            </w:pPr>
            <w:r w:rsidRPr="008F16FC">
              <w:rPr>
                <w:b/>
                <w:bCs/>
                <w:color w:val="000000"/>
                <w:sz w:val="20"/>
                <w:szCs w:val="20"/>
                <w:u w:val="single"/>
              </w:rPr>
              <w:t>PATRIMONIO NETO</w:t>
            </w:r>
          </w:p>
        </w:tc>
        <w:tc>
          <w:tcPr>
            <w:tcW w:w="1556" w:type="dxa"/>
            <w:tcBorders>
              <w:top w:val="nil"/>
              <w:left w:val="nil"/>
              <w:bottom w:val="nil"/>
              <w:right w:val="nil"/>
            </w:tcBorders>
            <w:shd w:val="clear" w:color="auto" w:fill="auto"/>
            <w:noWrap/>
            <w:vAlign w:val="bottom"/>
          </w:tcPr>
          <w:p w14:paraId="64DC0443" w14:textId="77777777" w:rsidR="008F16FC" w:rsidRPr="008F16FC" w:rsidRDefault="008F16FC" w:rsidP="008F16FC">
            <w:pPr>
              <w:rPr>
                <w:b/>
                <w:bCs/>
                <w:color w:val="000000"/>
                <w:sz w:val="20"/>
                <w:szCs w:val="20"/>
                <w:u w:val="single"/>
              </w:rPr>
            </w:pPr>
          </w:p>
        </w:tc>
        <w:tc>
          <w:tcPr>
            <w:tcW w:w="1556" w:type="dxa"/>
            <w:tcBorders>
              <w:top w:val="nil"/>
              <w:left w:val="nil"/>
              <w:bottom w:val="nil"/>
              <w:right w:val="nil"/>
            </w:tcBorders>
            <w:shd w:val="clear" w:color="auto" w:fill="auto"/>
            <w:noWrap/>
            <w:vAlign w:val="bottom"/>
          </w:tcPr>
          <w:p w14:paraId="679C788C" w14:textId="77777777" w:rsidR="008F16FC" w:rsidRPr="008F16FC" w:rsidRDefault="008F16FC" w:rsidP="008F16FC">
            <w:pPr>
              <w:rPr>
                <w:b/>
                <w:bCs/>
                <w:color w:val="000000"/>
                <w:sz w:val="20"/>
                <w:szCs w:val="20"/>
                <w:u w:val="single"/>
              </w:rPr>
            </w:pPr>
          </w:p>
        </w:tc>
      </w:tr>
      <w:tr w:rsidR="008F16FC" w:rsidRPr="008F16FC" w14:paraId="51F6B110" w14:textId="77777777" w:rsidTr="008F16FC">
        <w:trPr>
          <w:trHeight w:val="255"/>
        </w:trPr>
        <w:tc>
          <w:tcPr>
            <w:tcW w:w="3708" w:type="dxa"/>
            <w:tcBorders>
              <w:top w:val="nil"/>
              <w:left w:val="nil"/>
              <w:bottom w:val="nil"/>
              <w:right w:val="nil"/>
            </w:tcBorders>
            <w:shd w:val="clear" w:color="auto" w:fill="auto"/>
            <w:noWrap/>
            <w:vAlign w:val="bottom"/>
            <w:hideMark/>
          </w:tcPr>
          <w:p w14:paraId="63D46FC1" w14:textId="77777777" w:rsidR="008F16FC" w:rsidRPr="008F16FC" w:rsidRDefault="008F16FC" w:rsidP="008F16FC">
            <w:pPr>
              <w:rPr>
                <w:color w:val="000000"/>
                <w:sz w:val="20"/>
                <w:szCs w:val="20"/>
              </w:rPr>
            </w:pPr>
            <w:r w:rsidRPr="008F16FC">
              <w:rPr>
                <w:color w:val="000000"/>
                <w:sz w:val="20"/>
                <w:szCs w:val="20"/>
              </w:rPr>
              <w:t>Capital</w:t>
            </w:r>
          </w:p>
        </w:tc>
        <w:tc>
          <w:tcPr>
            <w:tcW w:w="1556" w:type="dxa"/>
            <w:tcBorders>
              <w:top w:val="nil"/>
              <w:left w:val="nil"/>
              <w:bottom w:val="nil"/>
              <w:right w:val="nil"/>
            </w:tcBorders>
            <w:shd w:val="clear" w:color="auto" w:fill="auto"/>
            <w:noWrap/>
            <w:vAlign w:val="bottom"/>
          </w:tcPr>
          <w:p w14:paraId="67D03C2B" w14:textId="77777777" w:rsidR="008F16FC" w:rsidRPr="008F16FC" w:rsidRDefault="008F16FC" w:rsidP="008F16FC">
            <w:pPr>
              <w:jc w:val="right"/>
              <w:rPr>
                <w:color w:val="000000"/>
                <w:sz w:val="20"/>
                <w:szCs w:val="20"/>
              </w:rPr>
            </w:pPr>
            <w:r w:rsidRPr="008F16FC">
              <w:rPr>
                <w:color w:val="000000"/>
                <w:sz w:val="20"/>
                <w:szCs w:val="20"/>
              </w:rPr>
              <w:t>350.000</w:t>
            </w:r>
          </w:p>
        </w:tc>
        <w:tc>
          <w:tcPr>
            <w:tcW w:w="1556" w:type="dxa"/>
            <w:tcBorders>
              <w:top w:val="nil"/>
              <w:left w:val="nil"/>
              <w:bottom w:val="nil"/>
              <w:right w:val="nil"/>
            </w:tcBorders>
            <w:shd w:val="clear" w:color="auto" w:fill="auto"/>
            <w:noWrap/>
            <w:vAlign w:val="bottom"/>
          </w:tcPr>
          <w:p w14:paraId="3AA11D88" w14:textId="77777777" w:rsidR="008F16FC" w:rsidRPr="008F16FC" w:rsidRDefault="008F16FC" w:rsidP="008F16FC">
            <w:pPr>
              <w:jc w:val="right"/>
              <w:rPr>
                <w:color w:val="000000"/>
                <w:sz w:val="20"/>
                <w:szCs w:val="20"/>
              </w:rPr>
            </w:pPr>
            <w:r w:rsidRPr="008F16FC">
              <w:rPr>
                <w:color w:val="000000"/>
                <w:sz w:val="20"/>
                <w:szCs w:val="20"/>
              </w:rPr>
              <w:t>350.000</w:t>
            </w:r>
          </w:p>
        </w:tc>
      </w:tr>
      <w:tr w:rsidR="008F16FC" w:rsidRPr="008F16FC" w14:paraId="424B608A" w14:textId="77777777" w:rsidTr="008F16FC">
        <w:trPr>
          <w:trHeight w:val="255"/>
        </w:trPr>
        <w:tc>
          <w:tcPr>
            <w:tcW w:w="3708" w:type="dxa"/>
            <w:tcBorders>
              <w:top w:val="nil"/>
              <w:left w:val="nil"/>
              <w:bottom w:val="nil"/>
              <w:right w:val="nil"/>
            </w:tcBorders>
            <w:shd w:val="clear" w:color="auto" w:fill="auto"/>
            <w:noWrap/>
            <w:vAlign w:val="bottom"/>
            <w:hideMark/>
          </w:tcPr>
          <w:p w14:paraId="7FF397AA" w14:textId="77777777" w:rsidR="008F16FC" w:rsidRPr="008F16FC" w:rsidRDefault="008F16FC" w:rsidP="008F16FC">
            <w:pPr>
              <w:rPr>
                <w:color w:val="000000"/>
                <w:sz w:val="20"/>
                <w:szCs w:val="20"/>
              </w:rPr>
            </w:pPr>
            <w:r w:rsidRPr="008F16FC">
              <w:rPr>
                <w:color w:val="000000"/>
                <w:sz w:val="20"/>
                <w:szCs w:val="20"/>
              </w:rPr>
              <w:t>Ajuste del Capital</w:t>
            </w:r>
          </w:p>
        </w:tc>
        <w:tc>
          <w:tcPr>
            <w:tcW w:w="1556" w:type="dxa"/>
            <w:tcBorders>
              <w:top w:val="nil"/>
              <w:left w:val="nil"/>
              <w:bottom w:val="nil"/>
              <w:right w:val="nil"/>
            </w:tcBorders>
            <w:shd w:val="clear" w:color="auto" w:fill="auto"/>
            <w:noWrap/>
            <w:vAlign w:val="bottom"/>
          </w:tcPr>
          <w:p w14:paraId="3F0E4154" w14:textId="77777777" w:rsidR="008F16FC" w:rsidRPr="008F16FC" w:rsidRDefault="008F16FC" w:rsidP="008F16FC">
            <w:pPr>
              <w:jc w:val="right"/>
              <w:rPr>
                <w:color w:val="000000"/>
                <w:sz w:val="20"/>
                <w:szCs w:val="20"/>
              </w:rPr>
            </w:pPr>
            <w:r w:rsidRPr="008F16FC">
              <w:rPr>
                <w:color w:val="000000"/>
                <w:sz w:val="20"/>
                <w:szCs w:val="20"/>
              </w:rPr>
              <w:t>1.013.235</w:t>
            </w:r>
          </w:p>
        </w:tc>
        <w:tc>
          <w:tcPr>
            <w:tcW w:w="1556" w:type="dxa"/>
            <w:tcBorders>
              <w:top w:val="nil"/>
              <w:left w:val="nil"/>
              <w:bottom w:val="nil"/>
              <w:right w:val="nil"/>
            </w:tcBorders>
            <w:shd w:val="clear" w:color="auto" w:fill="auto"/>
            <w:noWrap/>
            <w:vAlign w:val="bottom"/>
          </w:tcPr>
          <w:p w14:paraId="20ED1500" w14:textId="77777777" w:rsidR="008F16FC" w:rsidRPr="008F16FC" w:rsidRDefault="008F16FC" w:rsidP="008F16FC">
            <w:pPr>
              <w:jc w:val="right"/>
              <w:rPr>
                <w:color w:val="000000"/>
                <w:sz w:val="20"/>
                <w:szCs w:val="20"/>
              </w:rPr>
            </w:pPr>
            <w:r w:rsidRPr="008F16FC">
              <w:rPr>
                <w:color w:val="000000"/>
                <w:sz w:val="20"/>
                <w:szCs w:val="20"/>
              </w:rPr>
              <w:t>1.013.235</w:t>
            </w:r>
          </w:p>
        </w:tc>
      </w:tr>
      <w:tr w:rsidR="008F16FC" w:rsidRPr="008F16FC" w14:paraId="7638CEB4" w14:textId="77777777" w:rsidTr="008F16FC">
        <w:trPr>
          <w:trHeight w:val="255"/>
        </w:trPr>
        <w:tc>
          <w:tcPr>
            <w:tcW w:w="3708" w:type="dxa"/>
            <w:tcBorders>
              <w:top w:val="nil"/>
              <w:left w:val="nil"/>
              <w:bottom w:val="nil"/>
              <w:right w:val="nil"/>
            </w:tcBorders>
            <w:shd w:val="clear" w:color="auto" w:fill="auto"/>
            <w:noWrap/>
            <w:vAlign w:val="bottom"/>
            <w:hideMark/>
          </w:tcPr>
          <w:p w14:paraId="60C3692B" w14:textId="77777777" w:rsidR="008F16FC" w:rsidRPr="008F16FC" w:rsidRDefault="008F16FC" w:rsidP="008F16FC">
            <w:pPr>
              <w:rPr>
                <w:color w:val="000000"/>
                <w:sz w:val="20"/>
                <w:szCs w:val="20"/>
                <w:lang w:val="es-ES"/>
              </w:rPr>
            </w:pPr>
            <w:r w:rsidRPr="008F16FC">
              <w:rPr>
                <w:color w:val="000000"/>
                <w:sz w:val="20"/>
                <w:szCs w:val="20"/>
                <w:lang w:val="es-ES"/>
              </w:rPr>
              <w:t>Saldo por diferencia de conversión</w:t>
            </w:r>
          </w:p>
        </w:tc>
        <w:tc>
          <w:tcPr>
            <w:tcW w:w="1556" w:type="dxa"/>
            <w:tcBorders>
              <w:top w:val="nil"/>
              <w:left w:val="nil"/>
              <w:bottom w:val="nil"/>
              <w:right w:val="nil"/>
            </w:tcBorders>
            <w:shd w:val="clear" w:color="auto" w:fill="auto"/>
            <w:noWrap/>
            <w:vAlign w:val="bottom"/>
          </w:tcPr>
          <w:p w14:paraId="43A68B0F" w14:textId="77777777" w:rsidR="008F16FC" w:rsidRPr="008F16FC" w:rsidRDefault="008F16FC" w:rsidP="008F16FC">
            <w:pPr>
              <w:jc w:val="right"/>
              <w:rPr>
                <w:color w:val="000000"/>
                <w:sz w:val="20"/>
                <w:szCs w:val="20"/>
                <w:lang w:val="es-MX"/>
              </w:rPr>
            </w:pPr>
            <w:r w:rsidRPr="008F16FC">
              <w:rPr>
                <w:color w:val="000000"/>
                <w:sz w:val="20"/>
                <w:szCs w:val="20"/>
                <w:lang w:val="es-MX"/>
              </w:rPr>
              <w:t>(67.588)</w:t>
            </w:r>
          </w:p>
        </w:tc>
        <w:tc>
          <w:tcPr>
            <w:tcW w:w="1556" w:type="dxa"/>
            <w:tcBorders>
              <w:top w:val="nil"/>
              <w:left w:val="nil"/>
              <w:bottom w:val="nil"/>
              <w:right w:val="nil"/>
            </w:tcBorders>
            <w:shd w:val="clear" w:color="auto" w:fill="auto"/>
            <w:noWrap/>
            <w:vAlign w:val="bottom"/>
          </w:tcPr>
          <w:p w14:paraId="6731A2A0" w14:textId="77777777" w:rsidR="008F16FC" w:rsidRPr="008F16FC" w:rsidRDefault="008F16FC" w:rsidP="008F16FC">
            <w:pPr>
              <w:jc w:val="right"/>
              <w:rPr>
                <w:color w:val="000000"/>
                <w:sz w:val="20"/>
                <w:szCs w:val="20"/>
                <w:lang w:val="es-MX"/>
              </w:rPr>
            </w:pPr>
            <w:r w:rsidRPr="008F16FC">
              <w:rPr>
                <w:color w:val="000000"/>
                <w:sz w:val="20"/>
                <w:szCs w:val="20"/>
              </w:rPr>
              <w:t>(57.665)</w:t>
            </w:r>
          </w:p>
        </w:tc>
      </w:tr>
      <w:tr w:rsidR="008F16FC" w:rsidRPr="008F16FC" w14:paraId="13D1A45E" w14:textId="77777777" w:rsidTr="008F16FC">
        <w:trPr>
          <w:trHeight w:val="255"/>
        </w:trPr>
        <w:tc>
          <w:tcPr>
            <w:tcW w:w="3708" w:type="dxa"/>
            <w:tcBorders>
              <w:top w:val="nil"/>
              <w:left w:val="nil"/>
              <w:bottom w:val="nil"/>
              <w:right w:val="nil"/>
            </w:tcBorders>
            <w:shd w:val="clear" w:color="auto" w:fill="auto"/>
            <w:noWrap/>
            <w:vAlign w:val="bottom"/>
            <w:hideMark/>
          </w:tcPr>
          <w:p w14:paraId="7C5ED5E2" w14:textId="77777777" w:rsidR="008F16FC" w:rsidRPr="008F16FC" w:rsidRDefault="008F16FC" w:rsidP="008F16FC">
            <w:pPr>
              <w:rPr>
                <w:color w:val="000000"/>
                <w:sz w:val="20"/>
                <w:szCs w:val="20"/>
              </w:rPr>
            </w:pPr>
            <w:r w:rsidRPr="008F16FC">
              <w:rPr>
                <w:color w:val="000000"/>
                <w:sz w:val="20"/>
                <w:szCs w:val="20"/>
              </w:rPr>
              <w:t>Reserva legal</w:t>
            </w:r>
          </w:p>
        </w:tc>
        <w:tc>
          <w:tcPr>
            <w:tcW w:w="1556" w:type="dxa"/>
            <w:tcBorders>
              <w:top w:val="nil"/>
              <w:left w:val="nil"/>
              <w:bottom w:val="nil"/>
              <w:right w:val="nil"/>
            </w:tcBorders>
            <w:shd w:val="clear" w:color="auto" w:fill="auto"/>
            <w:noWrap/>
            <w:vAlign w:val="bottom"/>
          </w:tcPr>
          <w:p w14:paraId="5D40411A" w14:textId="77777777" w:rsidR="008F16FC" w:rsidRPr="008F16FC" w:rsidRDefault="008F16FC" w:rsidP="008F16FC">
            <w:pPr>
              <w:jc w:val="right"/>
              <w:rPr>
                <w:color w:val="000000"/>
                <w:sz w:val="20"/>
                <w:szCs w:val="20"/>
              </w:rPr>
            </w:pPr>
            <w:r w:rsidRPr="008F16FC">
              <w:rPr>
                <w:color w:val="000000"/>
                <w:sz w:val="20"/>
                <w:szCs w:val="20"/>
              </w:rPr>
              <w:t>35.329</w:t>
            </w:r>
          </w:p>
        </w:tc>
        <w:tc>
          <w:tcPr>
            <w:tcW w:w="1556" w:type="dxa"/>
            <w:tcBorders>
              <w:top w:val="nil"/>
              <w:left w:val="nil"/>
              <w:bottom w:val="nil"/>
              <w:right w:val="nil"/>
            </w:tcBorders>
            <w:shd w:val="clear" w:color="auto" w:fill="auto"/>
            <w:noWrap/>
            <w:vAlign w:val="bottom"/>
          </w:tcPr>
          <w:p w14:paraId="050E61FC" w14:textId="77777777" w:rsidR="008F16FC" w:rsidRPr="008F16FC" w:rsidRDefault="008F16FC" w:rsidP="008F16FC">
            <w:pPr>
              <w:jc w:val="right"/>
              <w:rPr>
                <w:color w:val="000000"/>
                <w:sz w:val="20"/>
                <w:szCs w:val="20"/>
              </w:rPr>
            </w:pPr>
            <w:r w:rsidRPr="008F16FC">
              <w:rPr>
                <w:color w:val="000000"/>
                <w:sz w:val="20"/>
                <w:szCs w:val="20"/>
              </w:rPr>
              <w:t>35.329</w:t>
            </w:r>
          </w:p>
        </w:tc>
      </w:tr>
      <w:tr w:rsidR="008F16FC" w:rsidRPr="008F16FC" w14:paraId="5866DD7A" w14:textId="77777777" w:rsidTr="008F16FC">
        <w:trPr>
          <w:trHeight w:val="255"/>
        </w:trPr>
        <w:tc>
          <w:tcPr>
            <w:tcW w:w="3708" w:type="dxa"/>
            <w:tcBorders>
              <w:top w:val="nil"/>
              <w:left w:val="nil"/>
              <w:bottom w:val="nil"/>
              <w:right w:val="nil"/>
            </w:tcBorders>
            <w:shd w:val="clear" w:color="auto" w:fill="auto"/>
            <w:noWrap/>
            <w:vAlign w:val="bottom"/>
            <w:hideMark/>
          </w:tcPr>
          <w:p w14:paraId="6C9B56E1" w14:textId="77777777" w:rsidR="008F16FC" w:rsidRPr="008F16FC" w:rsidRDefault="008F16FC" w:rsidP="008F16FC">
            <w:pPr>
              <w:rPr>
                <w:color w:val="000000"/>
                <w:sz w:val="20"/>
                <w:szCs w:val="20"/>
              </w:rPr>
            </w:pPr>
            <w:r w:rsidRPr="008F16FC">
              <w:rPr>
                <w:color w:val="000000"/>
                <w:sz w:val="20"/>
                <w:szCs w:val="20"/>
              </w:rPr>
              <w:t>Otras reservas</w:t>
            </w:r>
          </w:p>
        </w:tc>
        <w:tc>
          <w:tcPr>
            <w:tcW w:w="1556" w:type="dxa"/>
            <w:tcBorders>
              <w:top w:val="nil"/>
              <w:left w:val="nil"/>
              <w:bottom w:val="nil"/>
              <w:right w:val="nil"/>
            </w:tcBorders>
            <w:shd w:val="clear" w:color="auto" w:fill="auto"/>
            <w:noWrap/>
            <w:vAlign w:val="bottom"/>
          </w:tcPr>
          <w:p w14:paraId="1E60E070" w14:textId="77777777" w:rsidR="008F16FC" w:rsidRPr="008F16FC" w:rsidRDefault="008F16FC" w:rsidP="008F16FC">
            <w:pPr>
              <w:jc w:val="right"/>
              <w:rPr>
                <w:color w:val="000000"/>
                <w:sz w:val="20"/>
                <w:szCs w:val="20"/>
              </w:rPr>
            </w:pPr>
            <w:r w:rsidRPr="008F16FC">
              <w:rPr>
                <w:color w:val="000000"/>
                <w:sz w:val="20"/>
                <w:szCs w:val="20"/>
              </w:rPr>
              <w:t>455.738</w:t>
            </w:r>
          </w:p>
        </w:tc>
        <w:tc>
          <w:tcPr>
            <w:tcW w:w="1556" w:type="dxa"/>
            <w:tcBorders>
              <w:top w:val="nil"/>
              <w:left w:val="nil"/>
              <w:bottom w:val="nil"/>
              <w:right w:val="nil"/>
            </w:tcBorders>
            <w:shd w:val="clear" w:color="auto" w:fill="auto"/>
            <w:noWrap/>
            <w:vAlign w:val="bottom"/>
          </w:tcPr>
          <w:p w14:paraId="058EF558" w14:textId="77777777" w:rsidR="008F16FC" w:rsidRPr="008F16FC" w:rsidRDefault="008F16FC" w:rsidP="008F16FC">
            <w:pPr>
              <w:jc w:val="right"/>
              <w:rPr>
                <w:color w:val="000000"/>
                <w:sz w:val="20"/>
                <w:szCs w:val="20"/>
              </w:rPr>
            </w:pPr>
            <w:r w:rsidRPr="008F16FC">
              <w:rPr>
                <w:color w:val="000000"/>
                <w:sz w:val="20"/>
                <w:szCs w:val="20"/>
              </w:rPr>
              <w:t>455.738</w:t>
            </w:r>
          </w:p>
        </w:tc>
      </w:tr>
      <w:tr w:rsidR="008F16FC" w:rsidRPr="008F16FC" w14:paraId="41107074" w14:textId="77777777" w:rsidTr="008F16FC">
        <w:trPr>
          <w:trHeight w:val="255"/>
        </w:trPr>
        <w:tc>
          <w:tcPr>
            <w:tcW w:w="3708" w:type="dxa"/>
            <w:tcBorders>
              <w:top w:val="nil"/>
              <w:left w:val="nil"/>
              <w:bottom w:val="nil"/>
              <w:right w:val="nil"/>
            </w:tcBorders>
            <w:shd w:val="clear" w:color="auto" w:fill="auto"/>
            <w:noWrap/>
            <w:vAlign w:val="bottom"/>
            <w:hideMark/>
          </w:tcPr>
          <w:p w14:paraId="7D4B671C" w14:textId="77777777" w:rsidR="008F16FC" w:rsidRPr="008F16FC" w:rsidRDefault="008F16FC" w:rsidP="008F16FC">
            <w:pPr>
              <w:rPr>
                <w:color w:val="000000"/>
                <w:sz w:val="20"/>
                <w:szCs w:val="20"/>
              </w:rPr>
            </w:pPr>
            <w:r w:rsidRPr="008F16FC">
              <w:rPr>
                <w:color w:val="000000"/>
                <w:sz w:val="20"/>
                <w:szCs w:val="20"/>
              </w:rPr>
              <w:t>Superávit de revaluación</w:t>
            </w:r>
          </w:p>
        </w:tc>
        <w:tc>
          <w:tcPr>
            <w:tcW w:w="1556" w:type="dxa"/>
            <w:tcBorders>
              <w:top w:val="nil"/>
              <w:left w:val="nil"/>
              <w:bottom w:val="nil"/>
              <w:right w:val="nil"/>
            </w:tcBorders>
            <w:shd w:val="clear" w:color="auto" w:fill="auto"/>
            <w:noWrap/>
            <w:vAlign w:val="bottom"/>
          </w:tcPr>
          <w:p w14:paraId="50BF9C8D" w14:textId="77777777" w:rsidR="008F16FC" w:rsidRPr="008F16FC" w:rsidRDefault="008F16FC" w:rsidP="008F16FC">
            <w:pPr>
              <w:jc w:val="right"/>
              <w:rPr>
                <w:color w:val="000000"/>
                <w:sz w:val="20"/>
                <w:szCs w:val="20"/>
              </w:rPr>
            </w:pPr>
            <w:r w:rsidRPr="008F16FC">
              <w:rPr>
                <w:color w:val="000000"/>
                <w:sz w:val="20"/>
                <w:szCs w:val="20"/>
              </w:rPr>
              <w:t>627.351</w:t>
            </w:r>
          </w:p>
        </w:tc>
        <w:tc>
          <w:tcPr>
            <w:tcW w:w="1556" w:type="dxa"/>
            <w:tcBorders>
              <w:top w:val="nil"/>
              <w:left w:val="nil"/>
              <w:bottom w:val="nil"/>
              <w:right w:val="nil"/>
            </w:tcBorders>
            <w:shd w:val="clear" w:color="auto" w:fill="auto"/>
            <w:noWrap/>
            <w:vAlign w:val="bottom"/>
          </w:tcPr>
          <w:p w14:paraId="61E59EF8" w14:textId="77777777" w:rsidR="008F16FC" w:rsidRPr="008F16FC" w:rsidRDefault="008F16FC" w:rsidP="008F16FC">
            <w:pPr>
              <w:jc w:val="right"/>
              <w:rPr>
                <w:color w:val="000000"/>
                <w:sz w:val="20"/>
                <w:szCs w:val="20"/>
              </w:rPr>
            </w:pPr>
            <w:r w:rsidRPr="008F16FC">
              <w:rPr>
                <w:color w:val="000000"/>
                <w:sz w:val="20"/>
                <w:szCs w:val="20"/>
              </w:rPr>
              <w:t>314.145</w:t>
            </w:r>
          </w:p>
        </w:tc>
      </w:tr>
      <w:tr w:rsidR="008F16FC" w:rsidRPr="008F16FC" w14:paraId="376324EC" w14:textId="77777777" w:rsidTr="008F16FC">
        <w:trPr>
          <w:trHeight w:val="255"/>
        </w:trPr>
        <w:tc>
          <w:tcPr>
            <w:tcW w:w="3708" w:type="dxa"/>
            <w:tcBorders>
              <w:top w:val="nil"/>
              <w:left w:val="nil"/>
              <w:bottom w:val="nil"/>
              <w:right w:val="nil"/>
            </w:tcBorders>
            <w:shd w:val="clear" w:color="auto" w:fill="auto"/>
            <w:noWrap/>
            <w:vAlign w:val="bottom"/>
            <w:hideMark/>
          </w:tcPr>
          <w:p w14:paraId="2EB6DC3F" w14:textId="77777777" w:rsidR="008F16FC" w:rsidRPr="008F16FC" w:rsidRDefault="008F16FC" w:rsidP="008F16FC">
            <w:pPr>
              <w:rPr>
                <w:color w:val="000000"/>
                <w:sz w:val="20"/>
                <w:szCs w:val="20"/>
              </w:rPr>
            </w:pPr>
            <w:r w:rsidRPr="008F16FC">
              <w:rPr>
                <w:color w:val="000000"/>
                <w:sz w:val="20"/>
                <w:szCs w:val="20"/>
              </w:rPr>
              <w:t>Resultados no asignados</w:t>
            </w:r>
          </w:p>
        </w:tc>
        <w:tc>
          <w:tcPr>
            <w:tcW w:w="1556" w:type="dxa"/>
            <w:tcBorders>
              <w:top w:val="nil"/>
              <w:left w:val="nil"/>
              <w:bottom w:val="nil"/>
              <w:right w:val="nil"/>
            </w:tcBorders>
            <w:shd w:val="clear" w:color="auto" w:fill="auto"/>
            <w:noWrap/>
            <w:vAlign w:val="bottom"/>
          </w:tcPr>
          <w:p w14:paraId="382C2904" w14:textId="77777777" w:rsidR="008F16FC" w:rsidRPr="008F16FC" w:rsidRDefault="008F16FC" w:rsidP="008F16FC">
            <w:pPr>
              <w:jc w:val="right"/>
              <w:rPr>
                <w:color w:val="000000"/>
                <w:sz w:val="20"/>
                <w:szCs w:val="20"/>
              </w:rPr>
            </w:pPr>
            <w:r w:rsidRPr="008F16FC">
              <w:rPr>
                <w:color w:val="000000"/>
                <w:sz w:val="20"/>
                <w:szCs w:val="20"/>
              </w:rPr>
              <w:t>688.771</w:t>
            </w:r>
          </w:p>
        </w:tc>
        <w:tc>
          <w:tcPr>
            <w:tcW w:w="1556" w:type="dxa"/>
            <w:tcBorders>
              <w:top w:val="nil"/>
              <w:left w:val="nil"/>
              <w:bottom w:val="nil"/>
              <w:right w:val="nil"/>
            </w:tcBorders>
            <w:shd w:val="clear" w:color="auto" w:fill="auto"/>
            <w:noWrap/>
            <w:vAlign w:val="bottom"/>
          </w:tcPr>
          <w:p w14:paraId="112E46E9" w14:textId="77777777" w:rsidR="008F16FC" w:rsidRPr="008F16FC" w:rsidRDefault="008F16FC" w:rsidP="008F16FC">
            <w:pPr>
              <w:jc w:val="right"/>
              <w:rPr>
                <w:color w:val="000000"/>
                <w:sz w:val="20"/>
                <w:szCs w:val="20"/>
              </w:rPr>
            </w:pPr>
            <w:r w:rsidRPr="008F16FC">
              <w:rPr>
                <w:color w:val="000000"/>
                <w:sz w:val="20"/>
                <w:szCs w:val="20"/>
              </w:rPr>
              <w:t>609.942</w:t>
            </w:r>
          </w:p>
        </w:tc>
      </w:tr>
      <w:tr w:rsidR="008F16FC" w:rsidRPr="008F16FC" w14:paraId="3F682425" w14:textId="77777777" w:rsidTr="008F16FC">
        <w:trPr>
          <w:trHeight w:val="255"/>
        </w:trPr>
        <w:tc>
          <w:tcPr>
            <w:tcW w:w="3708" w:type="dxa"/>
            <w:tcBorders>
              <w:top w:val="nil"/>
              <w:left w:val="nil"/>
              <w:bottom w:val="nil"/>
              <w:right w:val="nil"/>
            </w:tcBorders>
            <w:shd w:val="clear" w:color="auto" w:fill="auto"/>
            <w:noWrap/>
            <w:vAlign w:val="bottom"/>
            <w:hideMark/>
          </w:tcPr>
          <w:p w14:paraId="718C4820" w14:textId="77777777" w:rsidR="008F16FC" w:rsidRPr="008F16FC" w:rsidRDefault="008F16FC" w:rsidP="008F16FC">
            <w:pPr>
              <w:rPr>
                <w:bCs/>
                <w:color w:val="000000"/>
                <w:sz w:val="20"/>
                <w:szCs w:val="20"/>
              </w:rPr>
            </w:pPr>
            <w:r w:rsidRPr="008F16FC">
              <w:rPr>
                <w:bCs/>
                <w:color w:val="000000"/>
                <w:sz w:val="20"/>
                <w:szCs w:val="20"/>
              </w:rPr>
              <w:t>Atribuible Sociedad controladora</w:t>
            </w:r>
          </w:p>
        </w:tc>
        <w:tc>
          <w:tcPr>
            <w:tcW w:w="1556" w:type="dxa"/>
            <w:tcBorders>
              <w:top w:val="nil"/>
              <w:left w:val="nil"/>
              <w:bottom w:val="nil"/>
              <w:right w:val="nil"/>
            </w:tcBorders>
            <w:shd w:val="clear" w:color="auto" w:fill="auto"/>
            <w:noWrap/>
            <w:vAlign w:val="bottom"/>
          </w:tcPr>
          <w:p w14:paraId="2DB7DE06" w14:textId="77777777" w:rsidR="008F16FC" w:rsidRPr="008F16FC" w:rsidRDefault="008F16FC" w:rsidP="008F16FC">
            <w:pPr>
              <w:jc w:val="right"/>
              <w:rPr>
                <w:bCs/>
                <w:color w:val="000000"/>
                <w:sz w:val="20"/>
                <w:szCs w:val="20"/>
              </w:rPr>
            </w:pPr>
            <w:r w:rsidRPr="008F16FC">
              <w:rPr>
                <w:bCs/>
                <w:color w:val="000000"/>
                <w:sz w:val="20"/>
                <w:szCs w:val="20"/>
              </w:rPr>
              <w:t>3.193.242</w:t>
            </w:r>
          </w:p>
        </w:tc>
        <w:tc>
          <w:tcPr>
            <w:tcW w:w="1556" w:type="dxa"/>
            <w:tcBorders>
              <w:top w:val="nil"/>
              <w:left w:val="nil"/>
              <w:bottom w:val="nil"/>
              <w:right w:val="nil"/>
            </w:tcBorders>
            <w:shd w:val="clear" w:color="auto" w:fill="auto"/>
            <w:noWrap/>
            <w:vAlign w:val="bottom"/>
          </w:tcPr>
          <w:p w14:paraId="01CD6353" w14:textId="77777777" w:rsidR="008F16FC" w:rsidRPr="008F16FC" w:rsidRDefault="008F16FC" w:rsidP="008F16FC">
            <w:pPr>
              <w:jc w:val="right"/>
              <w:rPr>
                <w:bCs/>
                <w:color w:val="000000"/>
                <w:sz w:val="20"/>
                <w:szCs w:val="20"/>
              </w:rPr>
            </w:pPr>
            <w:r w:rsidRPr="008F16FC">
              <w:rPr>
                <w:bCs/>
                <w:color w:val="000000"/>
                <w:sz w:val="20"/>
                <w:szCs w:val="20"/>
              </w:rPr>
              <w:t>2.811.131</w:t>
            </w:r>
          </w:p>
        </w:tc>
      </w:tr>
      <w:tr w:rsidR="008F16FC" w:rsidRPr="008F16FC" w14:paraId="0BE4A770" w14:textId="77777777" w:rsidTr="008F16FC">
        <w:trPr>
          <w:trHeight w:val="255"/>
        </w:trPr>
        <w:tc>
          <w:tcPr>
            <w:tcW w:w="3708" w:type="dxa"/>
            <w:tcBorders>
              <w:top w:val="nil"/>
              <w:left w:val="nil"/>
              <w:bottom w:val="nil"/>
              <w:right w:val="nil"/>
            </w:tcBorders>
            <w:shd w:val="clear" w:color="auto" w:fill="auto"/>
            <w:noWrap/>
            <w:vAlign w:val="bottom"/>
            <w:hideMark/>
          </w:tcPr>
          <w:p w14:paraId="193F73BE" w14:textId="77777777" w:rsidR="008F16FC" w:rsidRPr="008F16FC" w:rsidRDefault="008F16FC" w:rsidP="008F16FC">
            <w:pPr>
              <w:rPr>
                <w:color w:val="000000"/>
                <w:sz w:val="20"/>
                <w:szCs w:val="20"/>
              </w:rPr>
            </w:pPr>
            <w:r w:rsidRPr="008F16FC">
              <w:rPr>
                <w:color w:val="000000"/>
                <w:sz w:val="20"/>
                <w:szCs w:val="20"/>
              </w:rPr>
              <w:t>Participaciones no controladora</w:t>
            </w:r>
          </w:p>
        </w:tc>
        <w:tc>
          <w:tcPr>
            <w:tcW w:w="1556" w:type="dxa"/>
            <w:tcBorders>
              <w:top w:val="nil"/>
              <w:left w:val="nil"/>
              <w:bottom w:val="nil"/>
              <w:right w:val="nil"/>
            </w:tcBorders>
            <w:shd w:val="clear" w:color="auto" w:fill="auto"/>
            <w:noWrap/>
            <w:vAlign w:val="bottom"/>
          </w:tcPr>
          <w:p w14:paraId="3247F167" w14:textId="77777777" w:rsidR="008F16FC" w:rsidRPr="008F16FC" w:rsidRDefault="008F16FC" w:rsidP="008F16FC">
            <w:pPr>
              <w:jc w:val="right"/>
              <w:rPr>
                <w:color w:val="000000"/>
                <w:sz w:val="20"/>
                <w:szCs w:val="20"/>
              </w:rPr>
            </w:pPr>
            <w:r w:rsidRPr="008F16FC">
              <w:rPr>
                <w:color w:val="000000"/>
                <w:sz w:val="20"/>
                <w:szCs w:val="20"/>
              </w:rPr>
              <w:t>16.643</w:t>
            </w:r>
          </w:p>
        </w:tc>
        <w:tc>
          <w:tcPr>
            <w:tcW w:w="1556" w:type="dxa"/>
            <w:tcBorders>
              <w:top w:val="nil"/>
              <w:left w:val="nil"/>
              <w:bottom w:val="nil"/>
              <w:right w:val="nil"/>
            </w:tcBorders>
            <w:shd w:val="clear" w:color="auto" w:fill="auto"/>
            <w:noWrap/>
            <w:vAlign w:val="bottom"/>
          </w:tcPr>
          <w:p w14:paraId="0D04CACC" w14:textId="77777777" w:rsidR="008F16FC" w:rsidRPr="008F16FC" w:rsidRDefault="008F16FC" w:rsidP="008F16FC">
            <w:pPr>
              <w:jc w:val="right"/>
              <w:rPr>
                <w:color w:val="000000"/>
                <w:sz w:val="20"/>
                <w:szCs w:val="20"/>
              </w:rPr>
            </w:pPr>
            <w:r w:rsidRPr="008F16FC">
              <w:rPr>
                <w:color w:val="000000"/>
                <w:sz w:val="20"/>
                <w:szCs w:val="20"/>
              </w:rPr>
              <w:t>17.926</w:t>
            </w:r>
          </w:p>
        </w:tc>
      </w:tr>
      <w:tr w:rsidR="008F16FC" w:rsidRPr="008F16FC" w14:paraId="15ECCB6C" w14:textId="77777777" w:rsidTr="008F16FC">
        <w:trPr>
          <w:trHeight w:val="255"/>
        </w:trPr>
        <w:tc>
          <w:tcPr>
            <w:tcW w:w="3708" w:type="dxa"/>
            <w:tcBorders>
              <w:top w:val="nil"/>
              <w:left w:val="nil"/>
              <w:bottom w:val="nil"/>
              <w:right w:val="nil"/>
            </w:tcBorders>
            <w:shd w:val="clear" w:color="auto" w:fill="auto"/>
            <w:noWrap/>
            <w:vAlign w:val="bottom"/>
            <w:hideMark/>
          </w:tcPr>
          <w:p w14:paraId="5DF8376C" w14:textId="77777777" w:rsidR="008F16FC" w:rsidRPr="008F16FC" w:rsidRDefault="008F16FC" w:rsidP="008F16FC">
            <w:pPr>
              <w:rPr>
                <w:color w:val="000000"/>
                <w:sz w:val="20"/>
                <w:szCs w:val="20"/>
              </w:rPr>
            </w:pPr>
          </w:p>
        </w:tc>
        <w:tc>
          <w:tcPr>
            <w:tcW w:w="1556" w:type="dxa"/>
            <w:tcBorders>
              <w:top w:val="nil"/>
              <w:left w:val="nil"/>
              <w:bottom w:val="nil"/>
              <w:right w:val="nil"/>
            </w:tcBorders>
            <w:shd w:val="clear" w:color="auto" w:fill="auto"/>
            <w:noWrap/>
            <w:vAlign w:val="bottom"/>
          </w:tcPr>
          <w:p w14:paraId="16730BDE" w14:textId="77777777" w:rsidR="008F16FC" w:rsidRPr="008F16FC" w:rsidRDefault="008F16FC" w:rsidP="008F16FC">
            <w:pPr>
              <w:rPr>
                <w:color w:val="000000"/>
                <w:sz w:val="20"/>
                <w:szCs w:val="20"/>
              </w:rPr>
            </w:pPr>
          </w:p>
        </w:tc>
        <w:tc>
          <w:tcPr>
            <w:tcW w:w="1556" w:type="dxa"/>
            <w:tcBorders>
              <w:top w:val="nil"/>
              <w:left w:val="nil"/>
              <w:bottom w:val="nil"/>
              <w:right w:val="nil"/>
            </w:tcBorders>
            <w:shd w:val="clear" w:color="auto" w:fill="auto"/>
            <w:noWrap/>
            <w:vAlign w:val="bottom"/>
          </w:tcPr>
          <w:p w14:paraId="569B1120" w14:textId="77777777" w:rsidR="008F16FC" w:rsidRPr="008F16FC" w:rsidRDefault="008F16FC" w:rsidP="008F16FC">
            <w:pPr>
              <w:rPr>
                <w:color w:val="000000"/>
                <w:sz w:val="20"/>
                <w:szCs w:val="20"/>
              </w:rPr>
            </w:pPr>
          </w:p>
        </w:tc>
      </w:tr>
      <w:tr w:rsidR="008F16FC" w:rsidRPr="008F16FC" w14:paraId="12AAEE2B" w14:textId="77777777" w:rsidTr="008F16FC">
        <w:trPr>
          <w:trHeight w:val="255"/>
        </w:trPr>
        <w:tc>
          <w:tcPr>
            <w:tcW w:w="3708" w:type="dxa"/>
            <w:tcBorders>
              <w:top w:val="nil"/>
              <w:left w:val="nil"/>
              <w:bottom w:val="nil"/>
              <w:right w:val="nil"/>
            </w:tcBorders>
            <w:shd w:val="clear" w:color="000000" w:fill="A6A6A6"/>
            <w:noWrap/>
            <w:vAlign w:val="bottom"/>
            <w:hideMark/>
          </w:tcPr>
          <w:p w14:paraId="3844BD0F" w14:textId="77777777" w:rsidR="008F16FC" w:rsidRPr="008F16FC" w:rsidRDefault="008F16FC" w:rsidP="008F16FC">
            <w:pPr>
              <w:rPr>
                <w:b/>
                <w:bCs/>
                <w:color w:val="000000"/>
                <w:sz w:val="20"/>
                <w:szCs w:val="20"/>
                <w:u w:val="single"/>
              </w:rPr>
            </w:pPr>
            <w:r w:rsidRPr="008F16FC">
              <w:rPr>
                <w:b/>
                <w:bCs/>
                <w:color w:val="000000"/>
                <w:sz w:val="20"/>
                <w:szCs w:val="20"/>
                <w:u w:val="single"/>
              </w:rPr>
              <w:t>TOTAL PATRIMONIO NETO</w:t>
            </w:r>
          </w:p>
        </w:tc>
        <w:tc>
          <w:tcPr>
            <w:tcW w:w="1556" w:type="dxa"/>
            <w:tcBorders>
              <w:top w:val="nil"/>
              <w:left w:val="nil"/>
              <w:bottom w:val="nil"/>
              <w:right w:val="nil"/>
            </w:tcBorders>
            <w:shd w:val="clear" w:color="000000" w:fill="A6A6A6"/>
            <w:noWrap/>
            <w:vAlign w:val="bottom"/>
          </w:tcPr>
          <w:p w14:paraId="4015C596" w14:textId="77777777" w:rsidR="008F16FC" w:rsidRPr="008F16FC" w:rsidRDefault="008F16FC" w:rsidP="008F16FC">
            <w:pPr>
              <w:jc w:val="right"/>
              <w:rPr>
                <w:b/>
                <w:bCs/>
                <w:color w:val="000000"/>
                <w:sz w:val="20"/>
                <w:szCs w:val="20"/>
                <w:u w:val="single"/>
              </w:rPr>
            </w:pPr>
            <w:r w:rsidRPr="008F16FC">
              <w:rPr>
                <w:b/>
                <w:bCs/>
                <w:color w:val="000000"/>
                <w:sz w:val="20"/>
                <w:szCs w:val="20"/>
                <w:u w:val="single"/>
              </w:rPr>
              <w:t>3.209.885</w:t>
            </w:r>
          </w:p>
        </w:tc>
        <w:tc>
          <w:tcPr>
            <w:tcW w:w="1556" w:type="dxa"/>
            <w:tcBorders>
              <w:top w:val="nil"/>
              <w:left w:val="nil"/>
              <w:bottom w:val="nil"/>
              <w:right w:val="nil"/>
            </w:tcBorders>
            <w:shd w:val="clear" w:color="000000" w:fill="A6A6A6"/>
            <w:noWrap/>
            <w:vAlign w:val="bottom"/>
          </w:tcPr>
          <w:p w14:paraId="1E49DCDE" w14:textId="77777777" w:rsidR="008F16FC" w:rsidRPr="008F16FC" w:rsidRDefault="008F16FC" w:rsidP="008F16FC">
            <w:pPr>
              <w:jc w:val="right"/>
              <w:rPr>
                <w:b/>
                <w:bCs/>
                <w:color w:val="000000"/>
                <w:sz w:val="20"/>
                <w:szCs w:val="20"/>
                <w:u w:val="single"/>
                <w:lang w:val="es-AR"/>
              </w:rPr>
            </w:pPr>
            <w:r w:rsidRPr="008F16FC">
              <w:rPr>
                <w:b/>
                <w:bCs/>
                <w:color w:val="000000"/>
                <w:sz w:val="20"/>
                <w:szCs w:val="20"/>
                <w:u w:val="single"/>
                <w:lang w:val="es-AR"/>
              </w:rPr>
              <w:t>2.829.057</w:t>
            </w:r>
          </w:p>
        </w:tc>
      </w:tr>
    </w:tbl>
    <w:p w14:paraId="427F9FF8" w14:textId="77777777" w:rsidR="008F16FC" w:rsidRPr="008F16FC" w:rsidRDefault="008F16FC" w:rsidP="008F16FC">
      <w:pPr>
        <w:widowControl w:val="0"/>
        <w:jc w:val="both"/>
        <w:rPr>
          <w:rFonts w:eastAsia="Calibri"/>
          <w:sz w:val="20"/>
          <w:szCs w:val="20"/>
          <w:lang w:val="es-MX"/>
        </w:rPr>
      </w:pPr>
    </w:p>
    <w:p w14:paraId="2BD22845" w14:textId="77777777" w:rsidR="008F16FC" w:rsidRPr="008F16FC" w:rsidRDefault="008F16FC" w:rsidP="008F16FC">
      <w:pPr>
        <w:rPr>
          <w:rFonts w:eastAsia="Calibri"/>
          <w:b/>
          <w:bCs/>
          <w:i/>
          <w:iCs/>
          <w:sz w:val="20"/>
          <w:szCs w:val="20"/>
          <w:lang w:val="es-MX"/>
        </w:rPr>
      </w:pPr>
      <w:r w:rsidRPr="008F16FC">
        <w:rPr>
          <w:rFonts w:eastAsia="Calibri"/>
          <w:b/>
          <w:bCs/>
          <w:i/>
          <w:iCs/>
          <w:sz w:val="20"/>
          <w:szCs w:val="20"/>
          <w:lang w:val="es-MX"/>
        </w:rPr>
        <w:t>3. Estados de cambios en el patrimonio</w:t>
      </w:r>
    </w:p>
    <w:p w14:paraId="385FAC2B" w14:textId="77777777" w:rsidR="008F16FC" w:rsidRPr="008F16FC" w:rsidRDefault="008F16FC" w:rsidP="008F16FC">
      <w:pPr>
        <w:rPr>
          <w:rFonts w:eastAsia="Calibri"/>
          <w:b/>
          <w:bCs/>
          <w:sz w:val="20"/>
          <w:szCs w:val="20"/>
          <w:lang w:val="es-MX"/>
        </w:rPr>
      </w:pPr>
    </w:p>
    <w:p w14:paraId="495CC3F0" w14:textId="77777777" w:rsidR="008F16FC" w:rsidRPr="008F16FC" w:rsidRDefault="008F16FC" w:rsidP="008F16FC">
      <w:pPr>
        <w:widowControl w:val="0"/>
        <w:jc w:val="both"/>
        <w:rPr>
          <w:rFonts w:eastAsia="Calibri"/>
          <w:sz w:val="20"/>
          <w:szCs w:val="20"/>
          <w:lang w:val="es-MX"/>
        </w:rPr>
      </w:pPr>
      <w:r w:rsidRPr="008F16FC">
        <w:rPr>
          <w:rFonts w:eastAsia="Calibri"/>
          <w:sz w:val="20"/>
          <w:szCs w:val="20"/>
          <w:lang w:val="es-ES"/>
        </w:rPr>
        <w:t xml:space="preserve">A continuación, se detalla el Estado de Cambios en el Patrimonio de la Emisora al 30 de junio de 2019 presentado </w:t>
      </w:r>
      <w:r w:rsidRPr="008F16FC">
        <w:rPr>
          <w:rFonts w:eastAsia="Calibri"/>
          <w:sz w:val="20"/>
          <w:szCs w:val="20"/>
          <w:lang w:val="es-MX"/>
        </w:rPr>
        <w:t>en forma comparativa con el ejercicio económico anual finalizado el 30 de junio de 2018 (expresado en miles de Pesos).</w:t>
      </w:r>
    </w:p>
    <w:p w14:paraId="06D5B19F" w14:textId="77777777" w:rsidR="008F16FC" w:rsidRPr="008F16FC" w:rsidRDefault="008F16FC" w:rsidP="008F16FC">
      <w:pPr>
        <w:rPr>
          <w:rFonts w:eastAsia="Calibri"/>
          <w:b/>
          <w:bCs/>
          <w:sz w:val="20"/>
          <w:szCs w:val="20"/>
          <w:lang w:val="es-MX"/>
        </w:rPr>
      </w:pPr>
    </w:p>
    <w:tbl>
      <w:tblPr>
        <w:tblW w:w="8366" w:type="dxa"/>
        <w:tblInd w:w="55" w:type="dxa"/>
        <w:tblCellMar>
          <w:left w:w="70" w:type="dxa"/>
          <w:right w:w="70" w:type="dxa"/>
        </w:tblCellMar>
        <w:tblLook w:val="04A0" w:firstRow="1" w:lastRow="0" w:firstColumn="1" w:lastColumn="0" w:noHBand="0" w:noVBand="1"/>
      </w:tblPr>
      <w:tblGrid>
        <w:gridCol w:w="503"/>
        <w:gridCol w:w="503"/>
        <w:gridCol w:w="503"/>
        <w:gridCol w:w="3237"/>
        <w:gridCol w:w="2080"/>
        <w:gridCol w:w="1540"/>
      </w:tblGrid>
      <w:tr w:rsidR="008F16FC" w:rsidRPr="008F16FC" w14:paraId="02A79524" w14:textId="77777777" w:rsidTr="00BA304B">
        <w:trPr>
          <w:trHeight w:val="255"/>
        </w:trPr>
        <w:tc>
          <w:tcPr>
            <w:tcW w:w="503" w:type="dxa"/>
            <w:tcBorders>
              <w:top w:val="nil"/>
              <w:left w:val="nil"/>
              <w:bottom w:val="nil"/>
              <w:right w:val="nil"/>
            </w:tcBorders>
            <w:shd w:val="clear" w:color="auto" w:fill="auto"/>
            <w:noWrap/>
            <w:vAlign w:val="bottom"/>
            <w:hideMark/>
          </w:tcPr>
          <w:p w14:paraId="4F0BD5A9" w14:textId="77777777" w:rsidR="008F16FC" w:rsidRPr="008F16FC" w:rsidRDefault="008F16FC" w:rsidP="008F16FC">
            <w:pPr>
              <w:rPr>
                <w:color w:val="000000"/>
                <w:sz w:val="20"/>
                <w:szCs w:val="20"/>
                <w:lang w:val="es-ES"/>
              </w:rPr>
            </w:pPr>
          </w:p>
        </w:tc>
        <w:tc>
          <w:tcPr>
            <w:tcW w:w="503" w:type="dxa"/>
            <w:tcBorders>
              <w:top w:val="nil"/>
              <w:left w:val="nil"/>
              <w:bottom w:val="nil"/>
              <w:right w:val="nil"/>
            </w:tcBorders>
            <w:shd w:val="clear" w:color="auto" w:fill="auto"/>
            <w:noWrap/>
            <w:vAlign w:val="bottom"/>
            <w:hideMark/>
          </w:tcPr>
          <w:p w14:paraId="14109761" w14:textId="77777777" w:rsidR="008F16FC" w:rsidRPr="008F16FC" w:rsidRDefault="008F16FC" w:rsidP="008F16FC">
            <w:pPr>
              <w:rPr>
                <w:color w:val="000000"/>
                <w:sz w:val="20"/>
                <w:szCs w:val="20"/>
                <w:lang w:val="es-ES"/>
              </w:rPr>
            </w:pPr>
          </w:p>
        </w:tc>
        <w:tc>
          <w:tcPr>
            <w:tcW w:w="503" w:type="dxa"/>
            <w:tcBorders>
              <w:top w:val="nil"/>
              <w:left w:val="nil"/>
              <w:bottom w:val="nil"/>
              <w:right w:val="nil"/>
            </w:tcBorders>
            <w:shd w:val="clear" w:color="auto" w:fill="auto"/>
            <w:noWrap/>
            <w:vAlign w:val="bottom"/>
            <w:hideMark/>
          </w:tcPr>
          <w:p w14:paraId="5B8C15B1" w14:textId="77777777" w:rsidR="008F16FC" w:rsidRPr="008F16FC" w:rsidRDefault="008F16FC" w:rsidP="008F16FC">
            <w:pPr>
              <w:rPr>
                <w:color w:val="000000"/>
                <w:sz w:val="20"/>
                <w:szCs w:val="20"/>
                <w:lang w:val="es-ES"/>
              </w:rPr>
            </w:pPr>
          </w:p>
        </w:tc>
        <w:tc>
          <w:tcPr>
            <w:tcW w:w="3237" w:type="dxa"/>
            <w:tcBorders>
              <w:top w:val="nil"/>
              <w:left w:val="nil"/>
              <w:bottom w:val="nil"/>
              <w:right w:val="nil"/>
            </w:tcBorders>
            <w:shd w:val="clear" w:color="auto" w:fill="auto"/>
            <w:noWrap/>
            <w:vAlign w:val="bottom"/>
            <w:hideMark/>
          </w:tcPr>
          <w:p w14:paraId="2828FCA5" w14:textId="77777777" w:rsidR="008F16FC" w:rsidRPr="008F16FC" w:rsidRDefault="008F16FC" w:rsidP="008F16FC">
            <w:pPr>
              <w:rPr>
                <w:color w:val="000000"/>
                <w:sz w:val="20"/>
                <w:szCs w:val="20"/>
                <w:lang w:val="es-ES"/>
              </w:rPr>
            </w:pPr>
          </w:p>
        </w:tc>
        <w:tc>
          <w:tcPr>
            <w:tcW w:w="2080" w:type="dxa"/>
            <w:tcBorders>
              <w:top w:val="nil"/>
              <w:left w:val="nil"/>
              <w:bottom w:val="nil"/>
              <w:right w:val="nil"/>
            </w:tcBorders>
            <w:shd w:val="clear" w:color="auto" w:fill="auto"/>
            <w:noWrap/>
            <w:vAlign w:val="bottom"/>
            <w:hideMark/>
          </w:tcPr>
          <w:p w14:paraId="47711B82" w14:textId="77777777" w:rsidR="008F16FC" w:rsidRPr="008F16FC" w:rsidRDefault="008F16FC" w:rsidP="008F16FC">
            <w:pPr>
              <w:jc w:val="center"/>
              <w:rPr>
                <w:b/>
                <w:bCs/>
                <w:color w:val="000000"/>
                <w:sz w:val="20"/>
                <w:szCs w:val="20"/>
              </w:rPr>
            </w:pPr>
            <w:r w:rsidRPr="008F16FC">
              <w:rPr>
                <w:b/>
                <w:bCs/>
                <w:color w:val="000000"/>
                <w:sz w:val="20"/>
                <w:szCs w:val="20"/>
                <w:lang w:val="es-MX"/>
              </w:rPr>
              <w:t xml:space="preserve">             </w:t>
            </w:r>
            <w:r w:rsidRPr="008F16FC">
              <w:rPr>
                <w:b/>
                <w:bCs/>
                <w:color w:val="000000"/>
                <w:sz w:val="20"/>
                <w:szCs w:val="20"/>
              </w:rPr>
              <w:t>30/06/2019</w:t>
            </w:r>
          </w:p>
        </w:tc>
        <w:tc>
          <w:tcPr>
            <w:tcW w:w="1540" w:type="dxa"/>
            <w:tcBorders>
              <w:top w:val="nil"/>
              <w:left w:val="nil"/>
              <w:bottom w:val="nil"/>
              <w:right w:val="nil"/>
            </w:tcBorders>
            <w:shd w:val="clear" w:color="auto" w:fill="auto"/>
            <w:noWrap/>
            <w:vAlign w:val="bottom"/>
            <w:hideMark/>
          </w:tcPr>
          <w:p w14:paraId="593934B3" w14:textId="77777777" w:rsidR="008F16FC" w:rsidRPr="008F16FC" w:rsidRDefault="008F16FC" w:rsidP="008F16FC">
            <w:pPr>
              <w:jc w:val="center"/>
              <w:rPr>
                <w:b/>
                <w:bCs/>
                <w:color w:val="000000"/>
                <w:sz w:val="20"/>
                <w:szCs w:val="20"/>
              </w:rPr>
            </w:pPr>
            <w:r w:rsidRPr="008F16FC">
              <w:rPr>
                <w:b/>
                <w:bCs/>
                <w:color w:val="000000"/>
                <w:sz w:val="20"/>
                <w:szCs w:val="20"/>
              </w:rPr>
              <w:t xml:space="preserve">         30/06/2018</w:t>
            </w:r>
          </w:p>
        </w:tc>
      </w:tr>
      <w:tr w:rsidR="008F16FC" w:rsidRPr="008F16FC" w14:paraId="0E703225" w14:textId="77777777" w:rsidTr="00BA304B">
        <w:trPr>
          <w:trHeight w:val="255"/>
        </w:trPr>
        <w:tc>
          <w:tcPr>
            <w:tcW w:w="4746" w:type="dxa"/>
            <w:gridSpan w:val="4"/>
            <w:tcBorders>
              <w:top w:val="nil"/>
              <w:left w:val="nil"/>
              <w:bottom w:val="nil"/>
              <w:right w:val="nil"/>
            </w:tcBorders>
            <w:shd w:val="clear" w:color="auto" w:fill="auto"/>
            <w:noWrap/>
            <w:vAlign w:val="bottom"/>
            <w:hideMark/>
          </w:tcPr>
          <w:p w14:paraId="72113EF2" w14:textId="77777777" w:rsidR="008F16FC" w:rsidRPr="008F16FC" w:rsidRDefault="008F16FC" w:rsidP="008F16FC">
            <w:pPr>
              <w:rPr>
                <w:b/>
                <w:bCs/>
                <w:color w:val="000000"/>
                <w:sz w:val="20"/>
                <w:szCs w:val="20"/>
              </w:rPr>
            </w:pPr>
            <w:r w:rsidRPr="008F16FC">
              <w:rPr>
                <w:b/>
                <w:bCs/>
                <w:color w:val="000000"/>
                <w:sz w:val="20"/>
                <w:szCs w:val="20"/>
              </w:rPr>
              <w:t>Aporte de los propietarios</w:t>
            </w:r>
          </w:p>
        </w:tc>
        <w:tc>
          <w:tcPr>
            <w:tcW w:w="2080" w:type="dxa"/>
            <w:tcBorders>
              <w:top w:val="nil"/>
              <w:left w:val="nil"/>
              <w:bottom w:val="nil"/>
              <w:right w:val="nil"/>
            </w:tcBorders>
            <w:shd w:val="clear" w:color="auto" w:fill="auto"/>
            <w:noWrap/>
            <w:vAlign w:val="bottom"/>
            <w:hideMark/>
          </w:tcPr>
          <w:p w14:paraId="1AA8C4F4" w14:textId="77777777" w:rsidR="008F16FC" w:rsidRPr="008F16FC" w:rsidRDefault="008F16FC" w:rsidP="008F16FC">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57987292" w14:textId="77777777" w:rsidR="008F16FC" w:rsidRPr="008F16FC" w:rsidRDefault="008F16FC" w:rsidP="008F16FC">
            <w:pPr>
              <w:rPr>
                <w:color w:val="000000"/>
                <w:sz w:val="20"/>
                <w:szCs w:val="20"/>
              </w:rPr>
            </w:pPr>
          </w:p>
        </w:tc>
      </w:tr>
      <w:tr w:rsidR="008F16FC" w:rsidRPr="008F16FC" w14:paraId="60353BB5" w14:textId="77777777" w:rsidTr="00BA304B">
        <w:trPr>
          <w:trHeight w:val="255"/>
        </w:trPr>
        <w:tc>
          <w:tcPr>
            <w:tcW w:w="503" w:type="dxa"/>
            <w:tcBorders>
              <w:top w:val="nil"/>
              <w:left w:val="nil"/>
              <w:bottom w:val="nil"/>
              <w:right w:val="nil"/>
            </w:tcBorders>
            <w:shd w:val="clear" w:color="auto" w:fill="auto"/>
            <w:noWrap/>
            <w:vAlign w:val="bottom"/>
            <w:hideMark/>
          </w:tcPr>
          <w:p w14:paraId="01406686"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1EA9D52F" w14:textId="77777777" w:rsidR="008F16FC" w:rsidRPr="008F16FC" w:rsidRDefault="008F16FC" w:rsidP="008F16FC">
            <w:pPr>
              <w:rPr>
                <w:b/>
                <w:bCs/>
                <w:color w:val="000000"/>
                <w:sz w:val="20"/>
                <w:szCs w:val="20"/>
              </w:rPr>
            </w:pPr>
          </w:p>
        </w:tc>
        <w:tc>
          <w:tcPr>
            <w:tcW w:w="3740" w:type="dxa"/>
            <w:gridSpan w:val="2"/>
            <w:tcBorders>
              <w:top w:val="nil"/>
              <w:left w:val="nil"/>
              <w:bottom w:val="nil"/>
              <w:right w:val="nil"/>
            </w:tcBorders>
            <w:shd w:val="clear" w:color="auto" w:fill="auto"/>
            <w:noWrap/>
            <w:vAlign w:val="bottom"/>
            <w:hideMark/>
          </w:tcPr>
          <w:p w14:paraId="74642FE2" w14:textId="77777777" w:rsidR="008F16FC" w:rsidRPr="008F16FC" w:rsidRDefault="008F16FC" w:rsidP="008F16FC">
            <w:pPr>
              <w:rPr>
                <w:color w:val="000000"/>
                <w:sz w:val="20"/>
                <w:szCs w:val="20"/>
              </w:rPr>
            </w:pPr>
            <w:r w:rsidRPr="008F16FC">
              <w:rPr>
                <w:color w:val="000000"/>
                <w:sz w:val="20"/>
                <w:szCs w:val="20"/>
              </w:rPr>
              <w:t>Acciones</w:t>
            </w:r>
          </w:p>
        </w:tc>
        <w:tc>
          <w:tcPr>
            <w:tcW w:w="2080" w:type="dxa"/>
            <w:tcBorders>
              <w:top w:val="nil"/>
              <w:left w:val="nil"/>
              <w:bottom w:val="nil"/>
              <w:right w:val="nil"/>
            </w:tcBorders>
            <w:shd w:val="clear" w:color="auto" w:fill="auto"/>
            <w:noWrap/>
            <w:vAlign w:val="bottom"/>
            <w:hideMark/>
          </w:tcPr>
          <w:p w14:paraId="428DE534" w14:textId="77777777" w:rsidR="008F16FC" w:rsidRPr="008F16FC" w:rsidRDefault="008F16FC" w:rsidP="008F16FC">
            <w:pPr>
              <w:jc w:val="right"/>
              <w:rPr>
                <w:color w:val="000000"/>
                <w:sz w:val="20"/>
                <w:szCs w:val="20"/>
              </w:rPr>
            </w:pPr>
            <w:r w:rsidRPr="008F16FC">
              <w:rPr>
                <w:color w:val="000000"/>
                <w:sz w:val="20"/>
                <w:szCs w:val="20"/>
              </w:rPr>
              <w:t xml:space="preserve">350.000 </w:t>
            </w:r>
          </w:p>
        </w:tc>
        <w:tc>
          <w:tcPr>
            <w:tcW w:w="1540" w:type="dxa"/>
            <w:tcBorders>
              <w:top w:val="nil"/>
              <w:left w:val="nil"/>
              <w:bottom w:val="nil"/>
              <w:right w:val="nil"/>
            </w:tcBorders>
            <w:shd w:val="clear" w:color="auto" w:fill="auto"/>
            <w:noWrap/>
            <w:vAlign w:val="bottom"/>
            <w:hideMark/>
          </w:tcPr>
          <w:p w14:paraId="589ED3EE" w14:textId="77777777" w:rsidR="008F16FC" w:rsidRPr="008F16FC" w:rsidRDefault="008F16FC" w:rsidP="008F16FC">
            <w:pPr>
              <w:jc w:val="right"/>
              <w:rPr>
                <w:color w:val="000000"/>
                <w:sz w:val="20"/>
                <w:szCs w:val="20"/>
              </w:rPr>
            </w:pPr>
            <w:r w:rsidRPr="008F16FC">
              <w:rPr>
                <w:color w:val="000000"/>
                <w:sz w:val="20"/>
                <w:szCs w:val="20"/>
              </w:rPr>
              <w:t xml:space="preserve">350.000 </w:t>
            </w:r>
          </w:p>
        </w:tc>
      </w:tr>
      <w:tr w:rsidR="008F16FC" w:rsidRPr="008F16FC" w14:paraId="58926BE1" w14:textId="77777777" w:rsidTr="00BA304B">
        <w:trPr>
          <w:trHeight w:val="255"/>
        </w:trPr>
        <w:tc>
          <w:tcPr>
            <w:tcW w:w="503" w:type="dxa"/>
            <w:tcBorders>
              <w:top w:val="nil"/>
              <w:left w:val="nil"/>
              <w:bottom w:val="nil"/>
              <w:right w:val="nil"/>
            </w:tcBorders>
            <w:shd w:val="clear" w:color="auto" w:fill="auto"/>
            <w:noWrap/>
            <w:vAlign w:val="bottom"/>
            <w:hideMark/>
          </w:tcPr>
          <w:p w14:paraId="75407E52"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463AFB63"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5FCAD882" w14:textId="77777777" w:rsidR="008F16FC" w:rsidRPr="008F16FC" w:rsidRDefault="008F16FC" w:rsidP="008F16FC">
            <w:pPr>
              <w:rPr>
                <w:color w:val="000000"/>
                <w:sz w:val="20"/>
                <w:szCs w:val="20"/>
              </w:rPr>
            </w:pPr>
          </w:p>
        </w:tc>
        <w:tc>
          <w:tcPr>
            <w:tcW w:w="3237" w:type="dxa"/>
            <w:tcBorders>
              <w:top w:val="nil"/>
              <w:left w:val="nil"/>
              <w:bottom w:val="nil"/>
              <w:right w:val="nil"/>
            </w:tcBorders>
            <w:shd w:val="clear" w:color="auto" w:fill="auto"/>
            <w:noWrap/>
            <w:vAlign w:val="bottom"/>
            <w:hideMark/>
          </w:tcPr>
          <w:p w14:paraId="03E0E160" w14:textId="77777777" w:rsidR="008F16FC" w:rsidRPr="008F16FC" w:rsidRDefault="008F16FC" w:rsidP="008F16FC">
            <w:pPr>
              <w:rPr>
                <w:color w:val="000000"/>
                <w:sz w:val="20"/>
                <w:szCs w:val="20"/>
              </w:rPr>
            </w:pPr>
          </w:p>
        </w:tc>
        <w:tc>
          <w:tcPr>
            <w:tcW w:w="2080" w:type="dxa"/>
            <w:tcBorders>
              <w:top w:val="nil"/>
              <w:left w:val="nil"/>
              <w:bottom w:val="nil"/>
              <w:right w:val="nil"/>
            </w:tcBorders>
            <w:shd w:val="clear" w:color="auto" w:fill="auto"/>
            <w:noWrap/>
            <w:vAlign w:val="bottom"/>
            <w:hideMark/>
          </w:tcPr>
          <w:p w14:paraId="6532D3CC" w14:textId="77777777" w:rsidR="008F16FC" w:rsidRPr="008F16FC" w:rsidRDefault="008F16FC" w:rsidP="008F16FC">
            <w:pPr>
              <w:rPr>
                <w:color w:val="000000"/>
                <w:sz w:val="20"/>
                <w:szCs w:val="20"/>
              </w:rPr>
            </w:pPr>
          </w:p>
        </w:tc>
        <w:tc>
          <w:tcPr>
            <w:tcW w:w="1540" w:type="dxa"/>
            <w:tcBorders>
              <w:top w:val="nil"/>
              <w:left w:val="nil"/>
              <w:bottom w:val="nil"/>
              <w:right w:val="nil"/>
            </w:tcBorders>
            <w:shd w:val="clear" w:color="auto" w:fill="auto"/>
            <w:noWrap/>
            <w:vAlign w:val="bottom"/>
            <w:hideMark/>
          </w:tcPr>
          <w:p w14:paraId="69F43497" w14:textId="77777777" w:rsidR="008F16FC" w:rsidRPr="008F16FC" w:rsidRDefault="008F16FC" w:rsidP="008F16FC">
            <w:pPr>
              <w:rPr>
                <w:color w:val="000000"/>
                <w:sz w:val="20"/>
                <w:szCs w:val="20"/>
              </w:rPr>
            </w:pPr>
          </w:p>
        </w:tc>
      </w:tr>
      <w:tr w:rsidR="008F16FC" w:rsidRPr="008F16FC" w14:paraId="41C14CF6" w14:textId="77777777" w:rsidTr="00BA304B">
        <w:trPr>
          <w:trHeight w:val="255"/>
        </w:trPr>
        <w:tc>
          <w:tcPr>
            <w:tcW w:w="4746" w:type="dxa"/>
            <w:gridSpan w:val="4"/>
            <w:tcBorders>
              <w:top w:val="nil"/>
              <w:left w:val="nil"/>
              <w:bottom w:val="nil"/>
              <w:right w:val="nil"/>
            </w:tcBorders>
            <w:shd w:val="clear" w:color="auto" w:fill="auto"/>
            <w:noWrap/>
            <w:vAlign w:val="bottom"/>
            <w:hideMark/>
          </w:tcPr>
          <w:p w14:paraId="04418D94" w14:textId="77777777" w:rsidR="008F16FC" w:rsidRPr="008F16FC" w:rsidRDefault="008F16FC" w:rsidP="008F16FC">
            <w:pPr>
              <w:rPr>
                <w:b/>
                <w:bCs/>
                <w:color w:val="000000"/>
                <w:sz w:val="20"/>
                <w:szCs w:val="20"/>
              </w:rPr>
            </w:pPr>
            <w:r w:rsidRPr="008F16FC">
              <w:rPr>
                <w:b/>
                <w:bCs/>
                <w:color w:val="000000"/>
                <w:sz w:val="20"/>
                <w:szCs w:val="20"/>
              </w:rPr>
              <w:t>Ajuste del capital</w:t>
            </w:r>
          </w:p>
        </w:tc>
        <w:tc>
          <w:tcPr>
            <w:tcW w:w="2080" w:type="dxa"/>
            <w:tcBorders>
              <w:top w:val="nil"/>
              <w:left w:val="nil"/>
              <w:bottom w:val="nil"/>
              <w:right w:val="nil"/>
            </w:tcBorders>
            <w:shd w:val="clear" w:color="auto" w:fill="auto"/>
            <w:noWrap/>
            <w:vAlign w:val="bottom"/>
            <w:hideMark/>
          </w:tcPr>
          <w:p w14:paraId="61E11D63" w14:textId="77777777" w:rsidR="008F16FC" w:rsidRPr="008F16FC" w:rsidRDefault="008F16FC" w:rsidP="008F16FC">
            <w:pPr>
              <w:jc w:val="right"/>
              <w:rPr>
                <w:color w:val="000000"/>
                <w:sz w:val="20"/>
                <w:szCs w:val="20"/>
              </w:rPr>
            </w:pPr>
            <w:r w:rsidRPr="008F16FC">
              <w:rPr>
                <w:color w:val="000000"/>
                <w:sz w:val="20"/>
                <w:szCs w:val="20"/>
              </w:rPr>
              <w:t xml:space="preserve">861.855 </w:t>
            </w:r>
          </w:p>
        </w:tc>
        <w:tc>
          <w:tcPr>
            <w:tcW w:w="1540" w:type="dxa"/>
            <w:tcBorders>
              <w:top w:val="nil"/>
              <w:left w:val="nil"/>
              <w:bottom w:val="nil"/>
              <w:right w:val="nil"/>
            </w:tcBorders>
            <w:shd w:val="clear" w:color="auto" w:fill="auto"/>
            <w:noWrap/>
            <w:vAlign w:val="bottom"/>
            <w:hideMark/>
          </w:tcPr>
          <w:p w14:paraId="143148C4" w14:textId="77777777" w:rsidR="008F16FC" w:rsidRPr="008F16FC" w:rsidRDefault="008F16FC" w:rsidP="008F16FC">
            <w:pPr>
              <w:jc w:val="right"/>
              <w:rPr>
                <w:color w:val="000000"/>
                <w:sz w:val="20"/>
                <w:szCs w:val="20"/>
              </w:rPr>
            </w:pPr>
            <w:r w:rsidRPr="008F16FC">
              <w:rPr>
                <w:color w:val="000000"/>
                <w:sz w:val="20"/>
                <w:szCs w:val="20"/>
              </w:rPr>
              <w:t xml:space="preserve">861.855 </w:t>
            </w:r>
          </w:p>
        </w:tc>
      </w:tr>
      <w:tr w:rsidR="008F16FC" w:rsidRPr="008F16FC" w14:paraId="1FD680EB" w14:textId="77777777" w:rsidTr="00BA304B">
        <w:trPr>
          <w:trHeight w:val="255"/>
        </w:trPr>
        <w:tc>
          <w:tcPr>
            <w:tcW w:w="503" w:type="dxa"/>
            <w:tcBorders>
              <w:top w:val="nil"/>
              <w:left w:val="nil"/>
              <w:bottom w:val="nil"/>
              <w:right w:val="nil"/>
            </w:tcBorders>
            <w:shd w:val="clear" w:color="auto" w:fill="auto"/>
            <w:noWrap/>
            <w:vAlign w:val="bottom"/>
            <w:hideMark/>
          </w:tcPr>
          <w:p w14:paraId="2FB25754"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67CD02D0"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3EF1C279" w14:textId="77777777" w:rsidR="008F16FC" w:rsidRPr="008F16FC" w:rsidRDefault="008F16FC" w:rsidP="008F16FC">
            <w:pPr>
              <w:rPr>
                <w:color w:val="000000"/>
                <w:sz w:val="20"/>
                <w:szCs w:val="20"/>
              </w:rPr>
            </w:pPr>
          </w:p>
        </w:tc>
        <w:tc>
          <w:tcPr>
            <w:tcW w:w="3237" w:type="dxa"/>
            <w:tcBorders>
              <w:top w:val="nil"/>
              <w:left w:val="nil"/>
              <w:bottom w:val="nil"/>
              <w:right w:val="nil"/>
            </w:tcBorders>
            <w:shd w:val="clear" w:color="auto" w:fill="auto"/>
            <w:noWrap/>
            <w:vAlign w:val="bottom"/>
            <w:hideMark/>
          </w:tcPr>
          <w:p w14:paraId="5BBE7EC9" w14:textId="77777777" w:rsidR="008F16FC" w:rsidRPr="008F16FC" w:rsidRDefault="008F16FC" w:rsidP="008F16FC">
            <w:pPr>
              <w:rPr>
                <w:color w:val="000000"/>
                <w:sz w:val="20"/>
                <w:szCs w:val="20"/>
              </w:rPr>
            </w:pPr>
          </w:p>
        </w:tc>
        <w:tc>
          <w:tcPr>
            <w:tcW w:w="2080" w:type="dxa"/>
            <w:tcBorders>
              <w:top w:val="nil"/>
              <w:left w:val="nil"/>
              <w:bottom w:val="nil"/>
              <w:right w:val="nil"/>
            </w:tcBorders>
            <w:shd w:val="clear" w:color="auto" w:fill="auto"/>
            <w:noWrap/>
            <w:vAlign w:val="bottom"/>
            <w:hideMark/>
          </w:tcPr>
          <w:p w14:paraId="3612D543" w14:textId="77777777" w:rsidR="008F16FC" w:rsidRPr="008F16FC" w:rsidRDefault="008F16FC" w:rsidP="008F16FC">
            <w:pPr>
              <w:rPr>
                <w:color w:val="000000"/>
                <w:sz w:val="20"/>
                <w:szCs w:val="20"/>
              </w:rPr>
            </w:pPr>
          </w:p>
        </w:tc>
        <w:tc>
          <w:tcPr>
            <w:tcW w:w="1540" w:type="dxa"/>
            <w:tcBorders>
              <w:top w:val="nil"/>
              <w:left w:val="nil"/>
              <w:bottom w:val="nil"/>
              <w:right w:val="nil"/>
            </w:tcBorders>
            <w:shd w:val="clear" w:color="auto" w:fill="auto"/>
            <w:noWrap/>
            <w:vAlign w:val="bottom"/>
            <w:hideMark/>
          </w:tcPr>
          <w:p w14:paraId="0B8C48EE" w14:textId="77777777" w:rsidR="008F16FC" w:rsidRPr="008F16FC" w:rsidRDefault="008F16FC" w:rsidP="008F16FC">
            <w:pPr>
              <w:rPr>
                <w:color w:val="000000"/>
                <w:sz w:val="20"/>
                <w:szCs w:val="20"/>
              </w:rPr>
            </w:pPr>
          </w:p>
        </w:tc>
      </w:tr>
      <w:tr w:rsidR="008F16FC" w:rsidRPr="00512442" w14:paraId="6842F0EA" w14:textId="77777777" w:rsidTr="00BA304B">
        <w:trPr>
          <w:trHeight w:val="255"/>
        </w:trPr>
        <w:tc>
          <w:tcPr>
            <w:tcW w:w="4746" w:type="dxa"/>
            <w:gridSpan w:val="4"/>
            <w:tcBorders>
              <w:top w:val="nil"/>
              <w:left w:val="nil"/>
              <w:bottom w:val="nil"/>
              <w:right w:val="nil"/>
            </w:tcBorders>
            <w:shd w:val="clear" w:color="auto" w:fill="auto"/>
            <w:noWrap/>
            <w:vAlign w:val="bottom"/>
            <w:hideMark/>
          </w:tcPr>
          <w:p w14:paraId="031C8287" w14:textId="77777777" w:rsidR="008F16FC" w:rsidRPr="008F16FC" w:rsidRDefault="008F16FC" w:rsidP="008F16FC">
            <w:pPr>
              <w:rPr>
                <w:b/>
                <w:bCs/>
                <w:color w:val="000000"/>
                <w:sz w:val="20"/>
                <w:szCs w:val="20"/>
                <w:lang w:val="es-ES"/>
              </w:rPr>
            </w:pPr>
            <w:r w:rsidRPr="008F16FC">
              <w:rPr>
                <w:b/>
                <w:bCs/>
                <w:color w:val="000000"/>
                <w:sz w:val="20"/>
                <w:szCs w:val="20"/>
                <w:lang w:val="es-ES"/>
              </w:rPr>
              <w:t>Total atribuible a los accionistas de la sociedad</w:t>
            </w:r>
          </w:p>
        </w:tc>
        <w:tc>
          <w:tcPr>
            <w:tcW w:w="2080" w:type="dxa"/>
            <w:tcBorders>
              <w:top w:val="nil"/>
              <w:left w:val="nil"/>
              <w:bottom w:val="nil"/>
              <w:right w:val="nil"/>
            </w:tcBorders>
            <w:shd w:val="clear" w:color="auto" w:fill="auto"/>
            <w:noWrap/>
            <w:vAlign w:val="bottom"/>
            <w:hideMark/>
          </w:tcPr>
          <w:p w14:paraId="77C82FA2" w14:textId="77777777" w:rsidR="008F16FC" w:rsidRPr="008F16FC" w:rsidRDefault="008F16FC" w:rsidP="008F16FC">
            <w:pPr>
              <w:rPr>
                <w:b/>
                <w:bCs/>
                <w:color w:val="000000"/>
                <w:sz w:val="20"/>
                <w:szCs w:val="20"/>
                <w:lang w:val="es-ES"/>
              </w:rPr>
            </w:pPr>
          </w:p>
        </w:tc>
        <w:tc>
          <w:tcPr>
            <w:tcW w:w="1540" w:type="dxa"/>
            <w:tcBorders>
              <w:top w:val="nil"/>
              <w:left w:val="nil"/>
              <w:bottom w:val="nil"/>
              <w:right w:val="nil"/>
            </w:tcBorders>
            <w:shd w:val="clear" w:color="auto" w:fill="auto"/>
            <w:noWrap/>
            <w:vAlign w:val="bottom"/>
            <w:hideMark/>
          </w:tcPr>
          <w:p w14:paraId="55D85BB4" w14:textId="77777777" w:rsidR="008F16FC" w:rsidRPr="008F16FC" w:rsidRDefault="008F16FC" w:rsidP="008F16FC">
            <w:pPr>
              <w:rPr>
                <w:color w:val="000000"/>
                <w:sz w:val="20"/>
                <w:szCs w:val="20"/>
                <w:lang w:val="es-ES"/>
              </w:rPr>
            </w:pPr>
          </w:p>
        </w:tc>
      </w:tr>
      <w:tr w:rsidR="008F16FC" w:rsidRPr="008F16FC" w14:paraId="1D193D0D" w14:textId="77777777" w:rsidTr="00BA304B">
        <w:trPr>
          <w:trHeight w:val="255"/>
        </w:trPr>
        <w:tc>
          <w:tcPr>
            <w:tcW w:w="503" w:type="dxa"/>
            <w:tcBorders>
              <w:top w:val="nil"/>
              <w:left w:val="nil"/>
              <w:bottom w:val="nil"/>
              <w:right w:val="nil"/>
            </w:tcBorders>
            <w:shd w:val="clear" w:color="auto" w:fill="auto"/>
            <w:noWrap/>
            <w:vAlign w:val="bottom"/>
            <w:hideMark/>
          </w:tcPr>
          <w:p w14:paraId="6B2129C1" w14:textId="77777777" w:rsidR="008F16FC" w:rsidRPr="008F16FC" w:rsidRDefault="008F16FC" w:rsidP="008F16FC">
            <w:pPr>
              <w:rPr>
                <w:b/>
                <w:bCs/>
                <w:color w:val="000000"/>
                <w:sz w:val="20"/>
                <w:szCs w:val="20"/>
                <w:lang w:val="es-ES"/>
              </w:rPr>
            </w:pPr>
          </w:p>
        </w:tc>
        <w:tc>
          <w:tcPr>
            <w:tcW w:w="4243" w:type="dxa"/>
            <w:gridSpan w:val="3"/>
            <w:tcBorders>
              <w:top w:val="nil"/>
              <w:left w:val="nil"/>
              <w:bottom w:val="nil"/>
              <w:right w:val="nil"/>
            </w:tcBorders>
            <w:shd w:val="clear" w:color="auto" w:fill="auto"/>
            <w:noWrap/>
            <w:vAlign w:val="bottom"/>
            <w:hideMark/>
          </w:tcPr>
          <w:p w14:paraId="724BCEC4" w14:textId="77777777" w:rsidR="008F16FC" w:rsidRPr="008F16FC" w:rsidRDefault="008F16FC" w:rsidP="008F16FC">
            <w:pPr>
              <w:rPr>
                <w:b/>
                <w:bCs/>
                <w:color w:val="000000"/>
                <w:sz w:val="20"/>
                <w:szCs w:val="20"/>
              </w:rPr>
            </w:pPr>
            <w:r w:rsidRPr="008F16FC">
              <w:rPr>
                <w:b/>
                <w:bCs/>
                <w:color w:val="000000"/>
                <w:sz w:val="20"/>
                <w:szCs w:val="20"/>
              </w:rPr>
              <w:t>Resultado integral total acumulado</w:t>
            </w:r>
          </w:p>
        </w:tc>
        <w:tc>
          <w:tcPr>
            <w:tcW w:w="2080" w:type="dxa"/>
            <w:tcBorders>
              <w:top w:val="nil"/>
              <w:left w:val="nil"/>
              <w:bottom w:val="nil"/>
              <w:right w:val="nil"/>
            </w:tcBorders>
            <w:shd w:val="clear" w:color="auto" w:fill="auto"/>
            <w:noWrap/>
            <w:vAlign w:val="bottom"/>
            <w:hideMark/>
          </w:tcPr>
          <w:p w14:paraId="61482691" w14:textId="77777777" w:rsidR="008F16FC" w:rsidRPr="008F16FC" w:rsidRDefault="008F16FC" w:rsidP="008F16FC">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27FC8223" w14:textId="77777777" w:rsidR="008F16FC" w:rsidRPr="008F16FC" w:rsidRDefault="008F16FC" w:rsidP="008F16FC">
            <w:pPr>
              <w:rPr>
                <w:color w:val="000000"/>
                <w:sz w:val="20"/>
                <w:szCs w:val="20"/>
              </w:rPr>
            </w:pPr>
          </w:p>
        </w:tc>
      </w:tr>
      <w:tr w:rsidR="008F16FC" w:rsidRPr="008F16FC" w14:paraId="2C7AAC31" w14:textId="77777777" w:rsidTr="00BA304B">
        <w:trPr>
          <w:trHeight w:val="255"/>
        </w:trPr>
        <w:tc>
          <w:tcPr>
            <w:tcW w:w="503" w:type="dxa"/>
            <w:tcBorders>
              <w:top w:val="nil"/>
              <w:left w:val="nil"/>
              <w:bottom w:val="nil"/>
              <w:right w:val="nil"/>
            </w:tcBorders>
            <w:shd w:val="clear" w:color="auto" w:fill="auto"/>
            <w:noWrap/>
            <w:vAlign w:val="bottom"/>
            <w:hideMark/>
          </w:tcPr>
          <w:p w14:paraId="6C47E85F"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1DAA7DC0" w14:textId="77777777" w:rsidR="008F16FC" w:rsidRPr="008F16FC" w:rsidRDefault="008F16FC" w:rsidP="008F16FC">
            <w:pPr>
              <w:rPr>
                <w:b/>
                <w:bCs/>
                <w:color w:val="000000"/>
                <w:sz w:val="20"/>
                <w:szCs w:val="20"/>
              </w:rPr>
            </w:pPr>
          </w:p>
        </w:tc>
        <w:tc>
          <w:tcPr>
            <w:tcW w:w="3740" w:type="dxa"/>
            <w:gridSpan w:val="2"/>
            <w:tcBorders>
              <w:top w:val="nil"/>
              <w:left w:val="nil"/>
              <w:bottom w:val="nil"/>
              <w:right w:val="nil"/>
            </w:tcBorders>
            <w:shd w:val="clear" w:color="auto" w:fill="auto"/>
            <w:noWrap/>
            <w:vAlign w:val="bottom"/>
            <w:hideMark/>
          </w:tcPr>
          <w:p w14:paraId="30A6DE55" w14:textId="77777777" w:rsidR="008F16FC" w:rsidRPr="008F16FC" w:rsidRDefault="008F16FC" w:rsidP="008F16FC">
            <w:pPr>
              <w:rPr>
                <w:color w:val="000000"/>
                <w:sz w:val="20"/>
                <w:szCs w:val="20"/>
                <w:lang w:val="es-ES"/>
              </w:rPr>
            </w:pPr>
            <w:r w:rsidRPr="008F16FC">
              <w:rPr>
                <w:color w:val="000000"/>
                <w:sz w:val="20"/>
                <w:szCs w:val="20"/>
                <w:lang w:val="es-ES"/>
              </w:rPr>
              <w:t>Saldo por diferencias de conversión</w:t>
            </w:r>
          </w:p>
        </w:tc>
        <w:tc>
          <w:tcPr>
            <w:tcW w:w="2080" w:type="dxa"/>
            <w:tcBorders>
              <w:top w:val="nil"/>
              <w:left w:val="nil"/>
              <w:bottom w:val="nil"/>
              <w:right w:val="nil"/>
            </w:tcBorders>
            <w:shd w:val="clear" w:color="auto" w:fill="auto"/>
            <w:noWrap/>
            <w:vAlign w:val="bottom"/>
            <w:hideMark/>
          </w:tcPr>
          <w:p w14:paraId="0CAC2378" w14:textId="77777777" w:rsidR="008F16FC" w:rsidRPr="008F16FC" w:rsidRDefault="008F16FC" w:rsidP="008F16FC">
            <w:pPr>
              <w:jc w:val="right"/>
              <w:rPr>
                <w:color w:val="000000"/>
                <w:sz w:val="20"/>
                <w:szCs w:val="20"/>
              </w:rPr>
            </w:pPr>
            <w:r w:rsidRPr="00BA304B">
              <w:rPr>
                <w:color w:val="000000"/>
                <w:sz w:val="20"/>
              </w:rPr>
              <w:t xml:space="preserve">-51.262 </w:t>
            </w:r>
          </w:p>
        </w:tc>
        <w:tc>
          <w:tcPr>
            <w:tcW w:w="1540" w:type="dxa"/>
            <w:tcBorders>
              <w:top w:val="nil"/>
              <w:left w:val="nil"/>
              <w:bottom w:val="nil"/>
              <w:right w:val="nil"/>
            </w:tcBorders>
            <w:shd w:val="clear" w:color="auto" w:fill="auto"/>
            <w:noWrap/>
            <w:vAlign w:val="bottom"/>
            <w:hideMark/>
          </w:tcPr>
          <w:p w14:paraId="42D97C19" w14:textId="77777777" w:rsidR="008F16FC" w:rsidRPr="008F16FC" w:rsidRDefault="008F16FC" w:rsidP="008F16FC">
            <w:pPr>
              <w:jc w:val="right"/>
              <w:rPr>
                <w:color w:val="000000"/>
                <w:sz w:val="20"/>
                <w:szCs w:val="20"/>
              </w:rPr>
            </w:pPr>
            <w:r w:rsidRPr="008F16FC">
              <w:rPr>
                <w:color w:val="000000"/>
                <w:sz w:val="20"/>
                <w:szCs w:val="20"/>
              </w:rPr>
              <w:t xml:space="preserve">1.080 </w:t>
            </w:r>
          </w:p>
        </w:tc>
      </w:tr>
      <w:tr w:rsidR="008F16FC" w:rsidRPr="008F16FC" w14:paraId="11DE52C2" w14:textId="77777777" w:rsidTr="00BA304B">
        <w:trPr>
          <w:trHeight w:val="255"/>
        </w:trPr>
        <w:tc>
          <w:tcPr>
            <w:tcW w:w="503" w:type="dxa"/>
            <w:tcBorders>
              <w:top w:val="nil"/>
              <w:left w:val="nil"/>
              <w:bottom w:val="nil"/>
              <w:right w:val="nil"/>
            </w:tcBorders>
            <w:shd w:val="clear" w:color="auto" w:fill="auto"/>
            <w:noWrap/>
            <w:vAlign w:val="bottom"/>
            <w:hideMark/>
          </w:tcPr>
          <w:p w14:paraId="792C96DC"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3EA46591" w14:textId="77777777" w:rsidR="008F16FC" w:rsidRPr="008F16FC" w:rsidRDefault="008F16FC" w:rsidP="008F16FC">
            <w:pPr>
              <w:rPr>
                <w:b/>
                <w:bCs/>
                <w:color w:val="000000"/>
                <w:sz w:val="20"/>
                <w:szCs w:val="20"/>
              </w:rPr>
            </w:pPr>
          </w:p>
        </w:tc>
        <w:tc>
          <w:tcPr>
            <w:tcW w:w="3740" w:type="dxa"/>
            <w:gridSpan w:val="2"/>
            <w:tcBorders>
              <w:top w:val="nil"/>
              <w:left w:val="nil"/>
              <w:bottom w:val="nil"/>
              <w:right w:val="nil"/>
            </w:tcBorders>
            <w:shd w:val="clear" w:color="auto" w:fill="auto"/>
            <w:noWrap/>
            <w:vAlign w:val="bottom"/>
            <w:hideMark/>
          </w:tcPr>
          <w:p w14:paraId="43D93807" w14:textId="77777777" w:rsidR="008F16FC" w:rsidRPr="008F16FC" w:rsidRDefault="008F16FC" w:rsidP="008F16FC">
            <w:pPr>
              <w:rPr>
                <w:color w:val="000000"/>
                <w:sz w:val="20"/>
                <w:szCs w:val="20"/>
              </w:rPr>
            </w:pPr>
            <w:r w:rsidRPr="008F16FC">
              <w:rPr>
                <w:color w:val="000000"/>
                <w:sz w:val="20"/>
                <w:szCs w:val="20"/>
              </w:rPr>
              <w:t>Superávit de revaluación</w:t>
            </w:r>
          </w:p>
        </w:tc>
        <w:tc>
          <w:tcPr>
            <w:tcW w:w="2080" w:type="dxa"/>
            <w:tcBorders>
              <w:top w:val="nil"/>
              <w:left w:val="nil"/>
              <w:bottom w:val="nil"/>
              <w:right w:val="nil"/>
            </w:tcBorders>
            <w:shd w:val="clear" w:color="auto" w:fill="auto"/>
            <w:noWrap/>
            <w:vAlign w:val="bottom"/>
            <w:hideMark/>
          </w:tcPr>
          <w:p w14:paraId="7F4741E6" w14:textId="77777777" w:rsidR="008F16FC" w:rsidRPr="008F16FC" w:rsidRDefault="008F16FC" w:rsidP="008F16FC">
            <w:pPr>
              <w:jc w:val="right"/>
              <w:rPr>
                <w:color w:val="000000"/>
                <w:sz w:val="20"/>
                <w:szCs w:val="20"/>
              </w:rPr>
            </w:pPr>
            <w:r w:rsidRPr="008F16FC">
              <w:rPr>
                <w:color w:val="000000"/>
                <w:sz w:val="20"/>
                <w:szCs w:val="20"/>
              </w:rPr>
              <w:t xml:space="preserve">279.261 </w:t>
            </w:r>
          </w:p>
        </w:tc>
        <w:tc>
          <w:tcPr>
            <w:tcW w:w="1540" w:type="dxa"/>
            <w:tcBorders>
              <w:top w:val="nil"/>
              <w:left w:val="nil"/>
              <w:bottom w:val="nil"/>
              <w:right w:val="nil"/>
            </w:tcBorders>
            <w:shd w:val="clear" w:color="auto" w:fill="auto"/>
            <w:noWrap/>
            <w:vAlign w:val="bottom"/>
            <w:hideMark/>
          </w:tcPr>
          <w:p w14:paraId="6BB82131" w14:textId="77777777" w:rsidR="008F16FC" w:rsidRPr="008F16FC" w:rsidRDefault="008F16FC" w:rsidP="008F16FC">
            <w:pPr>
              <w:jc w:val="right"/>
              <w:rPr>
                <w:color w:val="000000"/>
                <w:sz w:val="20"/>
                <w:szCs w:val="20"/>
              </w:rPr>
            </w:pPr>
            <w:r w:rsidRPr="008F16FC">
              <w:rPr>
                <w:color w:val="000000"/>
                <w:sz w:val="20"/>
                <w:szCs w:val="20"/>
              </w:rPr>
              <w:t xml:space="preserve">436.358 </w:t>
            </w:r>
          </w:p>
        </w:tc>
      </w:tr>
      <w:tr w:rsidR="008F16FC" w:rsidRPr="008F16FC" w14:paraId="40F0631B" w14:textId="77777777" w:rsidTr="00BA304B">
        <w:trPr>
          <w:trHeight w:val="255"/>
        </w:trPr>
        <w:tc>
          <w:tcPr>
            <w:tcW w:w="503" w:type="dxa"/>
            <w:tcBorders>
              <w:top w:val="nil"/>
              <w:left w:val="nil"/>
              <w:bottom w:val="nil"/>
              <w:right w:val="nil"/>
            </w:tcBorders>
            <w:shd w:val="clear" w:color="auto" w:fill="auto"/>
            <w:noWrap/>
            <w:vAlign w:val="bottom"/>
            <w:hideMark/>
          </w:tcPr>
          <w:p w14:paraId="19199CFE" w14:textId="77777777" w:rsidR="008F16FC" w:rsidRPr="008F16FC" w:rsidRDefault="008F16FC" w:rsidP="008F16FC">
            <w:pPr>
              <w:rPr>
                <w:b/>
                <w:bCs/>
                <w:color w:val="000000"/>
                <w:sz w:val="20"/>
                <w:szCs w:val="20"/>
              </w:rPr>
            </w:pPr>
          </w:p>
        </w:tc>
        <w:tc>
          <w:tcPr>
            <w:tcW w:w="4243" w:type="dxa"/>
            <w:gridSpan w:val="3"/>
            <w:tcBorders>
              <w:top w:val="nil"/>
              <w:left w:val="nil"/>
              <w:bottom w:val="nil"/>
              <w:right w:val="nil"/>
            </w:tcBorders>
            <w:shd w:val="clear" w:color="auto" w:fill="auto"/>
            <w:noWrap/>
            <w:vAlign w:val="bottom"/>
            <w:hideMark/>
          </w:tcPr>
          <w:p w14:paraId="06A87ED0" w14:textId="77777777" w:rsidR="008F16FC" w:rsidRPr="008F16FC" w:rsidRDefault="008F16FC" w:rsidP="008F16FC">
            <w:pPr>
              <w:rPr>
                <w:b/>
                <w:bCs/>
                <w:color w:val="000000"/>
                <w:sz w:val="20"/>
                <w:szCs w:val="20"/>
              </w:rPr>
            </w:pPr>
            <w:r w:rsidRPr="008F16FC">
              <w:rPr>
                <w:b/>
                <w:bCs/>
                <w:color w:val="000000"/>
                <w:sz w:val="20"/>
                <w:szCs w:val="20"/>
              </w:rPr>
              <w:t>Ganancias Acumuladas</w:t>
            </w:r>
          </w:p>
        </w:tc>
        <w:tc>
          <w:tcPr>
            <w:tcW w:w="2080" w:type="dxa"/>
            <w:tcBorders>
              <w:top w:val="nil"/>
              <w:left w:val="nil"/>
              <w:bottom w:val="nil"/>
              <w:right w:val="nil"/>
            </w:tcBorders>
            <w:shd w:val="clear" w:color="auto" w:fill="auto"/>
            <w:noWrap/>
            <w:vAlign w:val="bottom"/>
            <w:hideMark/>
          </w:tcPr>
          <w:p w14:paraId="0915B06E" w14:textId="77777777" w:rsidR="008F16FC" w:rsidRPr="008F16FC" w:rsidRDefault="008F16FC" w:rsidP="008F16FC">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201E2EA6" w14:textId="77777777" w:rsidR="008F16FC" w:rsidRPr="008F16FC" w:rsidRDefault="008F16FC" w:rsidP="008F16FC">
            <w:pPr>
              <w:rPr>
                <w:color w:val="000000"/>
                <w:sz w:val="20"/>
                <w:szCs w:val="20"/>
              </w:rPr>
            </w:pPr>
          </w:p>
        </w:tc>
      </w:tr>
      <w:tr w:rsidR="008F16FC" w:rsidRPr="008F16FC" w14:paraId="758A70FB" w14:textId="77777777" w:rsidTr="00BA304B">
        <w:trPr>
          <w:trHeight w:val="255"/>
        </w:trPr>
        <w:tc>
          <w:tcPr>
            <w:tcW w:w="503" w:type="dxa"/>
            <w:tcBorders>
              <w:top w:val="nil"/>
              <w:left w:val="nil"/>
              <w:bottom w:val="nil"/>
              <w:right w:val="nil"/>
            </w:tcBorders>
            <w:shd w:val="clear" w:color="auto" w:fill="auto"/>
            <w:noWrap/>
            <w:vAlign w:val="bottom"/>
            <w:hideMark/>
          </w:tcPr>
          <w:p w14:paraId="6116E39D"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4626F1F3" w14:textId="77777777" w:rsidR="008F16FC" w:rsidRPr="008F16FC" w:rsidRDefault="008F16FC" w:rsidP="008F16FC">
            <w:pPr>
              <w:rPr>
                <w:b/>
                <w:bCs/>
                <w:color w:val="000000"/>
                <w:sz w:val="20"/>
                <w:szCs w:val="20"/>
              </w:rPr>
            </w:pPr>
          </w:p>
        </w:tc>
        <w:tc>
          <w:tcPr>
            <w:tcW w:w="3740" w:type="dxa"/>
            <w:gridSpan w:val="2"/>
            <w:tcBorders>
              <w:top w:val="nil"/>
              <w:left w:val="nil"/>
              <w:bottom w:val="nil"/>
              <w:right w:val="nil"/>
            </w:tcBorders>
            <w:shd w:val="clear" w:color="auto" w:fill="auto"/>
            <w:noWrap/>
            <w:vAlign w:val="bottom"/>
            <w:hideMark/>
          </w:tcPr>
          <w:p w14:paraId="5F1CD10A" w14:textId="77777777" w:rsidR="008F16FC" w:rsidRPr="008F16FC" w:rsidRDefault="008F16FC" w:rsidP="008F16FC">
            <w:pPr>
              <w:rPr>
                <w:color w:val="000000"/>
                <w:sz w:val="20"/>
                <w:szCs w:val="20"/>
              </w:rPr>
            </w:pPr>
            <w:r w:rsidRPr="008F16FC">
              <w:rPr>
                <w:color w:val="000000"/>
                <w:sz w:val="20"/>
                <w:szCs w:val="20"/>
              </w:rPr>
              <w:t>Reserva legal</w:t>
            </w:r>
          </w:p>
        </w:tc>
        <w:tc>
          <w:tcPr>
            <w:tcW w:w="2080" w:type="dxa"/>
            <w:tcBorders>
              <w:top w:val="nil"/>
              <w:left w:val="nil"/>
              <w:bottom w:val="nil"/>
              <w:right w:val="nil"/>
            </w:tcBorders>
            <w:shd w:val="clear" w:color="auto" w:fill="auto"/>
            <w:noWrap/>
            <w:vAlign w:val="bottom"/>
            <w:hideMark/>
          </w:tcPr>
          <w:p w14:paraId="6F8C5DB2" w14:textId="77777777" w:rsidR="008F16FC" w:rsidRPr="008F16FC" w:rsidRDefault="008F16FC" w:rsidP="008F16FC">
            <w:pPr>
              <w:jc w:val="right"/>
              <w:rPr>
                <w:color w:val="000000"/>
                <w:sz w:val="20"/>
                <w:szCs w:val="20"/>
              </w:rPr>
            </w:pPr>
            <w:r w:rsidRPr="008F16FC">
              <w:rPr>
                <w:color w:val="000000"/>
                <w:sz w:val="20"/>
                <w:szCs w:val="20"/>
              </w:rPr>
              <w:t xml:space="preserve">31.406 </w:t>
            </w:r>
          </w:p>
        </w:tc>
        <w:tc>
          <w:tcPr>
            <w:tcW w:w="1540" w:type="dxa"/>
            <w:tcBorders>
              <w:top w:val="nil"/>
              <w:left w:val="nil"/>
              <w:bottom w:val="nil"/>
              <w:right w:val="nil"/>
            </w:tcBorders>
            <w:shd w:val="clear" w:color="auto" w:fill="auto"/>
            <w:noWrap/>
            <w:vAlign w:val="bottom"/>
            <w:hideMark/>
          </w:tcPr>
          <w:p w14:paraId="76F37989" w14:textId="77777777" w:rsidR="008F16FC" w:rsidRPr="008F16FC" w:rsidRDefault="008F16FC" w:rsidP="008F16FC">
            <w:pPr>
              <w:jc w:val="right"/>
              <w:rPr>
                <w:color w:val="000000"/>
                <w:sz w:val="20"/>
                <w:szCs w:val="20"/>
              </w:rPr>
            </w:pPr>
            <w:r w:rsidRPr="008F16FC">
              <w:rPr>
                <w:color w:val="000000"/>
                <w:sz w:val="20"/>
                <w:szCs w:val="20"/>
              </w:rPr>
              <w:t xml:space="preserve">28.589 </w:t>
            </w:r>
          </w:p>
        </w:tc>
      </w:tr>
      <w:tr w:rsidR="008F16FC" w:rsidRPr="008F16FC" w14:paraId="674F8E1F" w14:textId="77777777" w:rsidTr="00BA304B">
        <w:trPr>
          <w:trHeight w:val="255"/>
        </w:trPr>
        <w:tc>
          <w:tcPr>
            <w:tcW w:w="503" w:type="dxa"/>
            <w:tcBorders>
              <w:top w:val="nil"/>
              <w:left w:val="nil"/>
              <w:bottom w:val="nil"/>
              <w:right w:val="nil"/>
            </w:tcBorders>
            <w:shd w:val="clear" w:color="auto" w:fill="auto"/>
            <w:noWrap/>
            <w:vAlign w:val="bottom"/>
            <w:hideMark/>
          </w:tcPr>
          <w:p w14:paraId="5B1D42E5"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0C9C32D2" w14:textId="77777777" w:rsidR="008F16FC" w:rsidRPr="008F16FC" w:rsidRDefault="008F16FC" w:rsidP="008F16FC">
            <w:pPr>
              <w:rPr>
                <w:b/>
                <w:bCs/>
                <w:color w:val="000000"/>
                <w:sz w:val="20"/>
                <w:szCs w:val="20"/>
              </w:rPr>
            </w:pPr>
          </w:p>
        </w:tc>
        <w:tc>
          <w:tcPr>
            <w:tcW w:w="3740" w:type="dxa"/>
            <w:gridSpan w:val="2"/>
            <w:tcBorders>
              <w:top w:val="nil"/>
              <w:left w:val="nil"/>
              <w:bottom w:val="nil"/>
              <w:right w:val="nil"/>
            </w:tcBorders>
            <w:shd w:val="clear" w:color="auto" w:fill="auto"/>
            <w:noWrap/>
            <w:vAlign w:val="bottom"/>
            <w:hideMark/>
          </w:tcPr>
          <w:p w14:paraId="5F565DC8" w14:textId="77777777" w:rsidR="008F16FC" w:rsidRPr="008F16FC" w:rsidRDefault="008F16FC" w:rsidP="008F16FC">
            <w:pPr>
              <w:rPr>
                <w:color w:val="000000"/>
                <w:sz w:val="20"/>
                <w:szCs w:val="20"/>
              </w:rPr>
            </w:pPr>
            <w:r w:rsidRPr="008F16FC">
              <w:rPr>
                <w:color w:val="000000"/>
                <w:sz w:val="20"/>
                <w:szCs w:val="20"/>
              </w:rPr>
              <w:t>Otras reservas</w:t>
            </w:r>
          </w:p>
        </w:tc>
        <w:tc>
          <w:tcPr>
            <w:tcW w:w="2080" w:type="dxa"/>
            <w:tcBorders>
              <w:top w:val="nil"/>
              <w:left w:val="nil"/>
              <w:bottom w:val="nil"/>
              <w:right w:val="nil"/>
            </w:tcBorders>
            <w:shd w:val="clear" w:color="auto" w:fill="auto"/>
            <w:noWrap/>
            <w:vAlign w:val="bottom"/>
            <w:hideMark/>
          </w:tcPr>
          <w:p w14:paraId="0F58A40A" w14:textId="77777777" w:rsidR="008F16FC" w:rsidRPr="008F16FC" w:rsidRDefault="008F16FC" w:rsidP="008F16FC">
            <w:pPr>
              <w:jc w:val="right"/>
              <w:rPr>
                <w:color w:val="000000"/>
                <w:sz w:val="20"/>
                <w:szCs w:val="20"/>
              </w:rPr>
            </w:pPr>
            <w:r w:rsidRPr="008F16FC">
              <w:rPr>
                <w:color w:val="000000"/>
                <w:sz w:val="20"/>
                <w:szCs w:val="20"/>
              </w:rPr>
              <w:t xml:space="preserve">405.131 </w:t>
            </w:r>
          </w:p>
        </w:tc>
        <w:tc>
          <w:tcPr>
            <w:tcW w:w="1540" w:type="dxa"/>
            <w:tcBorders>
              <w:top w:val="nil"/>
              <w:left w:val="nil"/>
              <w:bottom w:val="nil"/>
              <w:right w:val="nil"/>
            </w:tcBorders>
            <w:shd w:val="clear" w:color="auto" w:fill="auto"/>
            <w:noWrap/>
            <w:vAlign w:val="bottom"/>
            <w:hideMark/>
          </w:tcPr>
          <w:p w14:paraId="5699DA10" w14:textId="77777777" w:rsidR="008F16FC" w:rsidRPr="008F16FC" w:rsidRDefault="008F16FC" w:rsidP="008F16FC">
            <w:pPr>
              <w:jc w:val="right"/>
              <w:rPr>
                <w:color w:val="000000"/>
                <w:sz w:val="20"/>
                <w:szCs w:val="20"/>
              </w:rPr>
            </w:pPr>
            <w:r w:rsidRPr="008F16FC">
              <w:rPr>
                <w:color w:val="000000"/>
                <w:sz w:val="20"/>
                <w:szCs w:val="20"/>
              </w:rPr>
              <w:t xml:space="preserve">351.610 </w:t>
            </w:r>
          </w:p>
        </w:tc>
      </w:tr>
      <w:tr w:rsidR="008F16FC" w:rsidRPr="008F16FC" w14:paraId="24C95C87" w14:textId="77777777" w:rsidTr="00BA304B">
        <w:trPr>
          <w:trHeight w:val="255"/>
        </w:trPr>
        <w:tc>
          <w:tcPr>
            <w:tcW w:w="503" w:type="dxa"/>
            <w:tcBorders>
              <w:top w:val="nil"/>
              <w:left w:val="nil"/>
              <w:bottom w:val="nil"/>
              <w:right w:val="nil"/>
            </w:tcBorders>
            <w:shd w:val="clear" w:color="auto" w:fill="auto"/>
            <w:noWrap/>
            <w:vAlign w:val="bottom"/>
            <w:hideMark/>
          </w:tcPr>
          <w:p w14:paraId="720C3431"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593B4272" w14:textId="77777777" w:rsidR="008F16FC" w:rsidRPr="008F16FC" w:rsidRDefault="008F16FC" w:rsidP="008F16FC">
            <w:pPr>
              <w:rPr>
                <w:b/>
                <w:bCs/>
                <w:color w:val="000000"/>
                <w:sz w:val="20"/>
                <w:szCs w:val="20"/>
              </w:rPr>
            </w:pPr>
          </w:p>
        </w:tc>
        <w:tc>
          <w:tcPr>
            <w:tcW w:w="3740" w:type="dxa"/>
            <w:gridSpan w:val="2"/>
            <w:tcBorders>
              <w:top w:val="nil"/>
              <w:left w:val="nil"/>
              <w:bottom w:val="nil"/>
              <w:right w:val="nil"/>
            </w:tcBorders>
            <w:shd w:val="clear" w:color="auto" w:fill="auto"/>
            <w:noWrap/>
            <w:vAlign w:val="bottom"/>
            <w:hideMark/>
          </w:tcPr>
          <w:p w14:paraId="5170F8FD" w14:textId="77777777" w:rsidR="008F16FC" w:rsidRPr="008F16FC" w:rsidRDefault="008F16FC" w:rsidP="008F16FC">
            <w:pPr>
              <w:rPr>
                <w:color w:val="000000"/>
                <w:sz w:val="20"/>
                <w:szCs w:val="20"/>
              </w:rPr>
            </w:pPr>
            <w:r w:rsidRPr="008F16FC">
              <w:rPr>
                <w:color w:val="000000"/>
                <w:sz w:val="20"/>
                <w:szCs w:val="20"/>
              </w:rPr>
              <w:t>Reserva Especial CNV Res.609/12</w:t>
            </w:r>
          </w:p>
        </w:tc>
        <w:tc>
          <w:tcPr>
            <w:tcW w:w="2080" w:type="dxa"/>
            <w:tcBorders>
              <w:top w:val="nil"/>
              <w:left w:val="nil"/>
              <w:bottom w:val="nil"/>
              <w:right w:val="nil"/>
            </w:tcBorders>
            <w:shd w:val="clear" w:color="auto" w:fill="auto"/>
            <w:noWrap/>
            <w:vAlign w:val="bottom"/>
            <w:hideMark/>
          </w:tcPr>
          <w:p w14:paraId="760CD920" w14:textId="77777777" w:rsidR="008F16FC" w:rsidRPr="008F16FC" w:rsidRDefault="008F16FC" w:rsidP="008F16FC">
            <w:pPr>
              <w:jc w:val="right"/>
              <w:rPr>
                <w:color w:val="000000"/>
                <w:sz w:val="20"/>
                <w:szCs w:val="20"/>
              </w:rPr>
            </w:pPr>
            <w:r w:rsidRPr="008F16FC">
              <w:rPr>
                <w:color w:val="000000"/>
                <w:sz w:val="20"/>
                <w:szCs w:val="20"/>
              </w:rPr>
              <w:t xml:space="preserve">80.367 </w:t>
            </w:r>
          </w:p>
        </w:tc>
        <w:tc>
          <w:tcPr>
            <w:tcW w:w="1540" w:type="dxa"/>
            <w:tcBorders>
              <w:top w:val="nil"/>
              <w:left w:val="nil"/>
              <w:bottom w:val="nil"/>
              <w:right w:val="nil"/>
            </w:tcBorders>
            <w:shd w:val="clear" w:color="auto" w:fill="auto"/>
            <w:noWrap/>
            <w:vAlign w:val="bottom"/>
            <w:hideMark/>
          </w:tcPr>
          <w:p w14:paraId="65F28AF2" w14:textId="77777777" w:rsidR="008F16FC" w:rsidRPr="008F16FC" w:rsidRDefault="008F16FC" w:rsidP="008F16FC">
            <w:pPr>
              <w:jc w:val="right"/>
              <w:rPr>
                <w:color w:val="000000"/>
                <w:sz w:val="20"/>
                <w:szCs w:val="20"/>
              </w:rPr>
            </w:pPr>
            <w:r w:rsidRPr="008F16FC">
              <w:rPr>
                <w:color w:val="000000"/>
                <w:sz w:val="20"/>
                <w:szCs w:val="20"/>
              </w:rPr>
              <w:t xml:space="preserve">80.367 </w:t>
            </w:r>
          </w:p>
        </w:tc>
      </w:tr>
      <w:tr w:rsidR="008F16FC" w:rsidRPr="008F16FC" w14:paraId="51AC4D68" w14:textId="77777777" w:rsidTr="00BA304B">
        <w:trPr>
          <w:trHeight w:val="255"/>
        </w:trPr>
        <w:tc>
          <w:tcPr>
            <w:tcW w:w="503" w:type="dxa"/>
            <w:tcBorders>
              <w:top w:val="nil"/>
              <w:left w:val="nil"/>
              <w:bottom w:val="nil"/>
              <w:right w:val="nil"/>
            </w:tcBorders>
            <w:shd w:val="clear" w:color="auto" w:fill="auto"/>
            <w:noWrap/>
            <w:vAlign w:val="bottom"/>
            <w:hideMark/>
          </w:tcPr>
          <w:p w14:paraId="5BEF6F1F"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0B86EE6D" w14:textId="77777777" w:rsidR="008F16FC" w:rsidRPr="008F16FC" w:rsidRDefault="008F16FC" w:rsidP="008F16FC">
            <w:pPr>
              <w:rPr>
                <w:b/>
                <w:bCs/>
                <w:color w:val="000000"/>
                <w:sz w:val="20"/>
                <w:szCs w:val="20"/>
              </w:rPr>
            </w:pPr>
          </w:p>
        </w:tc>
        <w:tc>
          <w:tcPr>
            <w:tcW w:w="3740" w:type="dxa"/>
            <w:gridSpan w:val="2"/>
            <w:tcBorders>
              <w:top w:val="nil"/>
              <w:left w:val="nil"/>
              <w:bottom w:val="nil"/>
              <w:right w:val="nil"/>
            </w:tcBorders>
            <w:shd w:val="clear" w:color="auto" w:fill="auto"/>
            <w:noWrap/>
            <w:vAlign w:val="bottom"/>
            <w:hideMark/>
          </w:tcPr>
          <w:p w14:paraId="5275903B" w14:textId="79D1B7AD" w:rsidR="008F16FC" w:rsidRPr="008F16FC" w:rsidRDefault="008F16FC" w:rsidP="008F16FC">
            <w:pPr>
              <w:rPr>
                <w:color w:val="000000"/>
                <w:sz w:val="20"/>
                <w:szCs w:val="20"/>
              </w:rPr>
            </w:pPr>
            <w:r w:rsidRPr="008F16FC">
              <w:rPr>
                <w:color w:val="000000"/>
                <w:sz w:val="20"/>
                <w:szCs w:val="20"/>
              </w:rPr>
              <w:t xml:space="preserve">Resultados no asignados </w:t>
            </w:r>
          </w:p>
        </w:tc>
        <w:tc>
          <w:tcPr>
            <w:tcW w:w="2080" w:type="dxa"/>
            <w:tcBorders>
              <w:top w:val="nil"/>
              <w:left w:val="nil"/>
              <w:bottom w:val="nil"/>
              <w:right w:val="nil"/>
            </w:tcBorders>
            <w:shd w:val="clear" w:color="auto" w:fill="auto"/>
            <w:noWrap/>
            <w:vAlign w:val="bottom"/>
            <w:hideMark/>
          </w:tcPr>
          <w:p w14:paraId="032B0FF6" w14:textId="77777777" w:rsidR="008F16FC" w:rsidRPr="008F16FC" w:rsidRDefault="008F16FC" w:rsidP="008F16FC">
            <w:pPr>
              <w:jc w:val="right"/>
              <w:rPr>
                <w:color w:val="000000"/>
                <w:sz w:val="20"/>
                <w:szCs w:val="20"/>
              </w:rPr>
            </w:pPr>
            <w:r w:rsidRPr="008F16FC">
              <w:rPr>
                <w:color w:val="000000"/>
                <w:sz w:val="20"/>
                <w:szCs w:val="20"/>
              </w:rPr>
              <w:t xml:space="preserve">542.211 </w:t>
            </w:r>
          </w:p>
        </w:tc>
        <w:tc>
          <w:tcPr>
            <w:tcW w:w="1540" w:type="dxa"/>
            <w:tcBorders>
              <w:top w:val="nil"/>
              <w:left w:val="nil"/>
              <w:bottom w:val="nil"/>
              <w:right w:val="nil"/>
            </w:tcBorders>
            <w:shd w:val="clear" w:color="auto" w:fill="auto"/>
            <w:noWrap/>
            <w:vAlign w:val="bottom"/>
            <w:hideMark/>
          </w:tcPr>
          <w:p w14:paraId="261012C1" w14:textId="77777777" w:rsidR="008F16FC" w:rsidRPr="008F16FC" w:rsidRDefault="008F16FC" w:rsidP="008F16FC">
            <w:pPr>
              <w:jc w:val="right"/>
              <w:rPr>
                <w:color w:val="000000"/>
                <w:sz w:val="20"/>
                <w:szCs w:val="20"/>
              </w:rPr>
            </w:pPr>
            <w:r w:rsidRPr="008F16FC">
              <w:rPr>
                <w:color w:val="000000"/>
                <w:sz w:val="20"/>
                <w:szCs w:val="20"/>
              </w:rPr>
              <w:t xml:space="preserve">326.919 </w:t>
            </w:r>
          </w:p>
        </w:tc>
      </w:tr>
      <w:tr w:rsidR="008F16FC" w:rsidRPr="008F16FC" w14:paraId="6CD8D0A8" w14:textId="77777777" w:rsidTr="00BA304B">
        <w:trPr>
          <w:trHeight w:val="255"/>
        </w:trPr>
        <w:tc>
          <w:tcPr>
            <w:tcW w:w="503" w:type="dxa"/>
            <w:tcBorders>
              <w:top w:val="nil"/>
              <w:left w:val="nil"/>
              <w:bottom w:val="nil"/>
              <w:right w:val="nil"/>
            </w:tcBorders>
            <w:shd w:val="clear" w:color="auto" w:fill="auto"/>
            <w:noWrap/>
            <w:vAlign w:val="bottom"/>
            <w:hideMark/>
          </w:tcPr>
          <w:p w14:paraId="5A2270B6"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764ADF77"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316BC0E8" w14:textId="77777777" w:rsidR="008F16FC" w:rsidRPr="008F16FC" w:rsidRDefault="008F16FC" w:rsidP="008F16FC">
            <w:pPr>
              <w:rPr>
                <w:color w:val="000000"/>
                <w:sz w:val="20"/>
                <w:szCs w:val="20"/>
              </w:rPr>
            </w:pPr>
          </w:p>
        </w:tc>
        <w:tc>
          <w:tcPr>
            <w:tcW w:w="3237" w:type="dxa"/>
            <w:tcBorders>
              <w:top w:val="nil"/>
              <w:left w:val="nil"/>
              <w:bottom w:val="nil"/>
              <w:right w:val="nil"/>
            </w:tcBorders>
            <w:shd w:val="clear" w:color="auto" w:fill="auto"/>
            <w:noWrap/>
            <w:vAlign w:val="bottom"/>
            <w:hideMark/>
          </w:tcPr>
          <w:p w14:paraId="0DD454AF" w14:textId="77777777" w:rsidR="008F16FC" w:rsidRPr="008F16FC" w:rsidRDefault="008F16FC" w:rsidP="008F16FC">
            <w:pPr>
              <w:rPr>
                <w:color w:val="000000"/>
                <w:sz w:val="20"/>
                <w:szCs w:val="20"/>
              </w:rPr>
            </w:pPr>
          </w:p>
        </w:tc>
        <w:tc>
          <w:tcPr>
            <w:tcW w:w="2080" w:type="dxa"/>
            <w:tcBorders>
              <w:top w:val="nil"/>
              <w:left w:val="nil"/>
              <w:bottom w:val="nil"/>
              <w:right w:val="nil"/>
            </w:tcBorders>
            <w:shd w:val="clear" w:color="auto" w:fill="auto"/>
            <w:noWrap/>
            <w:vAlign w:val="bottom"/>
            <w:hideMark/>
          </w:tcPr>
          <w:p w14:paraId="25C16D3B" w14:textId="77777777" w:rsidR="008F16FC" w:rsidRPr="008F16FC" w:rsidRDefault="008F16FC" w:rsidP="008F16FC">
            <w:pPr>
              <w:rPr>
                <w:color w:val="000000"/>
                <w:sz w:val="20"/>
                <w:szCs w:val="20"/>
              </w:rPr>
            </w:pPr>
          </w:p>
        </w:tc>
        <w:tc>
          <w:tcPr>
            <w:tcW w:w="1540" w:type="dxa"/>
            <w:tcBorders>
              <w:top w:val="nil"/>
              <w:left w:val="nil"/>
              <w:bottom w:val="nil"/>
              <w:right w:val="nil"/>
            </w:tcBorders>
            <w:shd w:val="clear" w:color="auto" w:fill="auto"/>
            <w:noWrap/>
            <w:vAlign w:val="bottom"/>
            <w:hideMark/>
          </w:tcPr>
          <w:p w14:paraId="088837FE" w14:textId="77777777" w:rsidR="008F16FC" w:rsidRPr="008F16FC" w:rsidRDefault="008F16FC" w:rsidP="008F16FC">
            <w:pPr>
              <w:rPr>
                <w:color w:val="000000"/>
                <w:sz w:val="20"/>
                <w:szCs w:val="20"/>
              </w:rPr>
            </w:pPr>
          </w:p>
        </w:tc>
      </w:tr>
      <w:tr w:rsidR="008F16FC" w:rsidRPr="008F16FC" w14:paraId="0876C488" w14:textId="77777777" w:rsidTr="00BA304B">
        <w:trPr>
          <w:trHeight w:val="255"/>
        </w:trPr>
        <w:tc>
          <w:tcPr>
            <w:tcW w:w="4746" w:type="dxa"/>
            <w:gridSpan w:val="4"/>
            <w:tcBorders>
              <w:top w:val="nil"/>
              <w:left w:val="nil"/>
              <w:bottom w:val="nil"/>
              <w:right w:val="nil"/>
            </w:tcBorders>
            <w:shd w:val="clear" w:color="auto" w:fill="auto"/>
            <w:noWrap/>
            <w:vAlign w:val="bottom"/>
            <w:hideMark/>
          </w:tcPr>
          <w:p w14:paraId="54C99E83" w14:textId="77777777" w:rsidR="008F16FC" w:rsidRPr="008F16FC" w:rsidRDefault="008F16FC" w:rsidP="008F16FC">
            <w:pPr>
              <w:rPr>
                <w:b/>
                <w:bCs/>
                <w:color w:val="000000"/>
                <w:sz w:val="20"/>
                <w:szCs w:val="20"/>
              </w:rPr>
            </w:pPr>
            <w:r w:rsidRPr="008F16FC">
              <w:rPr>
                <w:b/>
                <w:bCs/>
                <w:color w:val="000000"/>
                <w:sz w:val="20"/>
                <w:szCs w:val="20"/>
              </w:rPr>
              <w:t>Total de la controladora</w:t>
            </w:r>
          </w:p>
        </w:tc>
        <w:tc>
          <w:tcPr>
            <w:tcW w:w="2080" w:type="dxa"/>
            <w:tcBorders>
              <w:top w:val="nil"/>
              <w:left w:val="nil"/>
              <w:bottom w:val="nil"/>
              <w:right w:val="nil"/>
            </w:tcBorders>
            <w:shd w:val="clear" w:color="auto" w:fill="auto"/>
            <w:noWrap/>
            <w:vAlign w:val="bottom"/>
            <w:hideMark/>
          </w:tcPr>
          <w:p w14:paraId="55D2ED91" w14:textId="77777777" w:rsidR="008F16FC" w:rsidRPr="008F16FC" w:rsidRDefault="008F16FC" w:rsidP="008F16FC">
            <w:pPr>
              <w:jc w:val="right"/>
              <w:rPr>
                <w:b/>
                <w:bCs/>
                <w:color w:val="000000"/>
                <w:sz w:val="20"/>
                <w:szCs w:val="20"/>
              </w:rPr>
            </w:pPr>
            <w:r w:rsidRPr="008F16FC">
              <w:rPr>
                <w:b/>
                <w:bCs/>
                <w:color w:val="000000"/>
                <w:sz w:val="20"/>
                <w:szCs w:val="20"/>
              </w:rPr>
              <w:t xml:space="preserve">2.498.970 </w:t>
            </w:r>
          </w:p>
        </w:tc>
        <w:tc>
          <w:tcPr>
            <w:tcW w:w="1540" w:type="dxa"/>
            <w:tcBorders>
              <w:top w:val="nil"/>
              <w:left w:val="nil"/>
              <w:bottom w:val="nil"/>
              <w:right w:val="nil"/>
            </w:tcBorders>
            <w:shd w:val="clear" w:color="auto" w:fill="auto"/>
            <w:noWrap/>
            <w:vAlign w:val="bottom"/>
            <w:hideMark/>
          </w:tcPr>
          <w:p w14:paraId="17F0B5AF" w14:textId="77777777" w:rsidR="008F16FC" w:rsidRPr="008F16FC" w:rsidRDefault="008F16FC" w:rsidP="008F16FC">
            <w:pPr>
              <w:jc w:val="right"/>
              <w:rPr>
                <w:b/>
                <w:bCs/>
                <w:color w:val="000000"/>
                <w:sz w:val="20"/>
                <w:szCs w:val="20"/>
              </w:rPr>
            </w:pPr>
            <w:r w:rsidRPr="008F16FC">
              <w:rPr>
                <w:b/>
                <w:bCs/>
                <w:color w:val="000000"/>
                <w:sz w:val="20"/>
                <w:szCs w:val="20"/>
              </w:rPr>
              <w:t xml:space="preserve">2.436.777 </w:t>
            </w:r>
          </w:p>
        </w:tc>
      </w:tr>
      <w:tr w:rsidR="008F16FC" w:rsidRPr="008F16FC" w14:paraId="3D411C67" w14:textId="77777777" w:rsidTr="00BA304B">
        <w:trPr>
          <w:trHeight w:val="255"/>
        </w:trPr>
        <w:tc>
          <w:tcPr>
            <w:tcW w:w="503" w:type="dxa"/>
            <w:tcBorders>
              <w:top w:val="nil"/>
              <w:left w:val="nil"/>
              <w:bottom w:val="nil"/>
              <w:right w:val="nil"/>
            </w:tcBorders>
            <w:shd w:val="clear" w:color="auto" w:fill="auto"/>
            <w:noWrap/>
            <w:vAlign w:val="bottom"/>
            <w:hideMark/>
          </w:tcPr>
          <w:p w14:paraId="4F5E5399"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70B9E547"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269DC6B0" w14:textId="77777777" w:rsidR="008F16FC" w:rsidRPr="008F16FC" w:rsidRDefault="008F16FC" w:rsidP="008F16FC">
            <w:pPr>
              <w:rPr>
                <w:color w:val="000000"/>
                <w:sz w:val="20"/>
                <w:szCs w:val="20"/>
              </w:rPr>
            </w:pPr>
          </w:p>
        </w:tc>
        <w:tc>
          <w:tcPr>
            <w:tcW w:w="3237" w:type="dxa"/>
            <w:tcBorders>
              <w:top w:val="nil"/>
              <w:left w:val="nil"/>
              <w:bottom w:val="nil"/>
              <w:right w:val="nil"/>
            </w:tcBorders>
            <w:shd w:val="clear" w:color="auto" w:fill="auto"/>
            <w:noWrap/>
            <w:vAlign w:val="bottom"/>
            <w:hideMark/>
          </w:tcPr>
          <w:p w14:paraId="0DDC0503" w14:textId="77777777" w:rsidR="008F16FC" w:rsidRPr="008F16FC" w:rsidRDefault="008F16FC" w:rsidP="008F16FC">
            <w:pPr>
              <w:rPr>
                <w:color w:val="000000"/>
                <w:sz w:val="20"/>
                <w:szCs w:val="20"/>
              </w:rPr>
            </w:pPr>
          </w:p>
        </w:tc>
        <w:tc>
          <w:tcPr>
            <w:tcW w:w="2080" w:type="dxa"/>
            <w:tcBorders>
              <w:top w:val="nil"/>
              <w:left w:val="nil"/>
              <w:bottom w:val="nil"/>
              <w:right w:val="nil"/>
            </w:tcBorders>
            <w:shd w:val="clear" w:color="auto" w:fill="auto"/>
            <w:noWrap/>
            <w:vAlign w:val="bottom"/>
            <w:hideMark/>
          </w:tcPr>
          <w:p w14:paraId="4CB90AF9" w14:textId="77777777" w:rsidR="008F16FC" w:rsidRPr="008F16FC" w:rsidRDefault="008F16FC" w:rsidP="008F16FC">
            <w:pPr>
              <w:rPr>
                <w:color w:val="000000"/>
                <w:sz w:val="20"/>
                <w:szCs w:val="20"/>
              </w:rPr>
            </w:pPr>
          </w:p>
        </w:tc>
        <w:tc>
          <w:tcPr>
            <w:tcW w:w="1540" w:type="dxa"/>
            <w:tcBorders>
              <w:top w:val="nil"/>
              <w:left w:val="nil"/>
              <w:bottom w:val="nil"/>
              <w:right w:val="nil"/>
            </w:tcBorders>
            <w:shd w:val="clear" w:color="auto" w:fill="auto"/>
            <w:noWrap/>
            <w:vAlign w:val="bottom"/>
            <w:hideMark/>
          </w:tcPr>
          <w:p w14:paraId="71E6C5D9" w14:textId="77777777" w:rsidR="008F16FC" w:rsidRPr="008F16FC" w:rsidRDefault="008F16FC" w:rsidP="008F16FC">
            <w:pPr>
              <w:rPr>
                <w:color w:val="000000"/>
                <w:sz w:val="20"/>
                <w:szCs w:val="20"/>
              </w:rPr>
            </w:pPr>
          </w:p>
        </w:tc>
      </w:tr>
      <w:tr w:rsidR="008F16FC" w:rsidRPr="008F16FC" w14:paraId="235C6D6A" w14:textId="77777777" w:rsidTr="00BA304B">
        <w:trPr>
          <w:trHeight w:val="255"/>
        </w:trPr>
        <w:tc>
          <w:tcPr>
            <w:tcW w:w="4746" w:type="dxa"/>
            <w:gridSpan w:val="4"/>
            <w:tcBorders>
              <w:top w:val="nil"/>
              <w:left w:val="nil"/>
              <w:bottom w:val="nil"/>
              <w:right w:val="nil"/>
            </w:tcBorders>
            <w:shd w:val="clear" w:color="auto" w:fill="auto"/>
            <w:noWrap/>
            <w:vAlign w:val="bottom"/>
            <w:hideMark/>
          </w:tcPr>
          <w:p w14:paraId="05EB7DF4" w14:textId="77777777" w:rsidR="008F16FC" w:rsidRPr="008F16FC" w:rsidRDefault="008F16FC" w:rsidP="008F16FC">
            <w:pPr>
              <w:rPr>
                <w:b/>
                <w:bCs/>
                <w:color w:val="000000"/>
                <w:sz w:val="20"/>
                <w:szCs w:val="20"/>
              </w:rPr>
            </w:pPr>
            <w:r w:rsidRPr="008F16FC">
              <w:rPr>
                <w:b/>
                <w:bCs/>
                <w:color w:val="000000"/>
                <w:sz w:val="20"/>
                <w:szCs w:val="20"/>
              </w:rPr>
              <w:t>Participaciones no controladas</w:t>
            </w:r>
          </w:p>
        </w:tc>
        <w:tc>
          <w:tcPr>
            <w:tcW w:w="2080" w:type="dxa"/>
            <w:tcBorders>
              <w:top w:val="nil"/>
              <w:left w:val="nil"/>
              <w:bottom w:val="nil"/>
              <w:right w:val="nil"/>
            </w:tcBorders>
            <w:shd w:val="clear" w:color="auto" w:fill="auto"/>
            <w:noWrap/>
            <w:vAlign w:val="bottom"/>
            <w:hideMark/>
          </w:tcPr>
          <w:p w14:paraId="364BA7A6" w14:textId="77777777" w:rsidR="008F16FC" w:rsidRPr="008F16FC" w:rsidRDefault="008F16FC" w:rsidP="008F16FC">
            <w:pPr>
              <w:jc w:val="right"/>
              <w:rPr>
                <w:color w:val="000000"/>
                <w:sz w:val="20"/>
                <w:szCs w:val="20"/>
              </w:rPr>
            </w:pPr>
            <w:r w:rsidRPr="008F16FC">
              <w:rPr>
                <w:color w:val="000000"/>
                <w:sz w:val="20"/>
                <w:szCs w:val="20"/>
              </w:rPr>
              <w:t xml:space="preserve">15.936 </w:t>
            </w:r>
          </w:p>
        </w:tc>
        <w:tc>
          <w:tcPr>
            <w:tcW w:w="1540" w:type="dxa"/>
            <w:tcBorders>
              <w:top w:val="nil"/>
              <w:left w:val="nil"/>
              <w:bottom w:val="nil"/>
              <w:right w:val="nil"/>
            </w:tcBorders>
            <w:shd w:val="clear" w:color="auto" w:fill="auto"/>
            <w:noWrap/>
            <w:vAlign w:val="bottom"/>
            <w:hideMark/>
          </w:tcPr>
          <w:p w14:paraId="0F6B5304" w14:textId="77777777" w:rsidR="008F16FC" w:rsidRPr="008F16FC" w:rsidRDefault="008F16FC" w:rsidP="008F16FC">
            <w:pPr>
              <w:jc w:val="right"/>
              <w:rPr>
                <w:color w:val="000000"/>
                <w:sz w:val="20"/>
                <w:szCs w:val="20"/>
              </w:rPr>
            </w:pPr>
            <w:r w:rsidRPr="008F16FC">
              <w:rPr>
                <w:color w:val="000000"/>
                <w:sz w:val="20"/>
                <w:szCs w:val="20"/>
              </w:rPr>
              <w:t xml:space="preserve">16.031 </w:t>
            </w:r>
          </w:p>
        </w:tc>
      </w:tr>
      <w:tr w:rsidR="008F16FC" w:rsidRPr="008F16FC" w14:paraId="5AF85D9E" w14:textId="77777777" w:rsidTr="00BA304B">
        <w:trPr>
          <w:trHeight w:val="255"/>
        </w:trPr>
        <w:tc>
          <w:tcPr>
            <w:tcW w:w="503" w:type="dxa"/>
            <w:tcBorders>
              <w:top w:val="nil"/>
              <w:left w:val="nil"/>
              <w:bottom w:val="nil"/>
              <w:right w:val="nil"/>
            </w:tcBorders>
            <w:shd w:val="clear" w:color="auto" w:fill="auto"/>
            <w:noWrap/>
            <w:vAlign w:val="bottom"/>
            <w:hideMark/>
          </w:tcPr>
          <w:p w14:paraId="2BDE2E63"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05A64C42"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57C82D9B" w14:textId="77777777" w:rsidR="008F16FC" w:rsidRPr="008F16FC" w:rsidRDefault="008F16FC" w:rsidP="008F16FC">
            <w:pPr>
              <w:rPr>
                <w:color w:val="000000"/>
                <w:sz w:val="20"/>
                <w:szCs w:val="20"/>
              </w:rPr>
            </w:pPr>
          </w:p>
        </w:tc>
        <w:tc>
          <w:tcPr>
            <w:tcW w:w="3237" w:type="dxa"/>
            <w:tcBorders>
              <w:top w:val="nil"/>
              <w:left w:val="nil"/>
              <w:bottom w:val="nil"/>
              <w:right w:val="nil"/>
            </w:tcBorders>
            <w:shd w:val="clear" w:color="auto" w:fill="auto"/>
            <w:noWrap/>
            <w:vAlign w:val="bottom"/>
            <w:hideMark/>
          </w:tcPr>
          <w:p w14:paraId="358A84E7" w14:textId="77777777" w:rsidR="008F16FC" w:rsidRPr="008F16FC" w:rsidRDefault="008F16FC" w:rsidP="008F16FC">
            <w:pPr>
              <w:rPr>
                <w:color w:val="000000"/>
                <w:sz w:val="20"/>
                <w:szCs w:val="20"/>
              </w:rPr>
            </w:pPr>
          </w:p>
        </w:tc>
        <w:tc>
          <w:tcPr>
            <w:tcW w:w="2080" w:type="dxa"/>
            <w:tcBorders>
              <w:top w:val="nil"/>
              <w:left w:val="nil"/>
              <w:bottom w:val="nil"/>
              <w:right w:val="nil"/>
            </w:tcBorders>
            <w:shd w:val="clear" w:color="auto" w:fill="auto"/>
            <w:noWrap/>
            <w:vAlign w:val="bottom"/>
            <w:hideMark/>
          </w:tcPr>
          <w:p w14:paraId="1E19537C" w14:textId="77777777" w:rsidR="008F16FC" w:rsidRPr="008F16FC" w:rsidRDefault="008F16FC" w:rsidP="008F16FC">
            <w:pPr>
              <w:rPr>
                <w:color w:val="000000"/>
                <w:sz w:val="20"/>
                <w:szCs w:val="20"/>
              </w:rPr>
            </w:pPr>
          </w:p>
        </w:tc>
        <w:tc>
          <w:tcPr>
            <w:tcW w:w="1540" w:type="dxa"/>
            <w:tcBorders>
              <w:top w:val="nil"/>
              <w:left w:val="nil"/>
              <w:bottom w:val="nil"/>
              <w:right w:val="nil"/>
            </w:tcBorders>
            <w:shd w:val="clear" w:color="auto" w:fill="auto"/>
            <w:noWrap/>
            <w:vAlign w:val="bottom"/>
            <w:hideMark/>
          </w:tcPr>
          <w:p w14:paraId="4CA46D0D" w14:textId="77777777" w:rsidR="008F16FC" w:rsidRPr="008F16FC" w:rsidRDefault="008F16FC" w:rsidP="008F16FC">
            <w:pPr>
              <w:rPr>
                <w:color w:val="000000"/>
                <w:sz w:val="20"/>
                <w:szCs w:val="20"/>
              </w:rPr>
            </w:pPr>
          </w:p>
        </w:tc>
      </w:tr>
      <w:tr w:rsidR="008F16FC" w:rsidRPr="008F16FC" w14:paraId="6DD262EF" w14:textId="77777777" w:rsidTr="00BA304B">
        <w:trPr>
          <w:trHeight w:val="255"/>
        </w:trPr>
        <w:tc>
          <w:tcPr>
            <w:tcW w:w="1006" w:type="dxa"/>
            <w:gridSpan w:val="2"/>
            <w:tcBorders>
              <w:top w:val="nil"/>
              <w:left w:val="nil"/>
              <w:bottom w:val="nil"/>
              <w:right w:val="nil"/>
            </w:tcBorders>
            <w:shd w:val="clear" w:color="auto" w:fill="auto"/>
            <w:noWrap/>
            <w:vAlign w:val="bottom"/>
            <w:hideMark/>
          </w:tcPr>
          <w:p w14:paraId="052C64B2" w14:textId="77777777" w:rsidR="008F16FC" w:rsidRPr="008F16FC" w:rsidRDefault="008F16FC" w:rsidP="008F16FC">
            <w:pPr>
              <w:rPr>
                <w:b/>
                <w:bCs/>
                <w:color w:val="000000"/>
                <w:sz w:val="20"/>
                <w:szCs w:val="20"/>
              </w:rPr>
            </w:pPr>
            <w:r w:rsidRPr="008F16FC">
              <w:rPr>
                <w:b/>
                <w:bCs/>
                <w:color w:val="000000"/>
                <w:sz w:val="20"/>
                <w:szCs w:val="20"/>
              </w:rPr>
              <w:t>Total</w:t>
            </w:r>
          </w:p>
        </w:tc>
        <w:tc>
          <w:tcPr>
            <w:tcW w:w="503" w:type="dxa"/>
            <w:tcBorders>
              <w:top w:val="nil"/>
              <w:left w:val="nil"/>
              <w:bottom w:val="nil"/>
              <w:right w:val="nil"/>
            </w:tcBorders>
            <w:shd w:val="clear" w:color="auto" w:fill="auto"/>
            <w:noWrap/>
            <w:vAlign w:val="bottom"/>
            <w:hideMark/>
          </w:tcPr>
          <w:p w14:paraId="131FC287" w14:textId="77777777" w:rsidR="008F16FC" w:rsidRPr="008F16FC" w:rsidRDefault="008F16FC" w:rsidP="008F16FC">
            <w:pPr>
              <w:rPr>
                <w:b/>
                <w:bCs/>
                <w:color w:val="000000"/>
                <w:sz w:val="20"/>
                <w:szCs w:val="20"/>
              </w:rPr>
            </w:pPr>
          </w:p>
        </w:tc>
        <w:tc>
          <w:tcPr>
            <w:tcW w:w="3237" w:type="dxa"/>
            <w:tcBorders>
              <w:top w:val="nil"/>
              <w:left w:val="nil"/>
              <w:bottom w:val="nil"/>
              <w:right w:val="nil"/>
            </w:tcBorders>
            <w:shd w:val="clear" w:color="auto" w:fill="auto"/>
            <w:noWrap/>
            <w:vAlign w:val="bottom"/>
            <w:hideMark/>
          </w:tcPr>
          <w:p w14:paraId="447681EB" w14:textId="77777777" w:rsidR="008F16FC" w:rsidRPr="008F16FC" w:rsidRDefault="008F16FC" w:rsidP="008F16FC">
            <w:pPr>
              <w:rPr>
                <w:b/>
                <w:bCs/>
                <w:color w:val="000000"/>
                <w:sz w:val="20"/>
                <w:szCs w:val="20"/>
              </w:rPr>
            </w:pPr>
          </w:p>
        </w:tc>
        <w:tc>
          <w:tcPr>
            <w:tcW w:w="2080" w:type="dxa"/>
            <w:tcBorders>
              <w:top w:val="nil"/>
              <w:left w:val="nil"/>
              <w:bottom w:val="nil"/>
              <w:right w:val="nil"/>
            </w:tcBorders>
            <w:shd w:val="clear" w:color="auto" w:fill="auto"/>
            <w:noWrap/>
            <w:vAlign w:val="bottom"/>
            <w:hideMark/>
          </w:tcPr>
          <w:p w14:paraId="1162FC26" w14:textId="77777777" w:rsidR="008F16FC" w:rsidRPr="008F16FC" w:rsidRDefault="008F16FC" w:rsidP="008F16FC">
            <w:pPr>
              <w:jc w:val="right"/>
              <w:rPr>
                <w:b/>
                <w:bCs/>
                <w:color w:val="000000"/>
                <w:sz w:val="20"/>
                <w:szCs w:val="20"/>
              </w:rPr>
            </w:pPr>
            <w:r w:rsidRPr="008F16FC">
              <w:rPr>
                <w:b/>
                <w:bCs/>
                <w:color w:val="000000"/>
                <w:sz w:val="20"/>
                <w:szCs w:val="20"/>
              </w:rPr>
              <w:t xml:space="preserve">2.514.905 </w:t>
            </w:r>
          </w:p>
        </w:tc>
        <w:tc>
          <w:tcPr>
            <w:tcW w:w="1540" w:type="dxa"/>
            <w:tcBorders>
              <w:top w:val="nil"/>
              <w:left w:val="nil"/>
              <w:bottom w:val="nil"/>
              <w:right w:val="nil"/>
            </w:tcBorders>
            <w:shd w:val="clear" w:color="auto" w:fill="auto"/>
            <w:noWrap/>
            <w:vAlign w:val="bottom"/>
            <w:hideMark/>
          </w:tcPr>
          <w:p w14:paraId="1D70073D" w14:textId="77777777" w:rsidR="008F16FC" w:rsidRPr="008F16FC" w:rsidRDefault="008F16FC" w:rsidP="008F16FC">
            <w:pPr>
              <w:jc w:val="right"/>
              <w:rPr>
                <w:b/>
                <w:bCs/>
                <w:color w:val="000000"/>
                <w:sz w:val="20"/>
                <w:szCs w:val="20"/>
              </w:rPr>
            </w:pPr>
            <w:r w:rsidRPr="008F16FC">
              <w:rPr>
                <w:b/>
                <w:bCs/>
                <w:color w:val="000000"/>
                <w:sz w:val="20"/>
                <w:szCs w:val="20"/>
              </w:rPr>
              <w:t xml:space="preserve">2.452.808 </w:t>
            </w:r>
          </w:p>
        </w:tc>
      </w:tr>
    </w:tbl>
    <w:p w14:paraId="3B2A585F" w14:textId="77777777" w:rsidR="008F16FC" w:rsidRPr="008F16FC" w:rsidRDefault="008F16FC" w:rsidP="008F16FC">
      <w:pPr>
        <w:rPr>
          <w:rFonts w:eastAsia="Calibri"/>
          <w:sz w:val="20"/>
          <w:szCs w:val="20"/>
          <w:lang w:val="es-MX"/>
        </w:rPr>
      </w:pPr>
    </w:p>
    <w:p w14:paraId="55E88156" w14:textId="38A7CD23" w:rsidR="008F16FC" w:rsidRPr="008F16FC" w:rsidRDefault="008F16FC" w:rsidP="008F16FC">
      <w:pPr>
        <w:widowControl w:val="0"/>
        <w:jc w:val="both"/>
        <w:rPr>
          <w:rFonts w:eastAsia="Calibri"/>
          <w:sz w:val="20"/>
          <w:szCs w:val="20"/>
          <w:lang w:val="es-MX"/>
        </w:rPr>
      </w:pPr>
      <w:r w:rsidRPr="008F16FC">
        <w:rPr>
          <w:rFonts w:eastAsia="Calibri"/>
          <w:sz w:val="20"/>
          <w:szCs w:val="20"/>
          <w:lang w:val="es-ES"/>
        </w:rPr>
        <w:t>A continuación, se detalla el Estado de Cambios en el Patrimonio de la Emisora al 30 de junio de 2017 (</w:t>
      </w:r>
      <w:r w:rsidRPr="008F16FC">
        <w:rPr>
          <w:rFonts w:eastAsia="Calibri"/>
          <w:sz w:val="20"/>
          <w:szCs w:val="20"/>
          <w:lang w:val="es-MX"/>
        </w:rPr>
        <w:t>expresado en miles de Pesos).</w:t>
      </w:r>
    </w:p>
    <w:p w14:paraId="53B69C07" w14:textId="77777777" w:rsidR="008F16FC" w:rsidRPr="008F16FC" w:rsidRDefault="008F16FC" w:rsidP="008F16FC">
      <w:pPr>
        <w:widowControl w:val="0"/>
        <w:jc w:val="both"/>
        <w:rPr>
          <w:rFonts w:eastAsia="Calibri"/>
          <w:sz w:val="20"/>
          <w:szCs w:val="20"/>
          <w:lang w:val="es-MX"/>
        </w:rPr>
      </w:pPr>
    </w:p>
    <w:tbl>
      <w:tblPr>
        <w:tblW w:w="4660" w:type="dxa"/>
        <w:tblInd w:w="55" w:type="dxa"/>
        <w:tblCellMar>
          <w:left w:w="70" w:type="dxa"/>
          <w:right w:w="70" w:type="dxa"/>
        </w:tblCellMar>
        <w:tblLook w:val="04A0" w:firstRow="1" w:lastRow="0" w:firstColumn="1" w:lastColumn="0" w:noHBand="0" w:noVBand="1"/>
      </w:tblPr>
      <w:tblGrid>
        <w:gridCol w:w="3460"/>
        <w:gridCol w:w="1200"/>
      </w:tblGrid>
      <w:tr w:rsidR="008F16FC" w:rsidRPr="008F16FC" w14:paraId="722DCB48" w14:textId="77777777" w:rsidTr="00BA304B">
        <w:trPr>
          <w:trHeight w:val="300"/>
        </w:trPr>
        <w:tc>
          <w:tcPr>
            <w:tcW w:w="3460" w:type="dxa"/>
            <w:tcBorders>
              <w:top w:val="nil"/>
              <w:left w:val="nil"/>
              <w:bottom w:val="nil"/>
              <w:right w:val="nil"/>
            </w:tcBorders>
            <w:shd w:val="clear" w:color="auto" w:fill="auto"/>
            <w:noWrap/>
            <w:vAlign w:val="bottom"/>
            <w:hideMark/>
          </w:tcPr>
          <w:p w14:paraId="1F8CA5F1" w14:textId="77777777" w:rsidR="008F16FC" w:rsidRPr="008F16FC" w:rsidRDefault="008F16FC" w:rsidP="008F16FC">
            <w:pPr>
              <w:rPr>
                <w:color w:val="000000"/>
                <w:sz w:val="20"/>
                <w:szCs w:val="20"/>
                <w:lang w:val="es-ES"/>
              </w:rPr>
            </w:pPr>
          </w:p>
        </w:tc>
        <w:tc>
          <w:tcPr>
            <w:tcW w:w="1200" w:type="dxa"/>
            <w:tcBorders>
              <w:top w:val="nil"/>
              <w:left w:val="nil"/>
              <w:bottom w:val="nil"/>
              <w:right w:val="nil"/>
            </w:tcBorders>
            <w:shd w:val="clear" w:color="auto" w:fill="auto"/>
            <w:noWrap/>
            <w:vAlign w:val="bottom"/>
            <w:hideMark/>
          </w:tcPr>
          <w:p w14:paraId="71C6C984" w14:textId="77777777" w:rsidR="008F16FC" w:rsidRPr="008F16FC" w:rsidRDefault="008F16FC" w:rsidP="008F16FC">
            <w:pPr>
              <w:jc w:val="right"/>
              <w:rPr>
                <w:b/>
                <w:bCs/>
                <w:color w:val="000000"/>
                <w:sz w:val="20"/>
                <w:szCs w:val="20"/>
              </w:rPr>
            </w:pPr>
            <w:r w:rsidRPr="008F16FC">
              <w:rPr>
                <w:b/>
                <w:bCs/>
                <w:color w:val="000000"/>
                <w:sz w:val="20"/>
                <w:szCs w:val="20"/>
              </w:rPr>
              <w:t>30/06/2017</w:t>
            </w:r>
          </w:p>
        </w:tc>
      </w:tr>
      <w:tr w:rsidR="008F16FC" w:rsidRPr="008F16FC" w14:paraId="5B6D5BF6" w14:textId="77777777" w:rsidTr="00BA304B">
        <w:trPr>
          <w:trHeight w:val="300"/>
        </w:trPr>
        <w:tc>
          <w:tcPr>
            <w:tcW w:w="3460" w:type="dxa"/>
            <w:tcBorders>
              <w:top w:val="nil"/>
              <w:left w:val="nil"/>
              <w:bottom w:val="nil"/>
              <w:right w:val="nil"/>
            </w:tcBorders>
            <w:shd w:val="clear" w:color="auto" w:fill="auto"/>
            <w:noWrap/>
            <w:vAlign w:val="bottom"/>
            <w:hideMark/>
          </w:tcPr>
          <w:p w14:paraId="61DC6C96" w14:textId="77777777" w:rsidR="008F16FC" w:rsidRPr="008F16FC" w:rsidRDefault="008F16FC" w:rsidP="008F16FC">
            <w:pPr>
              <w:rPr>
                <w:color w:val="000000"/>
                <w:sz w:val="20"/>
                <w:szCs w:val="20"/>
              </w:rPr>
            </w:pPr>
            <w:r w:rsidRPr="008F16FC">
              <w:rPr>
                <w:color w:val="000000"/>
                <w:sz w:val="20"/>
                <w:szCs w:val="20"/>
              </w:rPr>
              <w:t>Acciones</w:t>
            </w:r>
          </w:p>
        </w:tc>
        <w:tc>
          <w:tcPr>
            <w:tcW w:w="1200" w:type="dxa"/>
            <w:tcBorders>
              <w:top w:val="nil"/>
              <w:left w:val="nil"/>
              <w:bottom w:val="nil"/>
              <w:right w:val="nil"/>
            </w:tcBorders>
            <w:shd w:val="clear" w:color="auto" w:fill="auto"/>
            <w:noWrap/>
            <w:vAlign w:val="bottom"/>
            <w:hideMark/>
          </w:tcPr>
          <w:p w14:paraId="603E91D4" w14:textId="77777777" w:rsidR="008F16FC" w:rsidRPr="008F16FC" w:rsidRDefault="008F16FC" w:rsidP="008F16FC">
            <w:pPr>
              <w:jc w:val="right"/>
              <w:rPr>
                <w:color w:val="000000"/>
                <w:sz w:val="20"/>
                <w:szCs w:val="20"/>
              </w:rPr>
            </w:pPr>
            <w:r w:rsidRPr="008F16FC">
              <w:rPr>
                <w:color w:val="000000"/>
                <w:sz w:val="20"/>
                <w:szCs w:val="20"/>
              </w:rPr>
              <w:t xml:space="preserve">350.000 </w:t>
            </w:r>
          </w:p>
        </w:tc>
      </w:tr>
      <w:tr w:rsidR="008F16FC" w:rsidRPr="008F16FC" w14:paraId="112B2A7A" w14:textId="77777777" w:rsidTr="00BA304B">
        <w:trPr>
          <w:trHeight w:val="300"/>
        </w:trPr>
        <w:tc>
          <w:tcPr>
            <w:tcW w:w="3460" w:type="dxa"/>
            <w:tcBorders>
              <w:top w:val="nil"/>
              <w:left w:val="nil"/>
              <w:bottom w:val="nil"/>
              <w:right w:val="nil"/>
            </w:tcBorders>
            <w:shd w:val="clear" w:color="auto" w:fill="auto"/>
            <w:noWrap/>
            <w:vAlign w:val="bottom"/>
            <w:hideMark/>
          </w:tcPr>
          <w:p w14:paraId="0D6DE66E" w14:textId="77777777" w:rsidR="008F16FC" w:rsidRPr="008F16FC" w:rsidRDefault="008F16FC" w:rsidP="008F16FC">
            <w:pPr>
              <w:rPr>
                <w:color w:val="000000"/>
                <w:sz w:val="20"/>
                <w:szCs w:val="20"/>
                <w:lang w:val="es-ES"/>
              </w:rPr>
            </w:pPr>
            <w:r w:rsidRPr="008F16FC">
              <w:rPr>
                <w:color w:val="000000"/>
                <w:sz w:val="20"/>
                <w:szCs w:val="20"/>
                <w:lang w:val="es-ES"/>
              </w:rPr>
              <w:t>Saldo por diferencias de conversión</w:t>
            </w:r>
          </w:p>
        </w:tc>
        <w:tc>
          <w:tcPr>
            <w:tcW w:w="1200" w:type="dxa"/>
            <w:tcBorders>
              <w:top w:val="nil"/>
              <w:left w:val="nil"/>
              <w:bottom w:val="nil"/>
              <w:right w:val="nil"/>
            </w:tcBorders>
            <w:shd w:val="clear" w:color="auto" w:fill="auto"/>
            <w:noWrap/>
            <w:vAlign w:val="bottom"/>
            <w:hideMark/>
          </w:tcPr>
          <w:p w14:paraId="4C2DB951" w14:textId="77777777" w:rsidR="008F16FC" w:rsidRPr="008F16FC" w:rsidRDefault="008F16FC" w:rsidP="008F16FC">
            <w:pPr>
              <w:jc w:val="right"/>
              <w:rPr>
                <w:color w:val="000000"/>
                <w:sz w:val="20"/>
                <w:szCs w:val="20"/>
              </w:rPr>
            </w:pPr>
            <w:r w:rsidRPr="008F16FC">
              <w:rPr>
                <w:color w:val="000000"/>
                <w:sz w:val="20"/>
                <w:szCs w:val="20"/>
              </w:rPr>
              <w:t xml:space="preserve">6.761 </w:t>
            </w:r>
          </w:p>
        </w:tc>
      </w:tr>
      <w:tr w:rsidR="008F16FC" w:rsidRPr="008F16FC" w14:paraId="3255C1D7" w14:textId="77777777" w:rsidTr="00BA304B">
        <w:trPr>
          <w:trHeight w:val="300"/>
        </w:trPr>
        <w:tc>
          <w:tcPr>
            <w:tcW w:w="3460" w:type="dxa"/>
            <w:tcBorders>
              <w:top w:val="nil"/>
              <w:left w:val="nil"/>
              <w:bottom w:val="nil"/>
              <w:right w:val="nil"/>
            </w:tcBorders>
            <w:shd w:val="clear" w:color="auto" w:fill="auto"/>
            <w:noWrap/>
            <w:vAlign w:val="bottom"/>
            <w:hideMark/>
          </w:tcPr>
          <w:p w14:paraId="400939D3" w14:textId="77777777" w:rsidR="008F16FC" w:rsidRPr="008F16FC" w:rsidRDefault="008F16FC" w:rsidP="008F16FC">
            <w:pPr>
              <w:rPr>
                <w:color w:val="000000"/>
                <w:sz w:val="20"/>
                <w:szCs w:val="20"/>
              </w:rPr>
            </w:pPr>
            <w:r w:rsidRPr="008F16FC">
              <w:rPr>
                <w:color w:val="000000"/>
                <w:sz w:val="20"/>
                <w:szCs w:val="20"/>
              </w:rPr>
              <w:t>Superávit de revaluación</w:t>
            </w:r>
          </w:p>
        </w:tc>
        <w:tc>
          <w:tcPr>
            <w:tcW w:w="1200" w:type="dxa"/>
            <w:tcBorders>
              <w:top w:val="nil"/>
              <w:left w:val="nil"/>
              <w:bottom w:val="nil"/>
              <w:right w:val="nil"/>
            </w:tcBorders>
            <w:shd w:val="clear" w:color="auto" w:fill="auto"/>
            <w:noWrap/>
            <w:vAlign w:val="bottom"/>
            <w:hideMark/>
          </w:tcPr>
          <w:p w14:paraId="3CFC33A3" w14:textId="77777777" w:rsidR="008F16FC" w:rsidRPr="008F16FC" w:rsidRDefault="008F16FC" w:rsidP="008F16FC">
            <w:pPr>
              <w:jc w:val="right"/>
              <w:rPr>
                <w:color w:val="000000"/>
                <w:sz w:val="20"/>
                <w:szCs w:val="20"/>
              </w:rPr>
            </w:pPr>
            <w:r w:rsidRPr="008F16FC">
              <w:rPr>
                <w:color w:val="000000"/>
                <w:sz w:val="20"/>
                <w:szCs w:val="20"/>
              </w:rPr>
              <w:t xml:space="preserve">286.951 </w:t>
            </w:r>
          </w:p>
        </w:tc>
      </w:tr>
      <w:tr w:rsidR="008F16FC" w:rsidRPr="008F16FC" w14:paraId="3EC820D3" w14:textId="77777777" w:rsidTr="00BA304B">
        <w:trPr>
          <w:trHeight w:val="300"/>
        </w:trPr>
        <w:tc>
          <w:tcPr>
            <w:tcW w:w="3460" w:type="dxa"/>
            <w:tcBorders>
              <w:top w:val="nil"/>
              <w:left w:val="nil"/>
              <w:bottom w:val="nil"/>
              <w:right w:val="nil"/>
            </w:tcBorders>
            <w:shd w:val="clear" w:color="auto" w:fill="auto"/>
            <w:noWrap/>
            <w:vAlign w:val="bottom"/>
            <w:hideMark/>
          </w:tcPr>
          <w:p w14:paraId="1EFA35D7" w14:textId="77777777" w:rsidR="008F16FC" w:rsidRPr="008F16FC" w:rsidRDefault="008F16FC" w:rsidP="008F16FC">
            <w:pPr>
              <w:rPr>
                <w:color w:val="000000"/>
                <w:sz w:val="20"/>
                <w:szCs w:val="20"/>
              </w:rPr>
            </w:pPr>
            <w:r w:rsidRPr="008F16FC">
              <w:rPr>
                <w:color w:val="000000"/>
                <w:sz w:val="20"/>
                <w:szCs w:val="20"/>
              </w:rPr>
              <w:t>Reserva legal</w:t>
            </w:r>
          </w:p>
        </w:tc>
        <w:tc>
          <w:tcPr>
            <w:tcW w:w="1200" w:type="dxa"/>
            <w:tcBorders>
              <w:top w:val="nil"/>
              <w:left w:val="nil"/>
              <w:bottom w:val="nil"/>
              <w:right w:val="nil"/>
            </w:tcBorders>
            <w:shd w:val="clear" w:color="auto" w:fill="auto"/>
            <w:noWrap/>
            <w:vAlign w:val="bottom"/>
            <w:hideMark/>
          </w:tcPr>
          <w:p w14:paraId="7FF03FAF" w14:textId="77777777" w:rsidR="008F16FC" w:rsidRPr="008F16FC" w:rsidRDefault="008F16FC" w:rsidP="008F16FC">
            <w:pPr>
              <w:jc w:val="right"/>
              <w:rPr>
                <w:color w:val="000000"/>
                <w:sz w:val="20"/>
                <w:szCs w:val="20"/>
              </w:rPr>
            </w:pPr>
            <w:r w:rsidRPr="008F16FC">
              <w:rPr>
                <w:color w:val="000000"/>
                <w:sz w:val="20"/>
                <w:szCs w:val="20"/>
              </w:rPr>
              <w:t xml:space="preserve">13.015 </w:t>
            </w:r>
          </w:p>
        </w:tc>
      </w:tr>
      <w:tr w:rsidR="008F16FC" w:rsidRPr="008F16FC" w14:paraId="12F59854" w14:textId="77777777" w:rsidTr="00BA304B">
        <w:trPr>
          <w:trHeight w:val="300"/>
        </w:trPr>
        <w:tc>
          <w:tcPr>
            <w:tcW w:w="3460" w:type="dxa"/>
            <w:tcBorders>
              <w:top w:val="nil"/>
              <w:left w:val="nil"/>
              <w:bottom w:val="nil"/>
              <w:right w:val="nil"/>
            </w:tcBorders>
            <w:shd w:val="clear" w:color="auto" w:fill="auto"/>
            <w:noWrap/>
            <w:vAlign w:val="bottom"/>
            <w:hideMark/>
          </w:tcPr>
          <w:p w14:paraId="1EA0090F" w14:textId="77777777" w:rsidR="008F16FC" w:rsidRPr="008F16FC" w:rsidRDefault="008F16FC" w:rsidP="008F16FC">
            <w:pPr>
              <w:rPr>
                <w:color w:val="000000"/>
                <w:sz w:val="20"/>
                <w:szCs w:val="20"/>
              </w:rPr>
            </w:pPr>
            <w:r w:rsidRPr="008F16FC">
              <w:rPr>
                <w:color w:val="000000"/>
                <w:sz w:val="20"/>
                <w:szCs w:val="20"/>
              </w:rPr>
              <w:t>Otras reservas</w:t>
            </w:r>
          </w:p>
        </w:tc>
        <w:tc>
          <w:tcPr>
            <w:tcW w:w="1200" w:type="dxa"/>
            <w:tcBorders>
              <w:top w:val="nil"/>
              <w:left w:val="nil"/>
              <w:bottom w:val="nil"/>
              <w:right w:val="nil"/>
            </w:tcBorders>
            <w:shd w:val="clear" w:color="auto" w:fill="auto"/>
            <w:noWrap/>
            <w:vAlign w:val="bottom"/>
            <w:hideMark/>
          </w:tcPr>
          <w:p w14:paraId="7C884615" w14:textId="77777777" w:rsidR="008F16FC" w:rsidRPr="008F16FC" w:rsidRDefault="008F16FC" w:rsidP="008F16FC">
            <w:pPr>
              <w:jc w:val="right"/>
              <w:rPr>
                <w:color w:val="000000"/>
                <w:sz w:val="20"/>
                <w:szCs w:val="20"/>
              </w:rPr>
            </w:pPr>
            <w:r w:rsidRPr="008F16FC">
              <w:rPr>
                <w:color w:val="000000"/>
                <w:sz w:val="20"/>
                <w:szCs w:val="20"/>
              </w:rPr>
              <w:t xml:space="preserve">154.606 </w:t>
            </w:r>
          </w:p>
        </w:tc>
      </w:tr>
      <w:tr w:rsidR="008F16FC" w:rsidRPr="008F16FC" w14:paraId="192FBCF8" w14:textId="77777777" w:rsidTr="00BA304B">
        <w:trPr>
          <w:trHeight w:val="300"/>
        </w:trPr>
        <w:tc>
          <w:tcPr>
            <w:tcW w:w="3460" w:type="dxa"/>
            <w:tcBorders>
              <w:top w:val="nil"/>
              <w:left w:val="nil"/>
              <w:bottom w:val="nil"/>
              <w:right w:val="nil"/>
            </w:tcBorders>
            <w:shd w:val="clear" w:color="auto" w:fill="auto"/>
            <w:noWrap/>
            <w:vAlign w:val="bottom"/>
            <w:hideMark/>
          </w:tcPr>
          <w:p w14:paraId="72E19C5D" w14:textId="77777777" w:rsidR="008F16FC" w:rsidRPr="008F16FC" w:rsidRDefault="008F16FC" w:rsidP="008F16FC">
            <w:pPr>
              <w:rPr>
                <w:color w:val="000000"/>
                <w:sz w:val="20"/>
                <w:szCs w:val="20"/>
              </w:rPr>
            </w:pPr>
            <w:r w:rsidRPr="008F16FC">
              <w:rPr>
                <w:color w:val="000000"/>
                <w:sz w:val="20"/>
                <w:szCs w:val="20"/>
              </w:rPr>
              <w:t>Reserva Especial CNV Res.609/12</w:t>
            </w:r>
          </w:p>
        </w:tc>
        <w:tc>
          <w:tcPr>
            <w:tcW w:w="1200" w:type="dxa"/>
            <w:tcBorders>
              <w:top w:val="nil"/>
              <w:left w:val="nil"/>
              <w:bottom w:val="nil"/>
              <w:right w:val="nil"/>
            </w:tcBorders>
            <w:shd w:val="clear" w:color="auto" w:fill="auto"/>
            <w:noWrap/>
            <w:vAlign w:val="bottom"/>
            <w:hideMark/>
          </w:tcPr>
          <w:p w14:paraId="5438916C" w14:textId="77777777" w:rsidR="008F16FC" w:rsidRPr="008F16FC" w:rsidRDefault="008F16FC" w:rsidP="008F16FC">
            <w:pPr>
              <w:jc w:val="right"/>
              <w:rPr>
                <w:color w:val="000000"/>
                <w:sz w:val="20"/>
                <w:szCs w:val="20"/>
              </w:rPr>
            </w:pPr>
            <w:r w:rsidRPr="008F16FC">
              <w:rPr>
                <w:color w:val="000000"/>
                <w:sz w:val="20"/>
                <w:szCs w:val="20"/>
              </w:rPr>
              <w:t xml:space="preserve">117.124 </w:t>
            </w:r>
          </w:p>
        </w:tc>
      </w:tr>
      <w:tr w:rsidR="008F16FC" w:rsidRPr="008F16FC" w14:paraId="3F7074A0" w14:textId="77777777" w:rsidTr="00BA304B">
        <w:trPr>
          <w:trHeight w:val="300"/>
        </w:trPr>
        <w:tc>
          <w:tcPr>
            <w:tcW w:w="3460" w:type="dxa"/>
            <w:tcBorders>
              <w:top w:val="nil"/>
              <w:left w:val="nil"/>
              <w:bottom w:val="nil"/>
              <w:right w:val="nil"/>
            </w:tcBorders>
            <w:shd w:val="clear" w:color="auto" w:fill="auto"/>
            <w:noWrap/>
            <w:vAlign w:val="bottom"/>
            <w:hideMark/>
          </w:tcPr>
          <w:p w14:paraId="57713CAD" w14:textId="77777777" w:rsidR="008F16FC" w:rsidRPr="008F16FC" w:rsidRDefault="008F16FC" w:rsidP="008F16FC">
            <w:pPr>
              <w:rPr>
                <w:color w:val="000000"/>
                <w:sz w:val="20"/>
                <w:szCs w:val="20"/>
              </w:rPr>
            </w:pPr>
            <w:r w:rsidRPr="008F16FC">
              <w:rPr>
                <w:color w:val="000000"/>
                <w:sz w:val="20"/>
                <w:szCs w:val="20"/>
              </w:rPr>
              <w:t>Resultados no asignados</w:t>
            </w:r>
          </w:p>
        </w:tc>
        <w:tc>
          <w:tcPr>
            <w:tcW w:w="1200" w:type="dxa"/>
            <w:tcBorders>
              <w:top w:val="nil"/>
              <w:left w:val="nil"/>
              <w:bottom w:val="nil"/>
              <w:right w:val="nil"/>
            </w:tcBorders>
            <w:shd w:val="clear" w:color="auto" w:fill="auto"/>
            <w:noWrap/>
            <w:vAlign w:val="bottom"/>
            <w:hideMark/>
          </w:tcPr>
          <w:p w14:paraId="2E3196BC" w14:textId="77777777" w:rsidR="008F16FC" w:rsidRPr="008F16FC" w:rsidRDefault="008F16FC" w:rsidP="008F16FC">
            <w:pPr>
              <w:jc w:val="right"/>
              <w:rPr>
                <w:color w:val="000000"/>
                <w:sz w:val="20"/>
                <w:szCs w:val="20"/>
              </w:rPr>
            </w:pPr>
            <w:r w:rsidRPr="008F16FC">
              <w:rPr>
                <w:color w:val="000000"/>
                <w:sz w:val="20"/>
                <w:szCs w:val="20"/>
              </w:rPr>
              <w:t xml:space="preserve">23.251 </w:t>
            </w:r>
          </w:p>
        </w:tc>
      </w:tr>
      <w:tr w:rsidR="008F16FC" w:rsidRPr="008F16FC" w14:paraId="5CBF4E4F" w14:textId="77777777" w:rsidTr="00BA304B">
        <w:trPr>
          <w:trHeight w:val="300"/>
        </w:trPr>
        <w:tc>
          <w:tcPr>
            <w:tcW w:w="3460" w:type="dxa"/>
            <w:tcBorders>
              <w:top w:val="nil"/>
              <w:left w:val="nil"/>
              <w:bottom w:val="nil"/>
              <w:right w:val="nil"/>
            </w:tcBorders>
            <w:shd w:val="clear" w:color="auto" w:fill="auto"/>
            <w:noWrap/>
            <w:vAlign w:val="bottom"/>
            <w:hideMark/>
          </w:tcPr>
          <w:p w14:paraId="5836FF28" w14:textId="77777777" w:rsidR="008F16FC" w:rsidRPr="008F16FC" w:rsidRDefault="008F16FC" w:rsidP="008F16FC">
            <w:pPr>
              <w:rPr>
                <w:b/>
                <w:color w:val="000000"/>
                <w:sz w:val="20"/>
                <w:szCs w:val="20"/>
              </w:rPr>
            </w:pPr>
            <w:r w:rsidRPr="008F16FC">
              <w:rPr>
                <w:b/>
                <w:color w:val="000000"/>
                <w:sz w:val="20"/>
                <w:szCs w:val="20"/>
              </w:rPr>
              <w:t>Total de la controladora</w:t>
            </w:r>
          </w:p>
        </w:tc>
        <w:tc>
          <w:tcPr>
            <w:tcW w:w="1200" w:type="dxa"/>
            <w:tcBorders>
              <w:top w:val="nil"/>
              <w:left w:val="nil"/>
              <w:bottom w:val="nil"/>
              <w:right w:val="nil"/>
            </w:tcBorders>
            <w:shd w:val="clear" w:color="auto" w:fill="auto"/>
            <w:noWrap/>
            <w:vAlign w:val="bottom"/>
            <w:hideMark/>
          </w:tcPr>
          <w:p w14:paraId="50E783FC" w14:textId="77777777" w:rsidR="008F16FC" w:rsidRPr="008F16FC" w:rsidRDefault="008F16FC" w:rsidP="008F16FC">
            <w:pPr>
              <w:jc w:val="right"/>
              <w:rPr>
                <w:b/>
                <w:color w:val="000000"/>
                <w:sz w:val="20"/>
                <w:szCs w:val="20"/>
              </w:rPr>
            </w:pPr>
            <w:r w:rsidRPr="008F16FC">
              <w:rPr>
                <w:b/>
                <w:color w:val="000000"/>
                <w:sz w:val="20"/>
                <w:szCs w:val="20"/>
              </w:rPr>
              <w:t xml:space="preserve">951.708 </w:t>
            </w:r>
          </w:p>
        </w:tc>
      </w:tr>
      <w:tr w:rsidR="008F16FC" w:rsidRPr="008F16FC" w14:paraId="4D93FFB1" w14:textId="77777777" w:rsidTr="00BA304B">
        <w:trPr>
          <w:trHeight w:val="300"/>
        </w:trPr>
        <w:tc>
          <w:tcPr>
            <w:tcW w:w="3460" w:type="dxa"/>
            <w:tcBorders>
              <w:top w:val="nil"/>
              <w:left w:val="nil"/>
              <w:bottom w:val="nil"/>
              <w:right w:val="nil"/>
            </w:tcBorders>
            <w:shd w:val="clear" w:color="auto" w:fill="auto"/>
            <w:noWrap/>
            <w:vAlign w:val="bottom"/>
            <w:hideMark/>
          </w:tcPr>
          <w:p w14:paraId="322C1EE4" w14:textId="77777777" w:rsidR="008F16FC" w:rsidRPr="00BA304B" w:rsidRDefault="008F16FC" w:rsidP="008F16FC">
            <w:pPr>
              <w:rPr>
                <w:color w:val="000000"/>
                <w:sz w:val="22"/>
              </w:rPr>
            </w:pPr>
            <w:r w:rsidRPr="00BA304B">
              <w:rPr>
                <w:color w:val="000000"/>
                <w:sz w:val="22"/>
              </w:rPr>
              <w:t>Participaciones no controladas</w:t>
            </w:r>
          </w:p>
        </w:tc>
        <w:tc>
          <w:tcPr>
            <w:tcW w:w="1200" w:type="dxa"/>
            <w:tcBorders>
              <w:top w:val="nil"/>
              <w:left w:val="nil"/>
              <w:bottom w:val="nil"/>
              <w:right w:val="nil"/>
            </w:tcBorders>
            <w:shd w:val="clear" w:color="auto" w:fill="auto"/>
            <w:noWrap/>
            <w:vAlign w:val="bottom"/>
            <w:hideMark/>
          </w:tcPr>
          <w:p w14:paraId="61A9E3C6" w14:textId="77777777" w:rsidR="008F16FC" w:rsidRPr="00BA304B" w:rsidRDefault="008F16FC" w:rsidP="008F16FC">
            <w:pPr>
              <w:jc w:val="right"/>
              <w:rPr>
                <w:color w:val="000000"/>
                <w:sz w:val="22"/>
              </w:rPr>
            </w:pPr>
            <w:r w:rsidRPr="00BA304B">
              <w:rPr>
                <w:color w:val="000000"/>
                <w:sz w:val="22"/>
              </w:rPr>
              <w:t xml:space="preserve">2.933 </w:t>
            </w:r>
          </w:p>
        </w:tc>
      </w:tr>
      <w:tr w:rsidR="008F16FC" w:rsidRPr="008F16FC" w14:paraId="0A8A4B5C" w14:textId="77777777" w:rsidTr="00BA304B">
        <w:trPr>
          <w:trHeight w:val="300"/>
        </w:trPr>
        <w:tc>
          <w:tcPr>
            <w:tcW w:w="3460" w:type="dxa"/>
            <w:tcBorders>
              <w:top w:val="nil"/>
              <w:left w:val="nil"/>
              <w:bottom w:val="nil"/>
              <w:right w:val="nil"/>
            </w:tcBorders>
            <w:shd w:val="clear" w:color="auto" w:fill="auto"/>
            <w:noWrap/>
            <w:vAlign w:val="bottom"/>
            <w:hideMark/>
          </w:tcPr>
          <w:p w14:paraId="41C4FE32" w14:textId="77777777" w:rsidR="008F16FC" w:rsidRPr="00BA304B" w:rsidRDefault="008F16FC" w:rsidP="008F16FC">
            <w:pPr>
              <w:rPr>
                <w:b/>
                <w:color w:val="000000"/>
                <w:sz w:val="22"/>
              </w:rPr>
            </w:pPr>
            <w:r w:rsidRPr="00BA304B">
              <w:rPr>
                <w:b/>
                <w:color w:val="000000"/>
                <w:sz w:val="22"/>
              </w:rPr>
              <w:t>Total</w:t>
            </w:r>
          </w:p>
        </w:tc>
        <w:tc>
          <w:tcPr>
            <w:tcW w:w="1200" w:type="dxa"/>
            <w:tcBorders>
              <w:top w:val="nil"/>
              <w:left w:val="nil"/>
              <w:bottom w:val="nil"/>
              <w:right w:val="nil"/>
            </w:tcBorders>
            <w:shd w:val="clear" w:color="auto" w:fill="auto"/>
            <w:noWrap/>
            <w:vAlign w:val="bottom"/>
            <w:hideMark/>
          </w:tcPr>
          <w:p w14:paraId="3D589649" w14:textId="77777777" w:rsidR="008F16FC" w:rsidRPr="00BA304B" w:rsidRDefault="008F16FC" w:rsidP="008F16FC">
            <w:pPr>
              <w:jc w:val="right"/>
              <w:rPr>
                <w:b/>
                <w:color w:val="000000"/>
                <w:sz w:val="22"/>
              </w:rPr>
            </w:pPr>
            <w:r w:rsidRPr="00BA304B">
              <w:rPr>
                <w:b/>
                <w:color w:val="000000"/>
                <w:sz w:val="22"/>
              </w:rPr>
              <w:t xml:space="preserve">954.641 </w:t>
            </w:r>
          </w:p>
        </w:tc>
      </w:tr>
    </w:tbl>
    <w:p w14:paraId="7679BDEB" w14:textId="77777777" w:rsidR="008F16FC" w:rsidRPr="008F16FC" w:rsidRDefault="008F16FC" w:rsidP="008F16FC">
      <w:pPr>
        <w:widowControl w:val="0"/>
        <w:jc w:val="both"/>
        <w:rPr>
          <w:rFonts w:eastAsia="Calibri"/>
          <w:sz w:val="20"/>
          <w:szCs w:val="20"/>
          <w:lang w:val="es-MX"/>
        </w:rPr>
      </w:pPr>
    </w:p>
    <w:p w14:paraId="3777D4BC" w14:textId="77777777" w:rsidR="008F16FC" w:rsidRPr="008F16FC" w:rsidRDefault="008F16FC" w:rsidP="008F16FC">
      <w:pPr>
        <w:jc w:val="both"/>
        <w:rPr>
          <w:rFonts w:eastAsia="Calibri"/>
          <w:sz w:val="20"/>
          <w:szCs w:val="20"/>
          <w:lang w:val="es-MX"/>
        </w:rPr>
      </w:pPr>
      <w:r w:rsidRPr="008F16FC">
        <w:rPr>
          <w:rFonts w:eastAsia="Calibri"/>
          <w:sz w:val="20"/>
          <w:szCs w:val="20"/>
          <w:lang w:val="es-MX"/>
        </w:rPr>
        <w:t>A continuación, se detallan los cambios en el estado del patrimonio al 30 de septiembre de 2019, en comparación con los cambios en el estado del patrimonio al 30 de junio de 2019 (expresados en moneda constante, en miles de Pesos)</w:t>
      </w:r>
    </w:p>
    <w:p w14:paraId="0B290D96" w14:textId="77777777" w:rsidR="008F16FC" w:rsidRPr="008F16FC" w:rsidRDefault="008F16FC" w:rsidP="008F16FC">
      <w:pPr>
        <w:jc w:val="both"/>
        <w:rPr>
          <w:rFonts w:eastAsia="Calibri"/>
          <w:sz w:val="20"/>
          <w:szCs w:val="20"/>
          <w:lang w:val="es-MX"/>
        </w:rPr>
      </w:pPr>
    </w:p>
    <w:tbl>
      <w:tblPr>
        <w:tblW w:w="12943" w:type="dxa"/>
        <w:tblInd w:w="55" w:type="dxa"/>
        <w:tblCellMar>
          <w:left w:w="70" w:type="dxa"/>
          <w:right w:w="70" w:type="dxa"/>
        </w:tblCellMar>
        <w:tblLook w:val="04A0" w:firstRow="1" w:lastRow="0" w:firstColumn="1" w:lastColumn="0" w:noHBand="0" w:noVBand="1"/>
      </w:tblPr>
      <w:tblGrid>
        <w:gridCol w:w="503"/>
        <w:gridCol w:w="503"/>
        <w:gridCol w:w="503"/>
        <w:gridCol w:w="3237"/>
        <w:gridCol w:w="2080"/>
        <w:gridCol w:w="1957"/>
        <w:gridCol w:w="2080"/>
        <w:gridCol w:w="2080"/>
      </w:tblGrid>
      <w:tr w:rsidR="008F16FC" w:rsidRPr="008F16FC" w14:paraId="1E588226" w14:textId="77777777" w:rsidTr="008F16FC">
        <w:trPr>
          <w:gridAfter w:val="2"/>
          <w:wAfter w:w="4160" w:type="dxa"/>
          <w:trHeight w:val="255"/>
        </w:trPr>
        <w:tc>
          <w:tcPr>
            <w:tcW w:w="503" w:type="dxa"/>
            <w:tcBorders>
              <w:top w:val="nil"/>
              <w:left w:val="nil"/>
              <w:bottom w:val="nil"/>
              <w:right w:val="nil"/>
            </w:tcBorders>
            <w:shd w:val="clear" w:color="auto" w:fill="auto"/>
            <w:noWrap/>
            <w:vAlign w:val="bottom"/>
            <w:hideMark/>
          </w:tcPr>
          <w:p w14:paraId="40FAEC70" w14:textId="77777777" w:rsidR="008F16FC" w:rsidRPr="008F16FC" w:rsidRDefault="008F16FC" w:rsidP="008F16FC">
            <w:pPr>
              <w:rPr>
                <w:color w:val="000000"/>
                <w:sz w:val="20"/>
                <w:szCs w:val="20"/>
                <w:lang w:val="es-ES"/>
              </w:rPr>
            </w:pPr>
          </w:p>
        </w:tc>
        <w:tc>
          <w:tcPr>
            <w:tcW w:w="503" w:type="dxa"/>
            <w:tcBorders>
              <w:top w:val="nil"/>
              <w:left w:val="nil"/>
              <w:bottom w:val="nil"/>
              <w:right w:val="nil"/>
            </w:tcBorders>
            <w:shd w:val="clear" w:color="auto" w:fill="auto"/>
            <w:noWrap/>
            <w:vAlign w:val="bottom"/>
            <w:hideMark/>
          </w:tcPr>
          <w:p w14:paraId="754D6052" w14:textId="77777777" w:rsidR="008F16FC" w:rsidRPr="008F16FC" w:rsidRDefault="008F16FC" w:rsidP="008F16FC">
            <w:pPr>
              <w:rPr>
                <w:color w:val="000000"/>
                <w:sz w:val="20"/>
                <w:szCs w:val="20"/>
                <w:lang w:val="es-ES"/>
              </w:rPr>
            </w:pPr>
          </w:p>
        </w:tc>
        <w:tc>
          <w:tcPr>
            <w:tcW w:w="503" w:type="dxa"/>
            <w:tcBorders>
              <w:top w:val="nil"/>
              <w:left w:val="nil"/>
              <w:bottom w:val="nil"/>
              <w:right w:val="nil"/>
            </w:tcBorders>
            <w:shd w:val="clear" w:color="auto" w:fill="auto"/>
            <w:noWrap/>
            <w:vAlign w:val="bottom"/>
            <w:hideMark/>
          </w:tcPr>
          <w:p w14:paraId="34752F9D" w14:textId="77777777" w:rsidR="008F16FC" w:rsidRPr="008F16FC" w:rsidRDefault="008F16FC" w:rsidP="008F16FC">
            <w:pPr>
              <w:rPr>
                <w:color w:val="000000"/>
                <w:sz w:val="20"/>
                <w:szCs w:val="20"/>
                <w:lang w:val="es-ES"/>
              </w:rPr>
            </w:pPr>
          </w:p>
        </w:tc>
        <w:tc>
          <w:tcPr>
            <w:tcW w:w="3237" w:type="dxa"/>
            <w:tcBorders>
              <w:top w:val="nil"/>
              <w:left w:val="nil"/>
              <w:bottom w:val="nil"/>
              <w:right w:val="nil"/>
            </w:tcBorders>
            <w:shd w:val="clear" w:color="auto" w:fill="auto"/>
            <w:noWrap/>
            <w:vAlign w:val="bottom"/>
            <w:hideMark/>
          </w:tcPr>
          <w:p w14:paraId="0EB05D66" w14:textId="77777777" w:rsidR="008F16FC" w:rsidRPr="008F16FC" w:rsidRDefault="008F16FC" w:rsidP="008F16FC">
            <w:pPr>
              <w:rPr>
                <w:color w:val="000000"/>
                <w:sz w:val="20"/>
                <w:szCs w:val="20"/>
                <w:lang w:val="es-ES"/>
              </w:rPr>
            </w:pPr>
          </w:p>
        </w:tc>
        <w:tc>
          <w:tcPr>
            <w:tcW w:w="2080" w:type="dxa"/>
            <w:tcBorders>
              <w:top w:val="nil"/>
              <w:left w:val="nil"/>
              <w:bottom w:val="nil"/>
              <w:right w:val="nil"/>
            </w:tcBorders>
            <w:shd w:val="clear" w:color="auto" w:fill="auto"/>
            <w:noWrap/>
            <w:vAlign w:val="bottom"/>
            <w:hideMark/>
          </w:tcPr>
          <w:p w14:paraId="1EFBD0D9" w14:textId="77777777" w:rsidR="008F16FC" w:rsidRPr="008F16FC" w:rsidRDefault="008F16FC" w:rsidP="008F16FC">
            <w:pPr>
              <w:jc w:val="center"/>
              <w:rPr>
                <w:b/>
                <w:bCs/>
                <w:color w:val="000000"/>
                <w:sz w:val="20"/>
                <w:szCs w:val="20"/>
              </w:rPr>
            </w:pPr>
            <w:r w:rsidRPr="008F16FC">
              <w:rPr>
                <w:b/>
                <w:bCs/>
                <w:color w:val="000000"/>
                <w:sz w:val="20"/>
                <w:szCs w:val="20"/>
                <w:lang w:val="es-MX"/>
              </w:rPr>
              <w:t xml:space="preserve">             </w:t>
            </w:r>
            <w:r w:rsidRPr="008F16FC">
              <w:rPr>
                <w:b/>
                <w:bCs/>
                <w:color w:val="000000"/>
                <w:sz w:val="20"/>
                <w:szCs w:val="20"/>
              </w:rPr>
              <w:t>30/09/2019</w:t>
            </w:r>
          </w:p>
        </w:tc>
        <w:tc>
          <w:tcPr>
            <w:tcW w:w="1957" w:type="dxa"/>
            <w:tcBorders>
              <w:top w:val="nil"/>
              <w:left w:val="nil"/>
              <w:bottom w:val="nil"/>
              <w:right w:val="nil"/>
            </w:tcBorders>
          </w:tcPr>
          <w:p w14:paraId="3D87D08D" w14:textId="77777777" w:rsidR="008F16FC" w:rsidRPr="008F16FC" w:rsidRDefault="008F16FC" w:rsidP="008F16FC">
            <w:pPr>
              <w:jc w:val="center"/>
              <w:rPr>
                <w:b/>
                <w:bCs/>
                <w:color w:val="000000"/>
                <w:sz w:val="20"/>
                <w:szCs w:val="20"/>
                <w:lang w:val="es-MX"/>
              </w:rPr>
            </w:pPr>
            <w:r w:rsidRPr="008F16FC">
              <w:rPr>
                <w:b/>
                <w:bCs/>
                <w:color w:val="000000"/>
                <w:sz w:val="20"/>
                <w:szCs w:val="20"/>
                <w:lang w:val="es-MX"/>
              </w:rPr>
              <w:t xml:space="preserve">                  30/06/2019 </w:t>
            </w:r>
          </w:p>
        </w:tc>
      </w:tr>
      <w:tr w:rsidR="008F16FC" w:rsidRPr="008F16FC" w14:paraId="5BCD29D9" w14:textId="77777777" w:rsidTr="008F16FC">
        <w:trPr>
          <w:gridAfter w:val="2"/>
          <w:wAfter w:w="4160" w:type="dxa"/>
          <w:trHeight w:val="255"/>
        </w:trPr>
        <w:tc>
          <w:tcPr>
            <w:tcW w:w="4746" w:type="dxa"/>
            <w:gridSpan w:val="4"/>
            <w:tcBorders>
              <w:top w:val="nil"/>
              <w:left w:val="nil"/>
              <w:bottom w:val="nil"/>
              <w:right w:val="nil"/>
            </w:tcBorders>
            <w:shd w:val="clear" w:color="auto" w:fill="auto"/>
            <w:noWrap/>
            <w:vAlign w:val="bottom"/>
            <w:hideMark/>
          </w:tcPr>
          <w:p w14:paraId="4485A5E0" w14:textId="77777777" w:rsidR="008F16FC" w:rsidRPr="008F16FC" w:rsidRDefault="008F16FC" w:rsidP="008F16FC">
            <w:pPr>
              <w:rPr>
                <w:b/>
                <w:bCs/>
                <w:color w:val="000000"/>
                <w:sz w:val="20"/>
                <w:szCs w:val="20"/>
              </w:rPr>
            </w:pPr>
            <w:r w:rsidRPr="008F16FC">
              <w:rPr>
                <w:b/>
                <w:bCs/>
                <w:color w:val="000000"/>
                <w:sz w:val="20"/>
                <w:szCs w:val="20"/>
              </w:rPr>
              <w:t>Aporte de los propietarios</w:t>
            </w:r>
          </w:p>
        </w:tc>
        <w:tc>
          <w:tcPr>
            <w:tcW w:w="2080" w:type="dxa"/>
            <w:tcBorders>
              <w:top w:val="nil"/>
              <w:left w:val="nil"/>
              <w:bottom w:val="nil"/>
              <w:right w:val="nil"/>
            </w:tcBorders>
            <w:shd w:val="clear" w:color="auto" w:fill="auto"/>
            <w:noWrap/>
            <w:vAlign w:val="bottom"/>
            <w:hideMark/>
          </w:tcPr>
          <w:p w14:paraId="56395372" w14:textId="77777777" w:rsidR="008F16FC" w:rsidRPr="008F16FC" w:rsidRDefault="008F16FC" w:rsidP="008F16FC">
            <w:pPr>
              <w:rPr>
                <w:b/>
                <w:bCs/>
                <w:color w:val="000000"/>
                <w:sz w:val="20"/>
                <w:szCs w:val="20"/>
              </w:rPr>
            </w:pPr>
          </w:p>
        </w:tc>
        <w:tc>
          <w:tcPr>
            <w:tcW w:w="1957" w:type="dxa"/>
            <w:tcBorders>
              <w:top w:val="nil"/>
              <w:left w:val="nil"/>
              <w:bottom w:val="nil"/>
              <w:right w:val="nil"/>
            </w:tcBorders>
          </w:tcPr>
          <w:p w14:paraId="70432AC8" w14:textId="77777777" w:rsidR="008F16FC" w:rsidRPr="008F16FC" w:rsidRDefault="008F16FC" w:rsidP="008F16FC">
            <w:pPr>
              <w:rPr>
                <w:b/>
                <w:bCs/>
                <w:color w:val="000000"/>
                <w:sz w:val="20"/>
                <w:szCs w:val="20"/>
              </w:rPr>
            </w:pPr>
          </w:p>
        </w:tc>
      </w:tr>
      <w:tr w:rsidR="008F16FC" w:rsidRPr="008F16FC" w14:paraId="239624AC" w14:textId="77777777" w:rsidTr="008F16FC">
        <w:trPr>
          <w:gridAfter w:val="2"/>
          <w:wAfter w:w="4160" w:type="dxa"/>
          <w:trHeight w:val="255"/>
        </w:trPr>
        <w:tc>
          <w:tcPr>
            <w:tcW w:w="503" w:type="dxa"/>
            <w:tcBorders>
              <w:top w:val="nil"/>
              <w:left w:val="nil"/>
              <w:bottom w:val="nil"/>
              <w:right w:val="nil"/>
            </w:tcBorders>
            <w:shd w:val="clear" w:color="auto" w:fill="auto"/>
            <w:noWrap/>
            <w:vAlign w:val="bottom"/>
            <w:hideMark/>
          </w:tcPr>
          <w:p w14:paraId="68CB58F3"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5C204A6D" w14:textId="77777777" w:rsidR="008F16FC" w:rsidRPr="008F16FC" w:rsidRDefault="008F16FC" w:rsidP="008F16FC">
            <w:pPr>
              <w:rPr>
                <w:b/>
                <w:bCs/>
                <w:color w:val="000000"/>
                <w:sz w:val="20"/>
                <w:szCs w:val="20"/>
              </w:rPr>
            </w:pPr>
          </w:p>
        </w:tc>
        <w:tc>
          <w:tcPr>
            <w:tcW w:w="3740" w:type="dxa"/>
            <w:gridSpan w:val="2"/>
            <w:tcBorders>
              <w:top w:val="nil"/>
              <w:left w:val="nil"/>
              <w:bottom w:val="nil"/>
              <w:right w:val="nil"/>
            </w:tcBorders>
            <w:shd w:val="clear" w:color="auto" w:fill="auto"/>
            <w:noWrap/>
            <w:vAlign w:val="bottom"/>
            <w:hideMark/>
          </w:tcPr>
          <w:p w14:paraId="5DD423DE" w14:textId="77777777" w:rsidR="008F16FC" w:rsidRPr="008F16FC" w:rsidRDefault="008F16FC" w:rsidP="008F16FC">
            <w:pPr>
              <w:rPr>
                <w:color w:val="000000"/>
                <w:sz w:val="20"/>
                <w:szCs w:val="20"/>
              </w:rPr>
            </w:pPr>
            <w:r w:rsidRPr="008F16FC">
              <w:rPr>
                <w:color w:val="000000"/>
                <w:sz w:val="20"/>
                <w:szCs w:val="20"/>
              </w:rPr>
              <w:t>Acciones</w:t>
            </w:r>
          </w:p>
        </w:tc>
        <w:tc>
          <w:tcPr>
            <w:tcW w:w="2080" w:type="dxa"/>
            <w:tcBorders>
              <w:top w:val="nil"/>
              <w:left w:val="nil"/>
              <w:bottom w:val="nil"/>
              <w:right w:val="nil"/>
            </w:tcBorders>
            <w:shd w:val="clear" w:color="auto" w:fill="auto"/>
            <w:noWrap/>
            <w:vAlign w:val="bottom"/>
          </w:tcPr>
          <w:p w14:paraId="2E70E78C" w14:textId="77777777" w:rsidR="008F16FC" w:rsidRPr="008F16FC" w:rsidRDefault="008F16FC" w:rsidP="008F16FC">
            <w:pPr>
              <w:jc w:val="right"/>
              <w:rPr>
                <w:color w:val="000000"/>
                <w:sz w:val="20"/>
                <w:szCs w:val="20"/>
              </w:rPr>
            </w:pPr>
            <w:r w:rsidRPr="008F16FC">
              <w:rPr>
                <w:color w:val="000000"/>
                <w:sz w:val="20"/>
                <w:szCs w:val="20"/>
              </w:rPr>
              <w:t>350.000</w:t>
            </w:r>
          </w:p>
        </w:tc>
        <w:tc>
          <w:tcPr>
            <w:tcW w:w="1957" w:type="dxa"/>
            <w:tcBorders>
              <w:top w:val="nil"/>
              <w:left w:val="nil"/>
              <w:bottom w:val="nil"/>
              <w:right w:val="nil"/>
            </w:tcBorders>
            <w:vAlign w:val="bottom"/>
          </w:tcPr>
          <w:p w14:paraId="3C6FAEEA" w14:textId="77777777" w:rsidR="008F16FC" w:rsidRPr="008F16FC" w:rsidRDefault="008F16FC" w:rsidP="008F16FC">
            <w:pPr>
              <w:jc w:val="right"/>
              <w:rPr>
                <w:color w:val="000000"/>
                <w:sz w:val="20"/>
                <w:szCs w:val="20"/>
              </w:rPr>
            </w:pPr>
            <w:r w:rsidRPr="008F16FC">
              <w:rPr>
                <w:color w:val="000000"/>
                <w:sz w:val="20"/>
                <w:szCs w:val="20"/>
              </w:rPr>
              <w:t xml:space="preserve">350.000 </w:t>
            </w:r>
          </w:p>
        </w:tc>
      </w:tr>
      <w:tr w:rsidR="008F16FC" w:rsidRPr="008F16FC" w14:paraId="3B034949" w14:textId="77777777" w:rsidTr="008F16FC">
        <w:trPr>
          <w:gridAfter w:val="2"/>
          <w:wAfter w:w="4160" w:type="dxa"/>
          <w:trHeight w:val="255"/>
        </w:trPr>
        <w:tc>
          <w:tcPr>
            <w:tcW w:w="503" w:type="dxa"/>
            <w:tcBorders>
              <w:top w:val="nil"/>
              <w:left w:val="nil"/>
              <w:bottom w:val="nil"/>
              <w:right w:val="nil"/>
            </w:tcBorders>
            <w:shd w:val="clear" w:color="auto" w:fill="auto"/>
            <w:noWrap/>
            <w:vAlign w:val="bottom"/>
            <w:hideMark/>
          </w:tcPr>
          <w:p w14:paraId="52098FE8"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53E2A4AD"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38D4622E" w14:textId="77777777" w:rsidR="008F16FC" w:rsidRPr="008F16FC" w:rsidRDefault="008F16FC" w:rsidP="008F16FC">
            <w:pPr>
              <w:rPr>
                <w:color w:val="000000"/>
                <w:sz w:val="20"/>
                <w:szCs w:val="20"/>
              </w:rPr>
            </w:pPr>
          </w:p>
        </w:tc>
        <w:tc>
          <w:tcPr>
            <w:tcW w:w="3237" w:type="dxa"/>
            <w:tcBorders>
              <w:top w:val="nil"/>
              <w:left w:val="nil"/>
              <w:bottom w:val="nil"/>
              <w:right w:val="nil"/>
            </w:tcBorders>
            <w:shd w:val="clear" w:color="auto" w:fill="auto"/>
            <w:noWrap/>
            <w:vAlign w:val="bottom"/>
            <w:hideMark/>
          </w:tcPr>
          <w:p w14:paraId="46C756AD" w14:textId="77777777" w:rsidR="008F16FC" w:rsidRPr="008F16FC" w:rsidRDefault="008F16FC" w:rsidP="008F16FC">
            <w:pPr>
              <w:rPr>
                <w:color w:val="000000"/>
                <w:sz w:val="20"/>
                <w:szCs w:val="20"/>
              </w:rPr>
            </w:pPr>
          </w:p>
        </w:tc>
        <w:tc>
          <w:tcPr>
            <w:tcW w:w="2080" w:type="dxa"/>
            <w:tcBorders>
              <w:top w:val="nil"/>
              <w:left w:val="nil"/>
              <w:bottom w:val="nil"/>
              <w:right w:val="nil"/>
            </w:tcBorders>
            <w:shd w:val="clear" w:color="auto" w:fill="auto"/>
            <w:noWrap/>
            <w:vAlign w:val="bottom"/>
          </w:tcPr>
          <w:p w14:paraId="68550E20" w14:textId="77777777" w:rsidR="008F16FC" w:rsidRPr="008F16FC" w:rsidRDefault="008F16FC" w:rsidP="008F16FC">
            <w:pPr>
              <w:rPr>
                <w:color w:val="000000"/>
                <w:sz w:val="20"/>
                <w:szCs w:val="20"/>
              </w:rPr>
            </w:pPr>
          </w:p>
        </w:tc>
        <w:tc>
          <w:tcPr>
            <w:tcW w:w="1957" w:type="dxa"/>
            <w:tcBorders>
              <w:top w:val="nil"/>
              <w:left w:val="nil"/>
              <w:bottom w:val="nil"/>
              <w:right w:val="nil"/>
            </w:tcBorders>
          </w:tcPr>
          <w:p w14:paraId="220BD551" w14:textId="77777777" w:rsidR="008F16FC" w:rsidRPr="008F16FC" w:rsidRDefault="008F16FC" w:rsidP="008F16FC">
            <w:pPr>
              <w:rPr>
                <w:color w:val="000000"/>
                <w:sz w:val="20"/>
                <w:szCs w:val="20"/>
              </w:rPr>
            </w:pPr>
          </w:p>
        </w:tc>
      </w:tr>
      <w:tr w:rsidR="008F16FC" w:rsidRPr="008F16FC" w14:paraId="366051A4" w14:textId="77777777" w:rsidTr="008F16FC">
        <w:trPr>
          <w:trHeight w:val="255"/>
        </w:trPr>
        <w:tc>
          <w:tcPr>
            <w:tcW w:w="4746" w:type="dxa"/>
            <w:gridSpan w:val="4"/>
            <w:tcBorders>
              <w:top w:val="nil"/>
              <w:left w:val="nil"/>
              <w:bottom w:val="nil"/>
              <w:right w:val="nil"/>
            </w:tcBorders>
            <w:shd w:val="clear" w:color="auto" w:fill="auto"/>
            <w:noWrap/>
            <w:vAlign w:val="bottom"/>
            <w:hideMark/>
          </w:tcPr>
          <w:p w14:paraId="081F4C97" w14:textId="77777777" w:rsidR="008F16FC" w:rsidRPr="008F16FC" w:rsidRDefault="008F16FC" w:rsidP="008F16FC">
            <w:pPr>
              <w:rPr>
                <w:b/>
                <w:bCs/>
                <w:color w:val="000000"/>
                <w:sz w:val="20"/>
                <w:szCs w:val="20"/>
              </w:rPr>
            </w:pPr>
            <w:r w:rsidRPr="008F16FC">
              <w:rPr>
                <w:b/>
                <w:bCs/>
                <w:color w:val="000000"/>
                <w:sz w:val="20"/>
                <w:szCs w:val="20"/>
              </w:rPr>
              <w:t>Ajuste del capital</w:t>
            </w:r>
          </w:p>
        </w:tc>
        <w:tc>
          <w:tcPr>
            <w:tcW w:w="2080" w:type="dxa"/>
            <w:tcBorders>
              <w:top w:val="nil"/>
              <w:left w:val="nil"/>
              <w:bottom w:val="nil"/>
              <w:right w:val="nil"/>
            </w:tcBorders>
            <w:shd w:val="clear" w:color="auto" w:fill="auto"/>
            <w:noWrap/>
            <w:vAlign w:val="bottom"/>
          </w:tcPr>
          <w:p w14:paraId="33C9F2E1" w14:textId="77777777" w:rsidR="008F16FC" w:rsidRPr="008F16FC" w:rsidRDefault="008F16FC" w:rsidP="008F16FC">
            <w:pPr>
              <w:jc w:val="right"/>
              <w:rPr>
                <w:color w:val="000000"/>
                <w:sz w:val="20"/>
                <w:szCs w:val="20"/>
              </w:rPr>
            </w:pPr>
            <w:r w:rsidRPr="008F16FC">
              <w:rPr>
                <w:color w:val="000000"/>
                <w:sz w:val="20"/>
                <w:szCs w:val="20"/>
              </w:rPr>
              <w:t>1.013.235</w:t>
            </w:r>
          </w:p>
        </w:tc>
        <w:tc>
          <w:tcPr>
            <w:tcW w:w="1957" w:type="dxa"/>
            <w:tcBorders>
              <w:top w:val="nil"/>
              <w:left w:val="nil"/>
              <w:bottom w:val="nil"/>
              <w:right w:val="nil"/>
            </w:tcBorders>
          </w:tcPr>
          <w:p w14:paraId="65777A27" w14:textId="77777777" w:rsidR="008F16FC" w:rsidRPr="008F16FC" w:rsidRDefault="008F16FC" w:rsidP="008F16FC">
            <w:pPr>
              <w:jc w:val="right"/>
              <w:rPr>
                <w:color w:val="000000"/>
                <w:sz w:val="20"/>
                <w:szCs w:val="20"/>
              </w:rPr>
            </w:pPr>
            <w:r w:rsidRPr="008F16FC">
              <w:rPr>
                <w:color w:val="000000"/>
                <w:sz w:val="20"/>
                <w:szCs w:val="20"/>
              </w:rPr>
              <w:t>1.013.235</w:t>
            </w:r>
          </w:p>
        </w:tc>
        <w:tc>
          <w:tcPr>
            <w:tcW w:w="2080" w:type="dxa"/>
          </w:tcPr>
          <w:p w14:paraId="339610E5" w14:textId="77777777" w:rsidR="008F16FC" w:rsidRPr="008F16FC" w:rsidRDefault="008F16FC" w:rsidP="008F16FC">
            <w:pPr>
              <w:rPr>
                <w:rFonts w:eastAsia="Calibri"/>
                <w:sz w:val="22"/>
                <w:szCs w:val="22"/>
                <w:lang w:val="es-MX"/>
              </w:rPr>
            </w:pPr>
          </w:p>
        </w:tc>
        <w:tc>
          <w:tcPr>
            <w:tcW w:w="2080" w:type="dxa"/>
            <w:vAlign w:val="bottom"/>
          </w:tcPr>
          <w:p w14:paraId="1F12FC28" w14:textId="066EF213" w:rsidR="008F16FC" w:rsidRPr="008F16FC" w:rsidRDefault="008F16FC" w:rsidP="008F16FC">
            <w:pPr>
              <w:rPr>
                <w:rFonts w:eastAsia="Calibri"/>
                <w:sz w:val="22"/>
                <w:szCs w:val="22"/>
                <w:lang w:val="es-MX"/>
              </w:rPr>
            </w:pPr>
          </w:p>
        </w:tc>
      </w:tr>
      <w:tr w:rsidR="008F16FC" w:rsidRPr="008F16FC" w14:paraId="2802DB6D" w14:textId="77777777" w:rsidTr="008F16FC">
        <w:trPr>
          <w:gridAfter w:val="2"/>
          <w:wAfter w:w="4160" w:type="dxa"/>
          <w:trHeight w:val="255"/>
        </w:trPr>
        <w:tc>
          <w:tcPr>
            <w:tcW w:w="503" w:type="dxa"/>
            <w:tcBorders>
              <w:top w:val="nil"/>
              <w:left w:val="nil"/>
              <w:bottom w:val="nil"/>
              <w:right w:val="nil"/>
            </w:tcBorders>
            <w:shd w:val="clear" w:color="auto" w:fill="auto"/>
            <w:noWrap/>
            <w:vAlign w:val="bottom"/>
            <w:hideMark/>
          </w:tcPr>
          <w:p w14:paraId="2828C284"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3EBB15CC"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2A4016C4" w14:textId="77777777" w:rsidR="008F16FC" w:rsidRPr="008F16FC" w:rsidRDefault="008F16FC" w:rsidP="008F16FC">
            <w:pPr>
              <w:rPr>
                <w:color w:val="000000"/>
                <w:sz w:val="20"/>
                <w:szCs w:val="20"/>
              </w:rPr>
            </w:pPr>
          </w:p>
        </w:tc>
        <w:tc>
          <w:tcPr>
            <w:tcW w:w="3237" w:type="dxa"/>
            <w:tcBorders>
              <w:top w:val="nil"/>
              <w:left w:val="nil"/>
              <w:bottom w:val="nil"/>
              <w:right w:val="nil"/>
            </w:tcBorders>
            <w:shd w:val="clear" w:color="auto" w:fill="auto"/>
            <w:noWrap/>
            <w:vAlign w:val="bottom"/>
            <w:hideMark/>
          </w:tcPr>
          <w:p w14:paraId="77B62701" w14:textId="77777777" w:rsidR="008F16FC" w:rsidRPr="008F16FC" w:rsidRDefault="008F16FC" w:rsidP="008F16FC">
            <w:pPr>
              <w:rPr>
                <w:color w:val="000000"/>
                <w:sz w:val="20"/>
                <w:szCs w:val="20"/>
              </w:rPr>
            </w:pPr>
          </w:p>
        </w:tc>
        <w:tc>
          <w:tcPr>
            <w:tcW w:w="2080" w:type="dxa"/>
            <w:tcBorders>
              <w:top w:val="nil"/>
              <w:left w:val="nil"/>
              <w:bottom w:val="nil"/>
              <w:right w:val="nil"/>
            </w:tcBorders>
            <w:shd w:val="clear" w:color="auto" w:fill="auto"/>
            <w:noWrap/>
            <w:vAlign w:val="bottom"/>
          </w:tcPr>
          <w:p w14:paraId="22034E59" w14:textId="77777777" w:rsidR="008F16FC" w:rsidRPr="008F16FC" w:rsidRDefault="008F16FC" w:rsidP="008F16FC">
            <w:pPr>
              <w:rPr>
                <w:color w:val="000000"/>
                <w:sz w:val="20"/>
                <w:szCs w:val="20"/>
              </w:rPr>
            </w:pPr>
          </w:p>
        </w:tc>
        <w:tc>
          <w:tcPr>
            <w:tcW w:w="1957" w:type="dxa"/>
            <w:tcBorders>
              <w:top w:val="nil"/>
              <w:left w:val="nil"/>
              <w:bottom w:val="nil"/>
              <w:right w:val="nil"/>
            </w:tcBorders>
          </w:tcPr>
          <w:p w14:paraId="73E15EE8" w14:textId="77777777" w:rsidR="008F16FC" w:rsidRPr="008F16FC" w:rsidRDefault="008F16FC" w:rsidP="008F16FC">
            <w:pPr>
              <w:rPr>
                <w:color w:val="000000"/>
                <w:sz w:val="20"/>
                <w:szCs w:val="20"/>
              </w:rPr>
            </w:pPr>
          </w:p>
        </w:tc>
      </w:tr>
      <w:tr w:rsidR="008F16FC" w:rsidRPr="00512442" w14:paraId="028E5533" w14:textId="77777777" w:rsidTr="008F16FC">
        <w:trPr>
          <w:trHeight w:val="255"/>
        </w:trPr>
        <w:tc>
          <w:tcPr>
            <w:tcW w:w="4746" w:type="dxa"/>
            <w:gridSpan w:val="4"/>
            <w:tcBorders>
              <w:top w:val="nil"/>
              <w:left w:val="nil"/>
              <w:bottom w:val="nil"/>
              <w:right w:val="nil"/>
            </w:tcBorders>
            <w:shd w:val="clear" w:color="auto" w:fill="auto"/>
            <w:noWrap/>
            <w:vAlign w:val="bottom"/>
            <w:hideMark/>
          </w:tcPr>
          <w:p w14:paraId="10A8A2DE" w14:textId="77777777" w:rsidR="008F16FC" w:rsidRPr="008F16FC" w:rsidRDefault="008F16FC" w:rsidP="008F16FC">
            <w:pPr>
              <w:rPr>
                <w:b/>
                <w:bCs/>
                <w:color w:val="000000"/>
                <w:sz w:val="20"/>
                <w:szCs w:val="20"/>
                <w:lang w:val="es-ES"/>
              </w:rPr>
            </w:pPr>
            <w:r w:rsidRPr="008F16FC">
              <w:rPr>
                <w:b/>
                <w:bCs/>
                <w:color w:val="000000"/>
                <w:sz w:val="20"/>
                <w:szCs w:val="20"/>
                <w:lang w:val="es-ES"/>
              </w:rPr>
              <w:t>Total atribuible a los accionistas de la sociedad</w:t>
            </w:r>
          </w:p>
        </w:tc>
        <w:tc>
          <w:tcPr>
            <w:tcW w:w="2080" w:type="dxa"/>
            <w:tcBorders>
              <w:top w:val="nil"/>
              <w:left w:val="nil"/>
              <w:bottom w:val="nil"/>
              <w:right w:val="nil"/>
            </w:tcBorders>
            <w:shd w:val="clear" w:color="auto" w:fill="auto"/>
            <w:noWrap/>
            <w:vAlign w:val="bottom"/>
          </w:tcPr>
          <w:p w14:paraId="307CCFF4" w14:textId="77777777" w:rsidR="008F16FC" w:rsidRPr="008F16FC" w:rsidRDefault="008F16FC" w:rsidP="008F16FC">
            <w:pPr>
              <w:rPr>
                <w:b/>
                <w:bCs/>
                <w:color w:val="000000"/>
                <w:sz w:val="20"/>
                <w:szCs w:val="20"/>
                <w:lang w:val="es-ES"/>
              </w:rPr>
            </w:pPr>
          </w:p>
        </w:tc>
        <w:tc>
          <w:tcPr>
            <w:tcW w:w="1957" w:type="dxa"/>
            <w:tcBorders>
              <w:top w:val="nil"/>
              <w:left w:val="nil"/>
              <w:bottom w:val="nil"/>
              <w:right w:val="nil"/>
            </w:tcBorders>
          </w:tcPr>
          <w:p w14:paraId="3F428B0C" w14:textId="77777777" w:rsidR="008F16FC" w:rsidRPr="008F16FC" w:rsidRDefault="008F16FC" w:rsidP="008F16FC">
            <w:pPr>
              <w:rPr>
                <w:b/>
                <w:bCs/>
                <w:color w:val="000000"/>
                <w:sz w:val="20"/>
                <w:szCs w:val="20"/>
                <w:lang w:val="es-ES"/>
              </w:rPr>
            </w:pPr>
          </w:p>
        </w:tc>
        <w:tc>
          <w:tcPr>
            <w:tcW w:w="2080" w:type="dxa"/>
          </w:tcPr>
          <w:p w14:paraId="76DD292B" w14:textId="77777777" w:rsidR="008F16FC" w:rsidRPr="008F16FC" w:rsidRDefault="008F16FC" w:rsidP="008F16FC">
            <w:pPr>
              <w:rPr>
                <w:rFonts w:eastAsia="Calibri"/>
                <w:sz w:val="22"/>
                <w:szCs w:val="22"/>
                <w:lang w:val="es-MX"/>
              </w:rPr>
            </w:pPr>
          </w:p>
        </w:tc>
        <w:tc>
          <w:tcPr>
            <w:tcW w:w="2080" w:type="dxa"/>
            <w:vAlign w:val="bottom"/>
          </w:tcPr>
          <w:p w14:paraId="1D814059" w14:textId="77777777" w:rsidR="008F16FC" w:rsidRPr="008F16FC" w:rsidRDefault="008F16FC" w:rsidP="008F16FC">
            <w:pPr>
              <w:rPr>
                <w:rFonts w:eastAsia="Calibri"/>
                <w:sz w:val="22"/>
                <w:szCs w:val="22"/>
                <w:lang w:val="es-MX"/>
              </w:rPr>
            </w:pPr>
          </w:p>
        </w:tc>
      </w:tr>
      <w:tr w:rsidR="008F16FC" w:rsidRPr="008F16FC" w14:paraId="4B581D3A" w14:textId="77777777" w:rsidTr="008F16FC">
        <w:trPr>
          <w:gridAfter w:val="1"/>
          <w:wAfter w:w="2080" w:type="dxa"/>
          <w:trHeight w:val="255"/>
        </w:trPr>
        <w:tc>
          <w:tcPr>
            <w:tcW w:w="503" w:type="dxa"/>
            <w:tcBorders>
              <w:top w:val="nil"/>
              <w:left w:val="nil"/>
              <w:bottom w:val="nil"/>
              <w:right w:val="nil"/>
            </w:tcBorders>
            <w:shd w:val="clear" w:color="auto" w:fill="auto"/>
            <w:noWrap/>
            <w:vAlign w:val="bottom"/>
            <w:hideMark/>
          </w:tcPr>
          <w:p w14:paraId="29674837" w14:textId="77777777" w:rsidR="008F16FC" w:rsidRPr="008F16FC" w:rsidRDefault="008F16FC" w:rsidP="008F16FC">
            <w:pPr>
              <w:rPr>
                <w:b/>
                <w:bCs/>
                <w:color w:val="000000"/>
                <w:sz w:val="20"/>
                <w:szCs w:val="20"/>
                <w:lang w:val="es-ES"/>
              </w:rPr>
            </w:pPr>
          </w:p>
        </w:tc>
        <w:tc>
          <w:tcPr>
            <w:tcW w:w="4243" w:type="dxa"/>
            <w:gridSpan w:val="3"/>
            <w:tcBorders>
              <w:top w:val="nil"/>
              <w:left w:val="nil"/>
              <w:bottom w:val="nil"/>
              <w:right w:val="nil"/>
            </w:tcBorders>
            <w:shd w:val="clear" w:color="auto" w:fill="auto"/>
            <w:noWrap/>
            <w:vAlign w:val="bottom"/>
            <w:hideMark/>
          </w:tcPr>
          <w:p w14:paraId="7A4A32C8" w14:textId="77777777" w:rsidR="008F16FC" w:rsidRPr="008F16FC" w:rsidRDefault="008F16FC" w:rsidP="008F16FC">
            <w:pPr>
              <w:rPr>
                <w:b/>
                <w:bCs/>
                <w:color w:val="000000"/>
                <w:sz w:val="20"/>
                <w:szCs w:val="20"/>
              </w:rPr>
            </w:pPr>
            <w:r w:rsidRPr="008F16FC">
              <w:rPr>
                <w:b/>
                <w:bCs/>
                <w:color w:val="000000"/>
                <w:sz w:val="20"/>
                <w:szCs w:val="20"/>
              </w:rPr>
              <w:t>Resultado integral total acumulado</w:t>
            </w:r>
          </w:p>
        </w:tc>
        <w:tc>
          <w:tcPr>
            <w:tcW w:w="2080" w:type="dxa"/>
            <w:tcBorders>
              <w:top w:val="nil"/>
              <w:left w:val="nil"/>
              <w:bottom w:val="nil"/>
              <w:right w:val="nil"/>
            </w:tcBorders>
            <w:shd w:val="clear" w:color="auto" w:fill="auto"/>
            <w:noWrap/>
            <w:vAlign w:val="bottom"/>
          </w:tcPr>
          <w:p w14:paraId="0B8B1A78" w14:textId="77777777" w:rsidR="008F16FC" w:rsidRPr="008F16FC" w:rsidRDefault="008F16FC" w:rsidP="008F16FC">
            <w:pPr>
              <w:rPr>
                <w:b/>
                <w:bCs/>
                <w:color w:val="000000"/>
                <w:sz w:val="20"/>
                <w:szCs w:val="20"/>
              </w:rPr>
            </w:pPr>
          </w:p>
        </w:tc>
        <w:tc>
          <w:tcPr>
            <w:tcW w:w="1957" w:type="dxa"/>
            <w:tcBorders>
              <w:top w:val="nil"/>
              <w:left w:val="nil"/>
              <w:bottom w:val="nil"/>
              <w:right w:val="nil"/>
            </w:tcBorders>
          </w:tcPr>
          <w:p w14:paraId="72833226" w14:textId="77777777" w:rsidR="008F16FC" w:rsidRPr="008F16FC" w:rsidRDefault="008F16FC" w:rsidP="008F16FC">
            <w:pPr>
              <w:rPr>
                <w:b/>
                <w:bCs/>
                <w:color w:val="000000"/>
                <w:sz w:val="20"/>
                <w:szCs w:val="20"/>
              </w:rPr>
            </w:pPr>
          </w:p>
        </w:tc>
        <w:tc>
          <w:tcPr>
            <w:tcW w:w="2080" w:type="dxa"/>
            <w:vAlign w:val="bottom"/>
          </w:tcPr>
          <w:p w14:paraId="2E27E3BA" w14:textId="77777777" w:rsidR="008F16FC" w:rsidRPr="008F16FC" w:rsidRDefault="008F16FC" w:rsidP="008F16FC">
            <w:pPr>
              <w:rPr>
                <w:rFonts w:eastAsia="Calibri"/>
                <w:sz w:val="22"/>
                <w:szCs w:val="22"/>
                <w:lang w:val="es-MX"/>
              </w:rPr>
            </w:pPr>
          </w:p>
        </w:tc>
      </w:tr>
      <w:tr w:rsidR="008F16FC" w:rsidRPr="008F16FC" w14:paraId="6C91EAF5" w14:textId="77777777" w:rsidTr="008F16FC">
        <w:trPr>
          <w:gridAfter w:val="2"/>
          <w:wAfter w:w="4160" w:type="dxa"/>
          <w:trHeight w:val="255"/>
        </w:trPr>
        <w:tc>
          <w:tcPr>
            <w:tcW w:w="503" w:type="dxa"/>
            <w:tcBorders>
              <w:top w:val="nil"/>
              <w:left w:val="nil"/>
              <w:bottom w:val="nil"/>
              <w:right w:val="nil"/>
            </w:tcBorders>
            <w:shd w:val="clear" w:color="auto" w:fill="auto"/>
            <w:noWrap/>
            <w:vAlign w:val="bottom"/>
            <w:hideMark/>
          </w:tcPr>
          <w:p w14:paraId="0E661EED"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7EBD304D" w14:textId="77777777" w:rsidR="008F16FC" w:rsidRPr="008F16FC" w:rsidRDefault="008F16FC" w:rsidP="008F16FC">
            <w:pPr>
              <w:rPr>
                <w:b/>
                <w:bCs/>
                <w:color w:val="000000"/>
                <w:sz w:val="20"/>
                <w:szCs w:val="20"/>
              </w:rPr>
            </w:pPr>
          </w:p>
        </w:tc>
        <w:tc>
          <w:tcPr>
            <w:tcW w:w="3740" w:type="dxa"/>
            <w:gridSpan w:val="2"/>
            <w:tcBorders>
              <w:top w:val="nil"/>
              <w:left w:val="nil"/>
              <w:bottom w:val="nil"/>
              <w:right w:val="nil"/>
            </w:tcBorders>
            <w:shd w:val="clear" w:color="auto" w:fill="auto"/>
            <w:noWrap/>
            <w:vAlign w:val="bottom"/>
            <w:hideMark/>
          </w:tcPr>
          <w:p w14:paraId="3AF301BE" w14:textId="77777777" w:rsidR="008F16FC" w:rsidRPr="008F16FC" w:rsidRDefault="008F16FC" w:rsidP="008F16FC">
            <w:pPr>
              <w:rPr>
                <w:color w:val="000000"/>
                <w:sz w:val="20"/>
                <w:szCs w:val="20"/>
                <w:lang w:val="es-ES"/>
              </w:rPr>
            </w:pPr>
            <w:r w:rsidRPr="008F16FC">
              <w:rPr>
                <w:color w:val="000000"/>
                <w:sz w:val="20"/>
                <w:szCs w:val="20"/>
                <w:lang w:val="es-ES"/>
              </w:rPr>
              <w:t>Saldo por diferencias de conversión</w:t>
            </w:r>
          </w:p>
        </w:tc>
        <w:tc>
          <w:tcPr>
            <w:tcW w:w="2080" w:type="dxa"/>
            <w:tcBorders>
              <w:top w:val="nil"/>
              <w:left w:val="nil"/>
              <w:bottom w:val="nil"/>
              <w:right w:val="nil"/>
            </w:tcBorders>
            <w:shd w:val="clear" w:color="auto" w:fill="auto"/>
            <w:noWrap/>
            <w:vAlign w:val="bottom"/>
          </w:tcPr>
          <w:p w14:paraId="1796B4F6" w14:textId="77777777" w:rsidR="008F16FC" w:rsidRPr="008F16FC" w:rsidRDefault="008F16FC" w:rsidP="008F16FC">
            <w:pPr>
              <w:jc w:val="right"/>
              <w:rPr>
                <w:color w:val="000000"/>
                <w:sz w:val="20"/>
                <w:szCs w:val="20"/>
                <w:lang w:val="es-MX"/>
              </w:rPr>
            </w:pPr>
            <w:r w:rsidRPr="008F16FC">
              <w:rPr>
                <w:color w:val="000000"/>
                <w:sz w:val="20"/>
                <w:szCs w:val="20"/>
                <w:lang w:val="es-MX"/>
              </w:rPr>
              <w:t>-67.588</w:t>
            </w:r>
          </w:p>
        </w:tc>
        <w:tc>
          <w:tcPr>
            <w:tcW w:w="1957" w:type="dxa"/>
            <w:tcBorders>
              <w:top w:val="nil"/>
              <w:left w:val="nil"/>
              <w:bottom w:val="nil"/>
              <w:right w:val="nil"/>
            </w:tcBorders>
            <w:vAlign w:val="bottom"/>
          </w:tcPr>
          <w:p w14:paraId="0BA8FA2B" w14:textId="77777777" w:rsidR="008F16FC" w:rsidRPr="008F16FC" w:rsidRDefault="008F16FC" w:rsidP="008F16FC">
            <w:pPr>
              <w:jc w:val="right"/>
              <w:rPr>
                <w:color w:val="000000"/>
                <w:sz w:val="20"/>
                <w:lang w:val="es-MX"/>
              </w:rPr>
            </w:pPr>
            <w:r w:rsidRPr="008F16FC">
              <w:rPr>
                <w:color w:val="000000"/>
                <w:sz w:val="20"/>
                <w:lang w:val="es-AR"/>
              </w:rPr>
              <w:t xml:space="preserve">-57.665 </w:t>
            </w:r>
          </w:p>
        </w:tc>
      </w:tr>
      <w:tr w:rsidR="008F16FC" w:rsidRPr="008F16FC" w14:paraId="47B3E0AA" w14:textId="77777777" w:rsidTr="008F16FC">
        <w:trPr>
          <w:gridAfter w:val="2"/>
          <w:wAfter w:w="4160" w:type="dxa"/>
          <w:trHeight w:val="255"/>
        </w:trPr>
        <w:tc>
          <w:tcPr>
            <w:tcW w:w="503" w:type="dxa"/>
            <w:tcBorders>
              <w:top w:val="nil"/>
              <w:left w:val="nil"/>
              <w:bottom w:val="nil"/>
              <w:right w:val="nil"/>
            </w:tcBorders>
            <w:shd w:val="clear" w:color="auto" w:fill="auto"/>
            <w:noWrap/>
            <w:vAlign w:val="bottom"/>
            <w:hideMark/>
          </w:tcPr>
          <w:p w14:paraId="34EFA0B5" w14:textId="77777777" w:rsidR="008F16FC" w:rsidRPr="008F16FC" w:rsidRDefault="008F16FC" w:rsidP="008F16FC">
            <w:pPr>
              <w:rPr>
                <w:b/>
                <w:bCs/>
                <w:color w:val="000000"/>
                <w:sz w:val="20"/>
                <w:szCs w:val="20"/>
                <w:lang w:val="es-MX"/>
              </w:rPr>
            </w:pPr>
          </w:p>
        </w:tc>
        <w:tc>
          <w:tcPr>
            <w:tcW w:w="503" w:type="dxa"/>
            <w:tcBorders>
              <w:top w:val="nil"/>
              <w:left w:val="nil"/>
              <w:bottom w:val="nil"/>
              <w:right w:val="nil"/>
            </w:tcBorders>
            <w:shd w:val="clear" w:color="auto" w:fill="auto"/>
            <w:noWrap/>
            <w:vAlign w:val="bottom"/>
            <w:hideMark/>
          </w:tcPr>
          <w:p w14:paraId="67F50237" w14:textId="77777777" w:rsidR="008F16FC" w:rsidRPr="008F16FC" w:rsidRDefault="008F16FC" w:rsidP="008F16FC">
            <w:pPr>
              <w:rPr>
                <w:b/>
                <w:bCs/>
                <w:color w:val="000000"/>
                <w:sz w:val="20"/>
                <w:szCs w:val="20"/>
                <w:lang w:val="es-MX"/>
              </w:rPr>
            </w:pPr>
          </w:p>
        </w:tc>
        <w:tc>
          <w:tcPr>
            <w:tcW w:w="3740" w:type="dxa"/>
            <w:gridSpan w:val="2"/>
            <w:tcBorders>
              <w:top w:val="nil"/>
              <w:left w:val="nil"/>
              <w:bottom w:val="nil"/>
              <w:right w:val="nil"/>
            </w:tcBorders>
            <w:shd w:val="clear" w:color="auto" w:fill="auto"/>
            <w:noWrap/>
            <w:vAlign w:val="bottom"/>
            <w:hideMark/>
          </w:tcPr>
          <w:p w14:paraId="3D62D63E" w14:textId="77777777" w:rsidR="008F16FC" w:rsidRPr="008F16FC" w:rsidRDefault="008F16FC" w:rsidP="008F16FC">
            <w:pPr>
              <w:rPr>
                <w:color w:val="000000"/>
                <w:sz w:val="20"/>
                <w:szCs w:val="20"/>
                <w:lang w:val="es-AR"/>
              </w:rPr>
            </w:pPr>
            <w:r w:rsidRPr="008F16FC">
              <w:rPr>
                <w:color w:val="000000"/>
                <w:sz w:val="20"/>
                <w:szCs w:val="20"/>
                <w:lang w:val="es-AR"/>
              </w:rPr>
              <w:t>Superávit de revaluación</w:t>
            </w:r>
          </w:p>
        </w:tc>
        <w:tc>
          <w:tcPr>
            <w:tcW w:w="2080" w:type="dxa"/>
            <w:tcBorders>
              <w:top w:val="nil"/>
              <w:left w:val="nil"/>
              <w:bottom w:val="nil"/>
              <w:right w:val="nil"/>
            </w:tcBorders>
            <w:shd w:val="clear" w:color="auto" w:fill="auto"/>
            <w:noWrap/>
            <w:vAlign w:val="bottom"/>
          </w:tcPr>
          <w:p w14:paraId="13C1CF55" w14:textId="77777777" w:rsidR="008F16FC" w:rsidRPr="008F16FC" w:rsidRDefault="008F16FC" w:rsidP="008F16FC">
            <w:pPr>
              <w:jc w:val="right"/>
              <w:rPr>
                <w:color w:val="000000"/>
                <w:sz w:val="20"/>
                <w:szCs w:val="20"/>
                <w:lang w:val="es-AR"/>
              </w:rPr>
            </w:pPr>
            <w:r w:rsidRPr="008F16FC">
              <w:rPr>
                <w:color w:val="000000"/>
                <w:sz w:val="20"/>
                <w:szCs w:val="20"/>
                <w:lang w:val="es-AR"/>
              </w:rPr>
              <w:t>627.351</w:t>
            </w:r>
          </w:p>
        </w:tc>
        <w:tc>
          <w:tcPr>
            <w:tcW w:w="1957" w:type="dxa"/>
            <w:tcBorders>
              <w:top w:val="nil"/>
              <w:left w:val="nil"/>
              <w:bottom w:val="nil"/>
              <w:right w:val="nil"/>
            </w:tcBorders>
            <w:vAlign w:val="bottom"/>
          </w:tcPr>
          <w:p w14:paraId="0D3BBC4F" w14:textId="77777777" w:rsidR="008F16FC" w:rsidRPr="008F16FC" w:rsidRDefault="008F16FC" w:rsidP="008F16FC">
            <w:pPr>
              <w:jc w:val="right"/>
              <w:rPr>
                <w:color w:val="000000"/>
                <w:sz w:val="20"/>
                <w:szCs w:val="20"/>
                <w:lang w:val="es-AR"/>
              </w:rPr>
            </w:pPr>
            <w:r w:rsidRPr="008F16FC">
              <w:rPr>
                <w:color w:val="000000"/>
                <w:sz w:val="20"/>
                <w:szCs w:val="20"/>
                <w:lang w:val="es-AR"/>
              </w:rPr>
              <w:t xml:space="preserve">314.145 </w:t>
            </w:r>
          </w:p>
        </w:tc>
      </w:tr>
      <w:tr w:rsidR="008F16FC" w:rsidRPr="008F16FC" w14:paraId="3B219844" w14:textId="77777777" w:rsidTr="008F16FC">
        <w:trPr>
          <w:gridAfter w:val="1"/>
          <w:wAfter w:w="2080" w:type="dxa"/>
          <w:trHeight w:val="255"/>
        </w:trPr>
        <w:tc>
          <w:tcPr>
            <w:tcW w:w="503" w:type="dxa"/>
            <w:tcBorders>
              <w:top w:val="nil"/>
              <w:left w:val="nil"/>
              <w:bottom w:val="nil"/>
              <w:right w:val="nil"/>
            </w:tcBorders>
            <w:shd w:val="clear" w:color="auto" w:fill="auto"/>
            <w:noWrap/>
            <w:vAlign w:val="bottom"/>
            <w:hideMark/>
          </w:tcPr>
          <w:p w14:paraId="5ABEBBEA" w14:textId="77777777" w:rsidR="008F16FC" w:rsidRPr="008F16FC" w:rsidRDefault="008F16FC" w:rsidP="008F16FC">
            <w:pPr>
              <w:rPr>
                <w:b/>
                <w:bCs/>
                <w:color w:val="000000"/>
                <w:sz w:val="20"/>
                <w:szCs w:val="20"/>
                <w:lang w:val="es-AR"/>
              </w:rPr>
            </w:pPr>
          </w:p>
        </w:tc>
        <w:tc>
          <w:tcPr>
            <w:tcW w:w="4243" w:type="dxa"/>
            <w:gridSpan w:val="3"/>
            <w:tcBorders>
              <w:top w:val="nil"/>
              <w:left w:val="nil"/>
              <w:bottom w:val="nil"/>
              <w:right w:val="nil"/>
            </w:tcBorders>
            <w:shd w:val="clear" w:color="auto" w:fill="auto"/>
            <w:noWrap/>
            <w:vAlign w:val="bottom"/>
            <w:hideMark/>
          </w:tcPr>
          <w:p w14:paraId="623BD7E6" w14:textId="77777777" w:rsidR="008F16FC" w:rsidRPr="008F16FC" w:rsidRDefault="008F16FC" w:rsidP="008F16FC">
            <w:pPr>
              <w:rPr>
                <w:b/>
                <w:bCs/>
                <w:color w:val="000000"/>
                <w:sz w:val="20"/>
                <w:szCs w:val="20"/>
                <w:lang w:val="es-AR"/>
              </w:rPr>
            </w:pPr>
            <w:r w:rsidRPr="008F16FC">
              <w:rPr>
                <w:b/>
                <w:bCs/>
                <w:color w:val="000000"/>
                <w:sz w:val="20"/>
                <w:szCs w:val="20"/>
                <w:lang w:val="es-AR"/>
              </w:rPr>
              <w:t>Ganancias Acumuladas</w:t>
            </w:r>
          </w:p>
        </w:tc>
        <w:tc>
          <w:tcPr>
            <w:tcW w:w="2080" w:type="dxa"/>
            <w:tcBorders>
              <w:top w:val="nil"/>
              <w:left w:val="nil"/>
              <w:bottom w:val="nil"/>
              <w:right w:val="nil"/>
            </w:tcBorders>
            <w:shd w:val="clear" w:color="auto" w:fill="auto"/>
            <w:noWrap/>
            <w:vAlign w:val="bottom"/>
          </w:tcPr>
          <w:p w14:paraId="2CD66EDE" w14:textId="77777777" w:rsidR="008F16FC" w:rsidRPr="008F16FC" w:rsidRDefault="008F16FC" w:rsidP="008F16FC">
            <w:pPr>
              <w:rPr>
                <w:b/>
                <w:bCs/>
                <w:color w:val="000000"/>
                <w:sz w:val="20"/>
                <w:szCs w:val="20"/>
                <w:lang w:val="es-AR"/>
              </w:rPr>
            </w:pPr>
          </w:p>
        </w:tc>
        <w:tc>
          <w:tcPr>
            <w:tcW w:w="1957" w:type="dxa"/>
            <w:tcBorders>
              <w:top w:val="nil"/>
              <w:left w:val="nil"/>
              <w:bottom w:val="nil"/>
              <w:right w:val="nil"/>
            </w:tcBorders>
          </w:tcPr>
          <w:p w14:paraId="39680C19" w14:textId="77777777" w:rsidR="008F16FC" w:rsidRPr="008F16FC" w:rsidRDefault="008F16FC" w:rsidP="008F16FC">
            <w:pPr>
              <w:rPr>
                <w:b/>
                <w:bCs/>
                <w:color w:val="000000"/>
                <w:sz w:val="20"/>
                <w:szCs w:val="20"/>
                <w:lang w:val="es-AR"/>
              </w:rPr>
            </w:pPr>
          </w:p>
        </w:tc>
        <w:tc>
          <w:tcPr>
            <w:tcW w:w="2080" w:type="dxa"/>
            <w:vAlign w:val="bottom"/>
          </w:tcPr>
          <w:p w14:paraId="67A4DF90" w14:textId="77777777" w:rsidR="008F16FC" w:rsidRPr="008F16FC" w:rsidRDefault="008F16FC" w:rsidP="008F16FC">
            <w:pPr>
              <w:rPr>
                <w:rFonts w:eastAsia="Calibri"/>
                <w:sz w:val="22"/>
                <w:szCs w:val="22"/>
                <w:lang w:val="es-MX"/>
              </w:rPr>
            </w:pPr>
          </w:p>
        </w:tc>
      </w:tr>
      <w:tr w:rsidR="008F16FC" w:rsidRPr="008F16FC" w14:paraId="50294955" w14:textId="77777777" w:rsidTr="008F16FC">
        <w:trPr>
          <w:gridAfter w:val="2"/>
          <w:wAfter w:w="4160" w:type="dxa"/>
          <w:trHeight w:val="255"/>
        </w:trPr>
        <w:tc>
          <w:tcPr>
            <w:tcW w:w="503" w:type="dxa"/>
            <w:tcBorders>
              <w:top w:val="nil"/>
              <w:left w:val="nil"/>
              <w:bottom w:val="nil"/>
              <w:right w:val="nil"/>
            </w:tcBorders>
            <w:shd w:val="clear" w:color="auto" w:fill="auto"/>
            <w:noWrap/>
            <w:vAlign w:val="bottom"/>
            <w:hideMark/>
          </w:tcPr>
          <w:p w14:paraId="12DB3356" w14:textId="77777777" w:rsidR="008F16FC" w:rsidRPr="008F16FC" w:rsidRDefault="008F16FC" w:rsidP="008F16FC">
            <w:pPr>
              <w:rPr>
                <w:b/>
                <w:bCs/>
                <w:color w:val="000000"/>
                <w:sz w:val="20"/>
                <w:szCs w:val="20"/>
                <w:lang w:val="es-AR"/>
              </w:rPr>
            </w:pPr>
          </w:p>
        </w:tc>
        <w:tc>
          <w:tcPr>
            <w:tcW w:w="503" w:type="dxa"/>
            <w:tcBorders>
              <w:top w:val="nil"/>
              <w:left w:val="nil"/>
              <w:bottom w:val="nil"/>
              <w:right w:val="nil"/>
            </w:tcBorders>
            <w:shd w:val="clear" w:color="auto" w:fill="auto"/>
            <w:noWrap/>
            <w:vAlign w:val="bottom"/>
            <w:hideMark/>
          </w:tcPr>
          <w:p w14:paraId="7E4D1A6B" w14:textId="77777777" w:rsidR="008F16FC" w:rsidRPr="008F16FC" w:rsidRDefault="008F16FC" w:rsidP="008F16FC">
            <w:pPr>
              <w:rPr>
                <w:b/>
                <w:bCs/>
                <w:color w:val="000000"/>
                <w:sz w:val="20"/>
                <w:szCs w:val="20"/>
                <w:lang w:val="es-AR"/>
              </w:rPr>
            </w:pPr>
          </w:p>
        </w:tc>
        <w:tc>
          <w:tcPr>
            <w:tcW w:w="3740" w:type="dxa"/>
            <w:gridSpan w:val="2"/>
            <w:tcBorders>
              <w:top w:val="nil"/>
              <w:left w:val="nil"/>
              <w:bottom w:val="nil"/>
              <w:right w:val="nil"/>
            </w:tcBorders>
            <w:shd w:val="clear" w:color="auto" w:fill="auto"/>
            <w:noWrap/>
            <w:vAlign w:val="bottom"/>
            <w:hideMark/>
          </w:tcPr>
          <w:p w14:paraId="6EFB7334" w14:textId="77777777" w:rsidR="008F16FC" w:rsidRPr="008F16FC" w:rsidRDefault="008F16FC" w:rsidP="008F16FC">
            <w:pPr>
              <w:rPr>
                <w:color w:val="000000"/>
                <w:sz w:val="20"/>
                <w:szCs w:val="20"/>
                <w:lang w:val="es-AR"/>
              </w:rPr>
            </w:pPr>
            <w:r w:rsidRPr="008F16FC">
              <w:rPr>
                <w:color w:val="000000"/>
                <w:sz w:val="20"/>
                <w:szCs w:val="20"/>
                <w:lang w:val="es-AR"/>
              </w:rPr>
              <w:t>Reserva legal</w:t>
            </w:r>
          </w:p>
        </w:tc>
        <w:tc>
          <w:tcPr>
            <w:tcW w:w="2080" w:type="dxa"/>
            <w:tcBorders>
              <w:top w:val="nil"/>
              <w:left w:val="nil"/>
              <w:bottom w:val="nil"/>
              <w:right w:val="nil"/>
            </w:tcBorders>
            <w:shd w:val="clear" w:color="auto" w:fill="auto"/>
            <w:noWrap/>
            <w:vAlign w:val="bottom"/>
          </w:tcPr>
          <w:p w14:paraId="3F7F874E" w14:textId="77777777" w:rsidR="008F16FC" w:rsidRPr="008F16FC" w:rsidRDefault="008F16FC" w:rsidP="008F16FC">
            <w:pPr>
              <w:jc w:val="right"/>
              <w:rPr>
                <w:color w:val="000000"/>
                <w:sz w:val="20"/>
                <w:szCs w:val="20"/>
                <w:lang w:val="es-AR"/>
              </w:rPr>
            </w:pPr>
            <w:r w:rsidRPr="008F16FC">
              <w:rPr>
                <w:color w:val="000000"/>
                <w:sz w:val="20"/>
                <w:szCs w:val="20"/>
                <w:lang w:val="es-AR"/>
              </w:rPr>
              <w:t>35.329</w:t>
            </w:r>
          </w:p>
        </w:tc>
        <w:tc>
          <w:tcPr>
            <w:tcW w:w="1957" w:type="dxa"/>
            <w:tcBorders>
              <w:top w:val="nil"/>
              <w:left w:val="nil"/>
              <w:bottom w:val="nil"/>
              <w:right w:val="nil"/>
            </w:tcBorders>
            <w:vAlign w:val="bottom"/>
          </w:tcPr>
          <w:p w14:paraId="1A768717" w14:textId="77777777" w:rsidR="008F16FC" w:rsidRPr="008F16FC" w:rsidRDefault="008F16FC" w:rsidP="008F16FC">
            <w:pPr>
              <w:jc w:val="right"/>
              <w:rPr>
                <w:color w:val="000000"/>
                <w:sz w:val="20"/>
                <w:szCs w:val="20"/>
                <w:lang w:val="es-AR"/>
              </w:rPr>
            </w:pPr>
            <w:r w:rsidRPr="008F16FC">
              <w:rPr>
                <w:color w:val="000000"/>
                <w:sz w:val="20"/>
                <w:szCs w:val="20"/>
                <w:lang w:val="es-AR"/>
              </w:rPr>
              <w:t xml:space="preserve">35.329 </w:t>
            </w:r>
          </w:p>
        </w:tc>
      </w:tr>
      <w:tr w:rsidR="008F16FC" w:rsidRPr="008F16FC" w14:paraId="49B04F8E" w14:textId="77777777" w:rsidTr="008F16FC">
        <w:trPr>
          <w:gridAfter w:val="2"/>
          <w:wAfter w:w="4160" w:type="dxa"/>
          <w:trHeight w:val="255"/>
        </w:trPr>
        <w:tc>
          <w:tcPr>
            <w:tcW w:w="503" w:type="dxa"/>
            <w:tcBorders>
              <w:top w:val="nil"/>
              <w:left w:val="nil"/>
              <w:bottom w:val="nil"/>
              <w:right w:val="nil"/>
            </w:tcBorders>
            <w:shd w:val="clear" w:color="auto" w:fill="auto"/>
            <w:noWrap/>
            <w:vAlign w:val="bottom"/>
            <w:hideMark/>
          </w:tcPr>
          <w:p w14:paraId="5AEF22C3" w14:textId="77777777" w:rsidR="008F16FC" w:rsidRPr="008F16FC" w:rsidRDefault="008F16FC" w:rsidP="008F16FC">
            <w:pPr>
              <w:rPr>
                <w:b/>
                <w:bCs/>
                <w:color w:val="000000"/>
                <w:sz w:val="20"/>
                <w:szCs w:val="20"/>
                <w:lang w:val="es-AR"/>
              </w:rPr>
            </w:pPr>
          </w:p>
        </w:tc>
        <w:tc>
          <w:tcPr>
            <w:tcW w:w="503" w:type="dxa"/>
            <w:tcBorders>
              <w:top w:val="nil"/>
              <w:left w:val="nil"/>
              <w:bottom w:val="nil"/>
              <w:right w:val="nil"/>
            </w:tcBorders>
            <w:shd w:val="clear" w:color="auto" w:fill="auto"/>
            <w:noWrap/>
            <w:vAlign w:val="bottom"/>
            <w:hideMark/>
          </w:tcPr>
          <w:p w14:paraId="2315675C" w14:textId="77777777" w:rsidR="008F16FC" w:rsidRPr="008F16FC" w:rsidRDefault="008F16FC" w:rsidP="008F16FC">
            <w:pPr>
              <w:rPr>
                <w:b/>
                <w:bCs/>
                <w:color w:val="000000"/>
                <w:sz w:val="20"/>
                <w:szCs w:val="20"/>
                <w:lang w:val="es-AR"/>
              </w:rPr>
            </w:pPr>
          </w:p>
        </w:tc>
        <w:tc>
          <w:tcPr>
            <w:tcW w:w="3740" w:type="dxa"/>
            <w:gridSpan w:val="2"/>
            <w:tcBorders>
              <w:top w:val="nil"/>
              <w:left w:val="nil"/>
              <w:bottom w:val="nil"/>
              <w:right w:val="nil"/>
            </w:tcBorders>
            <w:shd w:val="clear" w:color="auto" w:fill="auto"/>
            <w:noWrap/>
            <w:vAlign w:val="bottom"/>
            <w:hideMark/>
          </w:tcPr>
          <w:p w14:paraId="072B0A12" w14:textId="77777777" w:rsidR="008F16FC" w:rsidRPr="008F16FC" w:rsidRDefault="008F16FC" w:rsidP="008F16FC">
            <w:pPr>
              <w:rPr>
                <w:color w:val="000000"/>
                <w:sz w:val="20"/>
                <w:szCs w:val="20"/>
                <w:lang w:val="es-AR"/>
              </w:rPr>
            </w:pPr>
            <w:r w:rsidRPr="008F16FC">
              <w:rPr>
                <w:color w:val="000000"/>
                <w:sz w:val="20"/>
                <w:szCs w:val="20"/>
                <w:lang w:val="es-AR"/>
              </w:rPr>
              <w:t>Otras reservas</w:t>
            </w:r>
          </w:p>
        </w:tc>
        <w:tc>
          <w:tcPr>
            <w:tcW w:w="2080" w:type="dxa"/>
            <w:tcBorders>
              <w:top w:val="nil"/>
              <w:left w:val="nil"/>
              <w:bottom w:val="nil"/>
              <w:right w:val="nil"/>
            </w:tcBorders>
            <w:shd w:val="clear" w:color="auto" w:fill="auto"/>
            <w:noWrap/>
            <w:vAlign w:val="bottom"/>
          </w:tcPr>
          <w:p w14:paraId="192DF942" w14:textId="77777777" w:rsidR="008F16FC" w:rsidRPr="008F16FC" w:rsidRDefault="008F16FC" w:rsidP="008F16FC">
            <w:pPr>
              <w:jc w:val="right"/>
              <w:rPr>
                <w:color w:val="000000"/>
                <w:sz w:val="20"/>
                <w:szCs w:val="20"/>
                <w:lang w:val="es-AR"/>
              </w:rPr>
            </w:pPr>
            <w:r w:rsidRPr="008F16FC">
              <w:rPr>
                <w:color w:val="000000"/>
                <w:sz w:val="20"/>
                <w:szCs w:val="20"/>
                <w:lang w:val="es-AR"/>
              </w:rPr>
              <w:t>455.738</w:t>
            </w:r>
          </w:p>
        </w:tc>
        <w:tc>
          <w:tcPr>
            <w:tcW w:w="1957" w:type="dxa"/>
            <w:tcBorders>
              <w:top w:val="nil"/>
              <w:left w:val="nil"/>
              <w:bottom w:val="nil"/>
              <w:right w:val="nil"/>
            </w:tcBorders>
            <w:vAlign w:val="bottom"/>
          </w:tcPr>
          <w:p w14:paraId="13C00C9B" w14:textId="77777777" w:rsidR="008F16FC" w:rsidRPr="008F16FC" w:rsidRDefault="008F16FC" w:rsidP="008F16FC">
            <w:pPr>
              <w:jc w:val="right"/>
              <w:rPr>
                <w:color w:val="000000"/>
                <w:sz w:val="20"/>
                <w:szCs w:val="20"/>
                <w:lang w:val="es-AR"/>
              </w:rPr>
            </w:pPr>
            <w:r w:rsidRPr="008F16FC">
              <w:rPr>
                <w:color w:val="000000"/>
                <w:sz w:val="20"/>
                <w:szCs w:val="20"/>
                <w:lang w:val="es-AR"/>
              </w:rPr>
              <w:t xml:space="preserve">455.738 </w:t>
            </w:r>
          </w:p>
        </w:tc>
      </w:tr>
      <w:tr w:rsidR="008F16FC" w:rsidRPr="008F16FC" w14:paraId="0EEEC2A9" w14:textId="77777777" w:rsidTr="008F16FC">
        <w:trPr>
          <w:gridAfter w:val="2"/>
          <w:wAfter w:w="4160" w:type="dxa"/>
          <w:trHeight w:val="255"/>
        </w:trPr>
        <w:tc>
          <w:tcPr>
            <w:tcW w:w="503" w:type="dxa"/>
            <w:tcBorders>
              <w:top w:val="nil"/>
              <w:left w:val="nil"/>
              <w:bottom w:val="nil"/>
              <w:right w:val="nil"/>
            </w:tcBorders>
            <w:shd w:val="clear" w:color="auto" w:fill="auto"/>
            <w:noWrap/>
            <w:vAlign w:val="bottom"/>
            <w:hideMark/>
          </w:tcPr>
          <w:p w14:paraId="0BE8CBBD" w14:textId="77777777" w:rsidR="008F16FC" w:rsidRPr="008F16FC" w:rsidRDefault="008F16FC" w:rsidP="008F16FC">
            <w:pPr>
              <w:rPr>
                <w:b/>
                <w:bCs/>
                <w:color w:val="000000"/>
                <w:sz w:val="20"/>
                <w:szCs w:val="20"/>
                <w:lang w:val="es-AR"/>
              </w:rPr>
            </w:pPr>
          </w:p>
        </w:tc>
        <w:tc>
          <w:tcPr>
            <w:tcW w:w="503" w:type="dxa"/>
            <w:tcBorders>
              <w:top w:val="nil"/>
              <w:left w:val="nil"/>
              <w:bottom w:val="nil"/>
              <w:right w:val="nil"/>
            </w:tcBorders>
            <w:shd w:val="clear" w:color="auto" w:fill="auto"/>
            <w:noWrap/>
            <w:vAlign w:val="bottom"/>
            <w:hideMark/>
          </w:tcPr>
          <w:p w14:paraId="7CDCBA45" w14:textId="77777777" w:rsidR="008F16FC" w:rsidRPr="008F16FC" w:rsidRDefault="008F16FC" w:rsidP="008F16FC">
            <w:pPr>
              <w:rPr>
                <w:b/>
                <w:bCs/>
                <w:color w:val="000000"/>
                <w:sz w:val="20"/>
                <w:szCs w:val="20"/>
                <w:lang w:val="es-AR"/>
              </w:rPr>
            </w:pPr>
          </w:p>
        </w:tc>
        <w:tc>
          <w:tcPr>
            <w:tcW w:w="3740" w:type="dxa"/>
            <w:gridSpan w:val="2"/>
            <w:tcBorders>
              <w:top w:val="nil"/>
              <w:left w:val="nil"/>
              <w:bottom w:val="nil"/>
              <w:right w:val="nil"/>
            </w:tcBorders>
            <w:shd w:val="clear" w:color="auto" w:fill="auto"/>
            <w:noWrap/>
            <w:vAlign w:val="bottom"/>
            <w:hideMark/>
          </w:tcPr>
          <w:p w14:paraId="3AE2D424" w14:textId="77777777" w:rsidR="008F16FC" w:rsidRPr="008F16FC" w:rsidRDefault="008F16FC" w:rsidP="008F16FC">
            <w:pPr>
              <w:rPr>
                <w:color w:val="000000"/>
                <w:sz w:val="20"/>
                <w:szCs w:val="20"/>
                <w:lang w:val="es-AR"/>
              </w:rPr>
            </w:pPr>
            <w:r w:rsidRPr="008F16FC">
              <w:rPr>
                <w:color w:val="000000"/>
                <w:sz w:val="20"/>
                <w:szCs w:val="20"/>
                <w:lang w:val="es-AR"/>
              </w:rPr>
              <w:t>Reserva Especial CNV Res.609/12</w:t>
            </w:r>
          </w:p>
        </w:tc>
        <w:tc>
          <w:tcPr>
            <w:tcW w:w="2080" w:type="dxa"/>
            <w:tcBorders>
              <w:top w:val="nil"/>
              <w:left w:val="nil"/>
              <w:bottom w:val="nil"/>
              <w:right w:val="nil"/>
            </w:tcBorders>
            <w:shd w:val="clear" w:color="auto" w:fill="auto"/>
            <w:noWrap/>
            <w:vAlign w:val="bottom"/>
          </w:tcPr>
          <w:p w14:paraId="2AF13249" w14:textId="77777777" w:rsidR="008F16FC" w:rsidRPr="008F16FC" w:rsidRDefault="008F16FC" w:rsidP="008F16FC">
            <w:pPr>
              <w:jc w:val="right"/>
              <w:rPr>
                <w:color w:val="000000"/>
                <w:sz w:val="20"/>
                <w:szCs w:val="20"/>
                <w:lang w:val="es-AR"/>
              </w:rPr>
            </w:pPr>
            <w:r w:rsidRPr="008F16FC">
              <w:rPr>
                <w:color w:val="000000"/>
                <w:sz w:val="20"/>
                <w:szCs w:val="20"/>
                <w:lang w:val="es-AR"/>
              </w:rPr>
              <w:t>90.406</w:t>
            </w:r>
          </w:p>
        </w:tc>
        <w:tc>
          <w:tcPr>
            <w:tcW w:w="1957" w:type="dxa"/>
            <w:tcBorders>
              <w:top w:val="nil"/>
              <w:left w:val="nil"/>
              <w:bottom w:val="nil"/>
              <w:right w:val="nil"/>
            </w:tcBorders>
            <w:vAlign w:val="bottom"/>
          </w:tcPr>
          <w:p w14:paraId="0222DFC2" w14:textId="77777777" w:rsidR="008F16FC" w:rsidRPr="008F16FC" w:rsidRDefault="008F16FC" w:rsidP="008F16FC">
            <w:pPr>
              <w:jc w:val="right"/>
              <w:rPr>
                <w:color w:val="000000"/>
                <w:sz w:val="20"/>
                <w:szCs w:val="20"/>
                <w:lang w:val="es-AR"/>
              </w:rPr>
            </w:pPr>
            <w:r w:rsidRPr="008F16FC">
              <w:rPr>
                <w:color w:val="000000"/>
                <w:sz w:val="20"/>
                <w:szCs w:val="20"/>
                <w:lang w:val="es-AR"/>
              </w:rPr>
              <w:t xml:space="preserve">90.406 </w:t>
            </w:r>
          </w:p>
        </w:tc>
      </w:tr>
      <w:tr w:rsidR="008F16FC" w:rsidRPr="008F16FC" w14:paraId="0B422176" w14:textId="77777777" w:rsidTr="008F16FC">
        <w:trPr>
          <w:gridAfter w:val="2"/>
          <w:wAfter w:w="4160" w:type="dxa"/>
          <w:trHeight w:val="255"/>
        </w:trPr>
        <w:tc>
          <w:tcPr>
            <w:tcW w:w="503" w:type="dxa"/>
            <w:tcBorders>
              <w:top w:val="nil"/>
              <w:left w:val="nil"/>
              <w:bottom w:val="nil"/>
              <w:right w:val="nil"/>
            </w:tcBorders>
            <w:shd w:val="clear" w:color="auto" w:fill="auto"/>
            <w:noWrap/>
            <w:vAlign w:val="bottom"/>
            <w:hideMark/>
          </w:tcPr>
          <w:p w14:paraId="78AE952D" w14:textId="77777777" w:rsidR="008F16FC" w:rsidRPr="008F16FC" w:rsidRDefault="008F16FC" w:rsidP="008F16FC">
            <w:pPr>
              <w:rPr>
                <w:b/>
                <w:bCs/>
                <w:color w:val="000000"/>
                <w:sz w:val="20"/>
                <w:szCs w:val="20"/>
                <w:lang w:val="es-AR"/>
              </w:rPr>
            </w:pPr>
          </w:p>
        </w:tc>
        <w:tc>
          <w:tcPr>
            <w:tcW w:w="503" w:type="dxa"/>
            <w:tcBorders>
              <w:top w:val="nil"/>
              <w:left w:val="nil"/>
              <w:bottom w:val="nil"/>
              <w:right w:val="nil"/>
            </w:tcBorders>
            <w:shd w:val="clear" w:color="auto" w:fill="auto"/>
            <w:noWrap/>
            <w:vAlign w:val="bottom"/>
            <w:hideMark/>
          </w:tcPr>
          <w:p w14:paraId="5C9DD0A3" w14:textId="77777777" w:rsidR="008F16FC" w:rsidRPr="008F16FC" w:rsidRDefault="008F16FC" w:rsidP="008F16FC">
            <w:pPr>
              <w:rPr>
                <w:b/>
                <w:bCs/>
                <w:color w:val="000000"/>
                <w:sz w:val="20"/>
                <w:szCs w:val="20"/>
                <w:lang w:val="es-AR"/>
              </w:rPr>
            </w:pPr>
          </w:p>
        </w:tc>
        <w:tc>
          <w:tcPr>
            <w:tcW w:w="3740" w:type="dxa"/>
            <w:gridSpan w:val="2"/>
            <w:tcBorders>
              <w:top w:val="nil"/>
              <w:left w:val="nil"/>
              <w:bottom w:val="nil"/>
              <w:right w:val="nil"/>
            </w:tcBorders>
            <w:shd w:val="clear" w:color="auto" w:fill="auto"/>
            <w:noWrap/>
            <w:vAlign w:val="bottom"/>
            <w:hideMark/>
          </w:tcPr>
          <w:p w14:paraId="2D59EFA2" w14:textId="7D804E92" w:rsidR="008F16FC" w:rsidRPr="008F16FC" w:rsidRDefault="008F16FC" w:rsidP="008F16FC">
            <w:pPr>
              <w:rPr>
                <w:color w:val="000000"/>
                <w:sz w:val="20"/>
                <w:szCs w:val="20"/>
                <w:lang w:val="es-AR"/>
              </w:rPr>
            </w:pPr>
            <w:r w:rsidRPr="008F16FC">
              <w:rPr>
                <w:color w:val="000000"/>
                <w:sz w:val="20"/>
                <w:szCs w:val="20"/>
                <w:lang w:val="es-AR"/>
              </w:rPr>
              <w:t xml:space="preserve">Resultados no asignados </w:t>
            </w:r>
          </w:p>
        </w:tc>
        <w:tc>
          <w:tcPr>
            <w:tcW w:w="2080" w:type="dxa"/>
            <w:tcBorders>
              <w:top w:val="nil"/>
              <w:left w:val="nil"/>
              <w:bottom w:val="nil"/>
              <w:right w:val="nil"/>
            </w:tcBorders>
            <w:shd w:val="clear" w:color="auto" w:fill="auto"/>
            <w:noWrap/>
            <w:vAlign w:val="bottom"/>
          </w:tcPr>
          <w:p w14:paraId="6E4ADB56" w14:textId="77777777" w:rsidR="008F16FC" w:rsidRPr="008F16FC" w:rsidRDefault="008F16FC" w:rsidP="008F16FC">
            <w:pPr>
              <w:jc w:val="right"/>
              <w:rPr>
                <w:color w:val="000000"/>
                <w:sz w:val="20"/>
                <w:szCs w:val="20"/>
                <w:lang w:val="es-AR"/>
              </w:rPr>
            </w:pPr>
            <w:r w:rsidRPr="008F16FC">
              <w:rPr>
                <w:color w:val="000000"/>
                <w:sz w:val="20"/>
                <w:szCs w:val="20"/>
                <w:lang w:val="es-AR"/>
              </w:rPr>
              <w:t>688.771</w:t>
            </w:r>
          </w:p>
        </w:tc>
        <w:tc>
          <w:tcPr>
            <w:tcW w:w="1957" w:type="dxa"/>
            <w:tcBorders>
              <w:top w:val="nil"/>
              <w:left w:val="nil"/>
              <w:bottom w:val="nil"/>
              <w:right w:val="nil"/>
            </w:tcBorders>
            <w:vAlign w:val="bottom"/>
          </w:tcPr>
          <w:p w14:paraId="48CD6901" w14:textId="77777777" w:rsidR="008F16FC" w:rsidRPr="008F16FC" w:rsidRDefault="008F16FC" w:rsidP="008F16FC">
            <w:pPr>
              <w:jc w:val="right"/>
              <w:rPr>
                <w:color w:val="000000"/>
                <w:sz w:val="20"/>
                <w:szCs w:val="20"/>
                <w:lang w:val="es-AR"/>
              </w:rPr>
            </w:pPr>
            <w:r w:rsidRPr="008F16FC">
              <w:rPr>
                <w:color w:val="000000"/>
                <w:sz w:val="20"/>
                <w:szCs w:val="20"/>
                <w:lang w:val="es-AR"/>
              </w:rPr>
              <w:t xml:space="preserve">609.942 </w:t>
            </w:r>
          </w:p>
        </w:tc>
      </w:tr>
      <w:tr w:rsidR="008F16FC" w:rsidRPr="008F16FC" w14:paraId="694CAEC3" w14:textId="77777777" w:rsidTr="008F16FC">
        <w:trPr>
          <w:gridAfter w:val="2"/>
          <w:wAfter w:w="4160" w:type="dxa"/>
          <w:trHeight w:val="255"/>
        </w:trPr>
        <w:tc>
          <w:tcPr>
            <w:tcW w:w="503" w:type="dxa"/>
            <w:tcBorders>
              <w:top w:val="nil"/>
              <w:left w:val="nil"/>
              <w:bottom w:val="nil"/>
              <w:right w:val="nil"/>
            </w:tcBorders>
            <w:shd w:val="clear" w:color="auto" w:fill="auto"/>
            <w:noWrap/>
            <w:vAlign w:val="bottom"/>
            <w:hideMark/>
          </w:tcPr>
          <w:p w14:paraId="030A5408" w14:textId="77777777" w:rsidR="008F16FC" w:rsidRPr="008F16FC" w:rsidRDefault="008F16FC" w:rsidP="008F16FC">
            <w:pPr>
              <w:rPr>
                <w:b/>
                <w:bCs/>
                <w:color w:val="000000"/>
                <w:sz w:val="20"/>
                <w:szCs w:val="20"/>
                <w:lang w:val="es-AR"/>
              </w:rPr>
            </w:pPr>
          </w:p>
        </w:tc>
        <w:tc>
          <w:tcPr>
            <w:tcW w:w="503" w:type="dxa"/>
            <w:tcBorders>
              <w:top w:val="nil"/>
              <w:left w:val="nil"/>
              <w:bottom w:val="nil"/>
              <w:right w:val="nil"/>
            </w:tcBorders>
            <w:shd w:val="clear" w:color="auto" w:fill="auto"/>
            <w:noWrap/>
            <w:vAlign w:val="bottom"/>
            <w:hideMark/>
          </w:tcPr>
          <w:p w14:paraId="3E46782B" w14:textId="77777777" w:rsidR="008F16FC" w:rsidRPr="008F16FC" w:rsidRDefault="008F16FC" w:rsidP="008F16FC">
            <w:pPr>
              <w:rPr>
                <w:b/>
                <w:bCs/>
                <w:color w:val="000000"/>
                <w:sz w:val="20"/>
                <w:szCs w:val="20"/>
                <w:lang w:val="es-AR"/>
              </w:rPr>
            </w:pPr>
          </w:p>
        </w:tc>
        <w:tc>
          <w:tcPr>
            <w:tcW w:w="503" w:type="dxa"/>
            <w:tcBorders>
              <w:top w:val="nil"/>
              <w:left w:val="nil"/>
              <w:bottom w:val="nil"/>
              <w:right w:val="nil"/>
            </w:tcBorders>
            <w:shd w:val="clear" w:color="auto" w:fill="auto"/>
            <w:noWrap/>
            <w:vAlign w:val="bottom"/>
            <w:hideMark/>
          </w:tcPr>
          <w:p w14:paraId="307CEB7B" w14:textId="77777777" w:rsidR="008F16FC" w:rsidRPr="008F16FC" w:rsidRDefault="008F16FC" w:rsidP="008F16FC">
            <w:pPr>
              <w:rPr>
                <w:color w:val="000000"/>
                <w:sz w:val="20"/>
                <w:szCs w:val="20"/>
                <w:lang w:val="es-AR"/>
              </w:rPr>
            </w:pPr>
          </w:p>
        </w:tc>
        <w:tc>
          <w:tcPr>
            <w:tcW w:w="3237" w:type="dxa"/>
            <w:tcBorders>
              <w:top w:val="nil"/>
              <w:left w:val="nil"/>
              <w:bottom w:val="nil"/>
              <w:right w:val="nil"/>
            </w:tcBorders>
            <w:shd w:val="clear" w:color="auto" w:fill="auto"/>
            <w:noWrap/>
            <w:vAlign w:val="bottom"/>
            <w:hideMark/>
          </w:tcPr>
          <w:p w14:paraId="4362A0B4" w14:textId="77777777" w:rsidR="008F16FC" w:rsidRPr="008F16FC" w:rsidRDefault="008F16FC" w:rsidP="008F16FC">
            <w:pPr>
              <w:rPr>
                <w:color w:val="000000"/>
                <w:sz w:val="20"/>
                <w:szCs w:val="20"/>
                <w:lang w:val="es-AR"/>
              </w:rPr>
            </w:pPr>
          </w:p>
        </w:tc>
        <w:tc>
          <w:tcPr>
            <w:tcW w:w="2080" w:type="dxa"/>
            <w:tcBorders>
              <w:top w:val="nil"/>
              <w:left w:val="nil"/>
              <w:bottom w:val="nil"/>
              <w:right w:val="nil"/>
            </w:tcBorders>
            <w:shd w:val="clear" w:color="auto" w:fill="auto"/>
            <w:noWrap/>
            <w:vAlign w:val="bottom"/>
          </w:tcPr>
          <w:p w14:paraId="39BBFD1F" w14:textId="77777777" w:rsidR="008F16FC" w:rsidRPr="008F16FC" w:rsidRDefault="008F16FC" w:rsidP="008F16FC">
            <w:pPr>
              <w:rPr>
                <w:color w:val="000000"/>
                <w:sz w:val="20"/>
                <w:szCs w:val="20"/>
                <w:lang w:val="es-AR"/>
              </w:rPr>
            </w:pPr>
          </w:p>
        </w:tc>
        <w:tc>
          <w:tcPr>
            <w:tcW w:w="1957" w:type="dxa"/>
            <w:tcBorders>
              <w:top w:val="nil"/>
              <w:left w:val="nil"/>
              <w:bottom w:val="nil"/>
              <w:right w:val="nil"/>
            </w:tcBorders>
          </w:tcPr>
          <w:p w14:paraId="7BEA5F08" w14:textId="77777777" w:rsidR="008F16FC" w:rsidRPr="008F16FC" w:rsidRDefault="008F16FC" w:rsidP="008F16FC">
            <w:pPr>
              <w:rPr>
                <w:color w:val="000000"/>
                <w:sz w:val="20"/>
                <w:szCs w:val="20"/>
                <w:lang w:val="es-AR"/>
              </w:rPr>
            </w:pPr>
          </w:p>
        </w:tc>
      </w:tr>
      <w:tr w:rsidR="008F16FC" w:rsidRPr="008F16FC" w14:paraId="5F4844BF" w14:textId="77777777" w:rsidTr="008F16FC">
        <w:trPr>
          <w:trHeight w:val="255"/>
        </w:trPr>
        <w:tc>
          <w:tcPr>
            <w:tcW w:w="4746" w:type="dxa"/>
            <w:gridSpan w:val="4"/>
            <w:tcBorders>
              <w:top w:val="nil"/>
              <w:left w:val="nil"/>
              <w:bottom w:val="nil"/>
              <w:right w:val="nil"/>
            </w:tcBorders>
            <w:shd w:val="clear" w:color="auto" w:fill="auto"/>
            <w:noWrap/>
            <w:vAlign w:val="bottom"/>
            <w:hideMark/>
          </w:tcPr>
          <w:p w14:paraId="3DD96E98" w14:textId="77777777" w:rsidR="008F16FC" w:rsidRPr="008F16FC" w:rsidRDefault="008F16FC" w:rsidP="008F16FC">
            <w:pPr>
              <w:rPr>
                <w:b/>
                <w:bCs/>
                <w:color w:val="000000"/>
                <w:sz w:val="20"/>
                <w:szCs w:val="20"/>
                <w:lang w:val="es-AR"/>
              </w:rPr>
            </w:pPr>
            <w:r w:rsidRPr="008F16FC">
              <w:rPr>
                <w:b/>
                <w:bCs/>
                <w:color w:val="000000"/>
                <w:sz w:val="20"/>
                <w:szCs w:val="20"/>
                <w:lang w:val="es-AR"/>
              </w:rPr>
              <w:t>Total de la controladora</w:t>
            </w:r>
          </w:p>
        </w:tc>
        <w:tc>
          <w:tcPr>
            <w:tcW w:w="2080" w:type="dxa"/>
            <w:tcBorders>
              <w:top w:val="nil"/>
              <w:left w:val="nil"/>
              <w:bottom w:val="nil"/>
              <w:right w:val="nil"/>
            </w:tcBorders>
            <w:shd w:val="clear" w:color="auto" w:fill="auto"/>
            <w:noWrap/>
            <w:vAlign w:val="bottom"/>
          </w:tcPr>
          <w:p w14:paraId="59748B71" w14:textId="77777777" w:rsidR="008F16FC" w:rsidRPr="008F16FC" w:rsidRDefault="008F16FC" w:rsidP="008F16FC">
            <w:pPr>
              <w:jc w:val="right"/>
              <w:rPr>
                <w:b/>
                <w:bCs/>
                <w:color w:val="000000"/>
                <w:sz w:val="20"/>
                <w:szCs w:val="20"/>
                <w:lang w:val="es-AR"/>
              </w:rPr>
            </w:pPr>
            <w:r w:rsidRPr="008F16FC">
              <w:rPr>
                <w:b/>
                <w:bCs/>
                <w:color w:val="000000"/>
                <w:sz w:val="20"/>
                <w:szCs w:val="20"/>
                <w:lang w:val="es-AR"/>
              </w:rPr>
              <w:t>3.193.242</w:t>
            </w:r>
          </w:p>
        </w:tc>
        <w:tc>
          <w:tcPr>
            <w:tcW w:w="1957" w:type="dxa"/>
            <w:tcBorders>
              <w:top w:val="nil"/>
              <w:left w:val="nil"/>
              <w:bottom w:val="nil"/>
              <w:right w:val="nil"/>
            </w:tcBorders>
            <w:vAlign w:val="bottom"/>
          </w:tcPr>
          <w:p w14:paraId="6716602A" w14:textId="77777777" w:rsidR="008F16FC" w:rsidRPr="008F16FC" w:rsidRDefault="008F16FC" w:rsidP="008F16FC">
            <w:pPr>
              <w:jc w:val="right"/>
              <w:rPr>
                <w:b/>
                <w:bCs/>
                <w:color w:val="000000"/>
                <w:sz w:val="20"/>
                <w:szCs w:val="20"/>
                <w:lang w:val="es-AR"/>
              </w:rPr>
            </w:pPr>
            <w:r w:rsidRPr="008F16FC">
              <w:rPr>
                <w:b/>
                <w:bCs/>
                <w:color w:val="000000"/>
                <w:sz w:val="20"/>
                <w:szCs w:val="20"/>
                <w:lang w:val="es-AR"/>
              </w:rPr>
              <w:t xml:space="preserve">2.811.131 </w:t>
            </w:r>
          </w:p>
        </w:tc>
        <w:tc>
          <w:tcPr>
            <w:tcW w:w="2080" w:type="dxa"/>
          </w:tcPr>
          <w:p w14:paraId="60741D99" w14:textId="77777777" w:rsidR="008F16FC" w:rsidRPr="008F16FC" w:rsidRDefault="008F16FC" w:rsidP="008F16FC">
            <w:pPr>
              <w:rPr>
                <w:rFonts w:eastAsia="Calibri"/>
                <w:sz w:val="22"/>
                <w:szCs w:val="22"/>
                <w:lang w:val="es-MX"/>
              </w:rPr>
            </w:pPr>
          </w:p>
        </w:tc>
        <w:tc>
          <w:tcPr>
            <w:tcW w:w="2080" w:type="dxa"/>
            <w:vAlign w:val="bottom"/>
          </w:tcPr>
          <w:p w14:paraId="61A05776" w14:textId="69497DB8" w:rsidR="008F16FC" w:rsidRPr="008F16FC" w:rsidRDefault="008F16FC" w:rsidP="008F16FC">
            <w:pPr>
              <w:rPr>
                <w:rFonts w:eastAsia="Calibri"/>
                <w:sz w:val="22"/>
                <w:szCs w:val="22"/>
                <w:lang w:val="es-MX"/>
              </w:rPr>
            </w:pPr>
          </w:p>
        </w:tc>
      </w:tr>
      <w:tr w:rsidR="008F16FC" w:rsidRPr="008F16FC" w14:paraId="20A28815" w14:textId="77777777" w:rsidTr="008F16FC">
        <w:trPr>
          <w:gridAfter w:val="2"/>
          <w:wAfter w:w="4160" w:type="dxa"/>
          <w:trHeight w:val="255"/>
        </w:trPr>
        <w:tc>
          <w:tcPr>
            <w:tcW w:w="503" w:type="dxa"/>
            <w:tcBorders>
              <w:top w:val="nil"/>
              <w:left w:val="nil"/>
              <w:bottom w:val="nil"/>
              <w:right w:val="nil"/>
            </w:tcBorders>
            <w:shd w:val="clear" w:color="auto" w:fill="auto"/>
            <w:noWrap/>
            <w:vAlign w:val="bottom"/>
            <w:hideMark/>
          </w:tcPr>
          <w:p w14:paraId="72824F64" w14:textId="77777777" w:rsidR="008F16FC" w:rsidRPr="008F16FC" w:rsidRDefault="008F16FC" w:rsidP="008F16FC">
            <w:pPr>
              <w:rPr>
                <w:b/>
                <w:bCs/>
                <w:color w:val="000000"/>
                <w:sz w:val="20"/>
                <w:szCs w:val="20"/>
                <w:lang w:val="es-AR"/>
              </w:rPr>
            </w:pPr>
          </w:p>
        </w:tc>
        <w:tc>
          <w:tcPr>
            <w:tcW w:w="503" w:type="dxa"/>
            <w:tcBorders>
              <w:top w:val="nil"/>
              <w:left w:val="nil"/>
              <w:bottom w:val="nil"/>
              <w:right w:val="nil"/>
            </w:tcBorders>
            <w:shd w:val="clear" w:color="auto" w:fill="auto"/>
            <w:noWrap/>
            <w:vAlign w:val="bottom"/>
            <w:hideMark/>
          </w:tcPr>
          <w:p w14:paraId="0C2CA0C6" w14:textId="77777777" w:rsidR="008F16FC" w:rsidRPr="008F16FC" w:rsidRDefault="008F16FC" w:rsidP="008F16FC">
            <w:pPr>
              <w:rPr>
                <w:b/>
                <w:bCs/>
                <w:color w:val="000000"/>
                <w:sz w:val="20"/>
                <w:szCs w:val="20"/>
                <w:lang w:val="es-AR"/>
              </w:rPr>
            </w:pPr>
          </w:p>
        </w:tc>
        <w:tc>
          <w:tcPr>
            <w:tcW w:w="503" w:type="dxa"/>
            <w:tcBorders>
              <w:top w:val="nil"/>
              <w:left w:val="nil"/>
              <w:bottom w:val="nil"/>
              <w:right w:val="nil"/>
            </w:tcBorders>
            <w:shd w:val="clear" w:color="auto" w:fill="auto"/>
            <w:noWrap/>
            <w:vAlign w:val="bottom"/>
            <w:hideMark/>
          </w:tcPr>
          <w:p w14:paraId="27207FB5" w14:textId="77777777" w:rsidR="008F16FC" w:rsidRPr="008F16FC" w:rsidRDefault="008F16FC" w:rsidP="008F16FC">
            <w:pPr>
              <w:rPr>
                <w:color w:val="000000"/>
                <w:sz w:val="20"/>
                <w:szCs w:val="20"/>
                <w:lang w:val="es-AR"/>
              </w:rPr>
            </w:pPr>
          </w:p>
        </w:tc>
        <w:tc>
          <w:tcPr>
            <w:tcW w:w="3237" w:type="dxa"/>
            <w:tcBorders>
              <w:top w:val="nil"/>
              <w:left w:val="nil"/>
              <w:bottom w:val="nil"/>
              <w:right w:val="nil"/>
            </w:tcBorders>
            <w:shd w:val="clear" w:color="auto" w:fill="auto"/>
            <w:noWrap/>
            <w:vAlign w:val="bottom"/>
            <w:hideMark/>
          </w:tcPr>
          <w:p w14:paraId="24D009F0" w14:textId="77777777" w:rsidR="008F16FC" w:rsidRPr="008F16FC" w:rsidRDefault="008F16FC" w:rsidP="008F16FC">
            <w:pPr>
              <w:rPr>
                <w:color w:val="000000"/>
                <w:sz w:val="20"/>
                <w:szCs w:val="20"/>
                <w:lang w:val="es-AR"/>
              </w:rPr>
            </w:pPr>
          </w:p>
        </w:tc>
        <w:tc>
          <w:tcPr>
            <w:tcW w:w="2080" w:type="dxa"/>
            <w:tcBorders>
              <w:top w:val="nil"/>
              <w:left w:val="nil"/>
              <w:bottom w:val="nil"/>
              <w:right w:val="nil"/>
            </w:tcBorders>
            <w:shd w:val="clear" w:color="auto" w:fill="auto"/>
            <w:noWrap/>
            <w:vAlign w:val="bottom"/>
          </w:tcPr>
          <w:p w14:paraId="5C1A0517" w14:textId="77777777" w:rsidR="008F16FC" w:rsidRPr="008F16FC" w:rsidRDefault="008F16FC" w:rsidP="008F16FC">
            <w:pPr>
              <w:rPr>
                <w:color w:val="000000"/>
                <w:sz w:val="20"/>
                <w:szCs w:val="20"/>
                <w:lang w:val="es-AR"/>
              </w:rPr>
            </w:pPr>
          </w:p>
        </w:tc>
        <w:tc>
          <w:tcPr>
            <w:tcW w:w="1957" w:type="dxa"/>
            <w:tcBorders>
              <w:top w:val="nil"/>
              <w:left w:val="nil"/>
              <w:bottom w:val="nil"/>
              <w:right w:val="nil"/>
            </w:tcBorders>
          </w:tcPr>
          <w:p w14:paraId="6D423971" w14:textId="77777777" w:rsidR="008F16FC" w:rsidRPr="008F16FC" w:rsidRDefault="008F16FC" w:rsidP="008F16FC">
            <w:pPr>
              <w:rPr>
                <w:color w:val="000000"/>
                <w:sz w:val="20"/>
                <w:szCs w:val="20"/>
                <w:lang w:val="es-AR"/>
              </w:rPr>
            </w:pPr>
          </w:p>
        </w:tc>
      </w:tr>
      <w:tr w:rsidR="008F16FC" w:rsidRPr="008F16FC" w14:paraId="24DAEB6D" w14:textId="77777777" w:rsidTr="008F16FC">
        <w:trPr>
          <w:trHeight w:val="255"/>
        </w:trPr>
        <w:tc>
          <w:tcPr>
            <w:tcW w:w="4746" w:type="dxa"/>
            <w:gridSpan w:val="4"/>
            <w:tcBorders>
              <w:top w:val="nil"/>
              <w:left w:val="nil"/>
              <w:bottom w:val="nil"/>
              <w:right w:val="nil"/>
            </w:tcBorders>
            <w:shd w:val="clear" w:color="auto" w:fill="auto"/>
            <w:noWrap/>
            <w:vAlign w:val="bottom"/>
            <w:hideMark/>
          </w:tcPr>
          <w:p w14:paraId="164B53FD" w14:textId="77777777" w:rsidR="008F16FC" w:rsidRPr="008F16FC" w:rsidRDefault="008F16FC" w:rsidP="008F16FC">
            <w:pPr>
              <w:rPr>
                <w:b/>
                <w:bCs/>
                <w:color w:val="000000"/>
                <w:sz w:val="20"/>
                <w:szCs w:val="20"/>
                <w:lang w:val="es-AR"/>
              </w:rPr>
            </w:pPr>
            <w:r w:rsidRPr="008F16FC">
              <w:rPr>
                <w:b/>
                <w:bCs/>
                <w:color w:val="000000"/>
                <w:sz w:val="20"/>
                <w:szCs w:val="20"/>
                <w:lang w:val="es-AR"/>
              </w:rPr>
              <w:t>Participaciones no controladas</w:t>
            </w:r>
          </w:p>
        </w:tc>
        <w:tc>
          <w:tcPr>
            <w:tcW w:w="2080" w:type="dxa"/>
            <w:tcBorders>
              <w:top w:val="nil"/>
              <w:left w:val="nil"/>
              <w:bottom w:val="nil"/>
              <w:right w:val="nil"/>
            </w:tcBorders>
            <w:shd w:val="clear" w:color="auto" w:fill="auto"/>
            <w:noWrap/>
            <w:vAlign w:val="bottom"/>
          </w:tcPr>
          <w:p w14:paraId="62E1D9E3" w14:textId="77777777" w:rsidR="008F16FC" w:rsidRPr="008F16FC" w:rsidRDefault="008F16FC" w:rsidP="008F16FC">
            <w:pPr>
              <w:jc w:val="right"/>
              <w:rPr>
                <w:color w:val="000000"/>
                <w:sz w:val="20"/>
                <w:szCs w:val="20"/>
                <w:lang w:val="es-AR"/>
              </w:rPr>
            </w:pPr>
            <w:r w:rsidRPr="008F16FC">
              <w:rPr>
                <w:color w:val="000000"/>
                <w:sz w:val="20"/>
                <w:szCs w:val="20"/>
                <w:lang w:val="es-AR"/>
              </w:rPr>
              <w:t>16.643</w:t>
            </w:r>
          </w:p>
        </w:tc>
        <w:tc>
          <w:tcPr>
            <w:tcW w:w="1957" w:type="dxa"/>
            <w:tcBorders>
              <w:top w:val="nil"/>
              <w:left w:val="nil"/>
              <w:bottom w:val="nil"/>
              <w:right w:val="nil"/>
            </w:tcBorders>
            <w:vAlign w:val="bottom"/>
          </w:tcPr>
          <w:p w14:paraId="0D70D686" w14:textId="77777777" w:rsidR="008F16FC" w:rsidRPr="008F16FC" w:rsidRDefault="008F16FC" w:rsidP="008F16FC">
            <w:pPr>
              <w:jc w:val="right"/>
              <w:rPr>
                <w:color w:val="000000"/>
                <w:sz w:val="20"/>
                <w:szCs w:val="20"/>
                <w:lang w:val="es-AR"/>
              </w:rPr>
            </w:pPr>
            <w:r w:rsidRPr="008F16FC">
              <w:rPr>
                <w:color w:val="000000"/>
                <w:sz w:val="20"/>
                <w:szCs w:val="20"/>
                <w:lang w:val="es-AR"/>
              </w:rPr>
              <w:t xml:space="preserve">17.926 </w:t>
            </w:r>
          </w:p>
        </w:tc>
        <w:tc>
          <w:tcPr>
            <w:tcW w:w="2080" w:type="dxa"/>
          </w:tcPr>
          <w:p w14:paraId="3CE28C3A" w14:textId="77777777" w:rsidR="008F16FC" w:rsidRPr="008F16FC" w:rsidRDefault="008F16FC" w:rsidP="008F16FC">
            <w:pPr>
              <w:rPr>
                <w:rFonts w:eastAsia="Calibri"/>
                <w:sz w:val="22"/>
                <w:szCs w:val="22"/>
                <w:lang w:val="es-MX"/>
              </w:rPr>
            </w:pPr>
          </w:p>
        </w:tc>
        <w:tc>
          <w:tcPr>
            <w:tcW w:w="2080" w:type="dxa"/>
            <w:vAlign w:val="bottom"/>
          </w:tcPr>
          <w:p w14:paraId="5A2A53BA" w14:textId="2B3BA552" w:rsidR="008F16FC" w:rsidRPr="008F16FC" w:rsidRDefault="008F16FC" w:rsidP="008F16FC">
            <w:pPr>
              <w:rPr>
                <w:rFonts w:eastAsia="Calibri"/>
                <w:sz w:val="22"/>
                <w:szCs w:val="22"/>
                <w:lang w:val="es-MX"/>
              </w:rPr>
            </w:pPr>
          </w:p>
        </w:tc>
      </w:tr>
      <w:tr w:rsidR="008F16FC" w:rsidRPr="008F16FC" w14:paraId="0AA548B8" w14:textId="77777777" w:rsidTr="008F16FC">
        <w:trPr>
          <w:gridAfter w:val="2"/>
          <w:wAfter w:w="4160" w:type="dxa"/>
          <w:trHeight w:val="255"/>
        </w:trPr>
        <w:tc>
          <w:tcPr>
            <w:tcW w:w="503" w:type="dxa"/>
            <w:tcBorders>
              <w:top w:val="nil"/>
              <w:left w:val="nil"/>
              <w:bottom w:val="nil"/>
              <w:right w:val="nil"/>
            </w:tcBorders>
            <w:shd w:val="clear" w:color="auto" w:fill="auto"/>
            <w:noWrap/>
            <w:vAlign w:val="bottom"/>
            <w:hideMark/>
          </w:tcPr>
          <w:p w14:paraId="7D867ACD"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2B22123F" w14:textId="77777777" w:rsidR="008F16FC" w:rsidRPr="008F16FC" w:rsidRDefault="008F16FC" w:rsidP="008F16FC">
            <w:pPr>
              <w:rPr>
                <w:b/>
                <w:bCs/>
                <w:color w:val="000000"/>
                <w:sz w:val="20"/>
                <w:szCs w:val="20"/>
              </w:rPr>
            </w:pPr>
          </w:p>
        </w:tc>
        <w:tc>
          <w:tcPr>
            <w:tcW w:w="503" w:type="dxa"/>
            <w:tcBorders>
              <w:top w:val="nil"/>
              <w:left w:val="nil"/>
              <w:bottom w:val="nil"/>
              <w:right w:val="nil"/>
            </w:tcBorders>
            <w:shd w:val="clear" w:color="auto" w:fill="auto"/>
            <w:noWrap/>
            <w:vAlign w:val="bottom"/>
            <w:hideMark/>
          </w:tcPr>
          <w:p w14:paraId="5522B375" w14:textId="77777777" w:rsidR="008F16FC" w:rsidRPr="008F16FC" w:rsidRDefault="008F16FC" w:rsidP="008F16FC">
            <w:pPr>
              <w:rPr>
                <w:color w:val="000000"/>
                <w:sz w:val="20"/>
                <w:szCs w:val="20"/>
              </w:rPr>
            </w:pPr>
          </w:p>
        </w:tc>
        <w:tc>
          <w:tcPr>
            <w:tcW w:w="3237" w:type="dxa"/>
            <w:tcBorders>
              <w:top w:val="nil"/>
              <w:left w:val="nil"/>
              <w:bottom w:val="nil"/>
              <w:right w:val="nil"/>
            </w:tcBorders>
            <w:shd w:val="clear" w:color="auto" w:fill="auto"/>
            <w:noWrap/>
            <w:vAlign w:val="bottom"/>
            <w:hideMark/>
          </w:tcPr>
          <w:p w14:paraId="2F4B6EAA" w14:textId="77777777" w:rsidR="008F16FC" w:rsidRPr="008F16FC" w:rsidRDefault="008F16FC" w:rsidP="008F16FC">
            <w:pPr>
              <w:rPr>
                <w:color w:val="000000"/>
                <w:sz w:val="20"/>
                <w:szCs w:val="20"/>
              </w:rPr>
            </w:pPr>
          </w:p>
        </w:tc>
        <w:tc>
          <w:tcPr>
            <w:tcW w:w="2080" w:type="dxa"/>
            <w:tcBorders>
              <w:top w:val="nil"/>
              <w:left w:val="nil"/>
              <w:bottom w:val="nil"/>
              <w:right w:val="nil"/>
            </w:tcBorders>
            <w:shd w:val="clear" w:color="auto" w:fill="auto"/>
            <w:noWrap/>
            <w:vAlign w:val="bottom"/>
          </w:tcPr>
          <w:p w14:paraId="7BE13D75" w14:textId="77777777" w:rsidR="008F16FC" w:rsidRPr="008F16FC" w:rsidRDefault="008F16FC" w:rsidP="008F16FC">
            <w:pPr>
              <w:rPr>
                <w:color w:val="000000"/>
                <w:sz w:val="20"/>
                <w:szCs w:val="20"/>
              </w:rPr>
            </w:pPr>
          </w:p>
        </w:tc>
        <w:tc>
          <w:tcPr>
            <w:tcW w:w="1957" w:type="dxa"/>
            <w:tcBorders>
              <w:top w:val="nil"/>
              <w:left w:val="nil"/>
              <w:bottom w:val="nil"/>
              <w:right w:val="nil"/>
            </w:tcBorders>
          </w:tcPr>
          <w:p w14:paraId="0AFF9935" w14:textId="77777777" w:rsidR="008F16FC" w:rsidRPr="008F16FC" w:rsidRDefault="008F16FC" w:rsidP="008F16FC">
            <w:pPr>
              <w:rPr>
                <w:color w:val="000000"/>
                <w:sz w:val="20"/>
                <w:szCs w:val="20"/>
              </w:rPr>
            </w:pPr>
          </w:p>
        </w:tc>
      </w:tr>
      <w:tr w:rsidR="008F16FC" w:rsidRPr="008F16FC" w14:paraId="5DABB6D5" w14:textId="77777777" w:rsidTr="008F16FC">
        <w:trPr>
          <w:gridAfter w:val="2"/>
          <w:wAfter w:w="4160" w:type="dxa"/>
          <w:trHeight w:val="80"/>
        </w:trPr>
        <w:tc>
          <w:tcPr>
            <w:tcW w:w="1006" w:type="dxa"/>
            <w:gridSpan w:val="2"/>
            <w:tcBorders>
              <w:top w:val="nil"/>
              <w:left w:val="nil"/>
              <w:bottom w:val="nil"/>
              <w:right w:val="nil"/>
            </w:tcBorders>
            <w:shd w:val="clear" w:color="auto" w:fill="auto"/>
            <w:noWrap/>
            <w:vAlign w:val="bottom"/>
            <w:hideMark/>
          </w:tcPr>
          <w:p w14:paraId="01E372BF" w14:textId="77777777" w:rsidR="008F16FC" w:rsidRPr="008F16FC" w:rsidRDefault="008F16FC" w:rsidP="008F16FC">
            <w:pPr>
              <w:rPr>
                <w:b/>
                <w:bCs/>
                <w:color w:val="000000"/>
                <w:sz w:val="20"/>
                <w:szCs w:val="20"/>
              </w:rPr>
            </w:pPr>
            <w:r w:rsidRPr="008F16FC">
              <w:rPr>
                <w:b/>
                <w:bCs/>
                <w:color w:val="000000"/>
                <w:sz w:val="20"/>
                <w:szCs w:val="20"/>
              </w:rPr>
              <w:t>Total</w:t>
            </w:r>
          </w:p>
        </w:tc>
        <w:tc>
          <w:tcPr>
            <w:tcW w:w="503" w:type="dxa"/>
            <w:tcBorders>
              <w:top w:val="nil"/>
              <w:left w:val="nil"/>
              <w:bottom w:val="nil"/>
              <w:right w:val="nil"/>
            </w:tcBorders>
            <w:shd w:val="clear" w:color="auto" w:fill="auto"/>
            <w:noWrap/>
            <w:vAlign w:val="bottom"/>
            <w:hideMark/>
          </w:tcPr>
          <w:p w14:paraId="0DB5A9D6" w14:textId="77777777" w:rsidR="008F16FC" w:rsidRPr="008F16FC" w:rsidRDefault="008F16FC" w:rsidP="008F16FC">
            <w:pPr>
              <w:rPr>
                <w:b/>
                <w:bCs/>
                <w:color w:val="000000"/>
                <w:sz w:val="20"/>
                <w:szCs w:val="20"/>
              </w:rPr>
            </w:pPr>
          </w:p>
        </w:tc>
        <w:tc>
          <w:tcPr>
            <w:tcW w:w="3237" w:type="dxa"/>
            <w:tcBorders>
              <w:top w:val="nil"/>
              <w:left w:val="nil"/>
              <w:bottom w:val="nil"/>
              <w:right w:val="nil"/>
            </w:tcBorders>
            <w:shd w:val="clear" w:color="auto" w:fill="auto"/>
            <w:noWrap/>
            <w:vAlign w:val="bottom"/>
            <w:hideMark/>
          </w:tcPr>
          <w:p w14:paraId="0D411CD0" w14:textId="77777777" w:rsidR="008F16FC" w:rsidRPr="008F16FC" w:rsidRDefault="008F16FC" w:rsidP="008F16FC">
            <w:pPr>
              <w:rPr>
                <w:b/>
                <w:bCs/>
                <w:color w:val="000000"/>
                <w:sz w:val="20"/>
                <w:szCs w:val="20"/>
              </w:rPr>
            </w:pPr>
          </w:p>
        </w:tc>
        <w:tc>
          <w:tcPr>
            <w:tcW w:w="2080" w:type="dxa"/>
            <w:tcBorders>
              <w:top w:val="nil"/>
              <w:left w:val="nil"/>
              <w:bottom w:val="nil"/>
              <w:right w:val="nil"/>
            </w:tcBorders>
            <w:shd w:val="clear" w:color="auto" w:fill="auto"/>
            <w:noWrap/>
            <w:vAlign w:val="bottom"/>
          </w:tcPr>
          <w:p w14:paraId="15FB062C" w14:textId="77777777" w:rsidR="008F16FC" w:rsidRPr="008F16FC" w:rsidRDefault="008F16FC" w:rsidP="008F16FC">
            <w:pPr>
              <w:jc w:val="right"/>
              <w:rPr>
                <w:b/>
                <w:bCs/>
                <w:color w:val="000000"/>
                <w:sz w:val="20"/>
                <w:szCs w:val="20"/>
              </w:rPr>
            </w:pPr>
            <w:r w:rsidRPr="008F16FC">
              <w:rPr>
                <w:b/>
                <w:bCs/>
                <w:color w:val="000000"/>
                <w:sz w:val="20"/>
                <w:szCs w:val="20"/>
                <w:u w:val="single"/>
              </w:rPr>
              <w:t>3.209.885</w:t>
            </w:r>
          </w:p>
        </w:tc>
        <w:tc>
          <w:tcPr>
            <w:tcW w:w="1957" w:type="dxa"/>
            <w:tcBorders>
              <w:top w:val="nil"/>
              <w:left w:val="nil"/>
              <w:bottom w:val="nil"/>
              <w:right w:val="nil"/>
            </w:tcBorders>
            <w:vAlign w:val="bottom"/>
          </w:tcPr>
          <w:p w14:paraId="5A2878B6" w14:textId="77777777" w:rsidR="008F16FC" w:rsidRPr="008F16FC" w:rsidRDefault="008F16FC" w:rsidP="008F16FC">
            <w:pPr>
              <w:jc w:val="right"/>
              <w:rPr>
                <w:b/>
                <w:bCs/>
                <w:color w:val="000000"/>
                <w:sz w:val="20"/>
                <w:szCs w:val="20"/>
                <w:u w:val="single"/>
              </w:rPr>
            </w:pPr>
            <w:r w:rsidRPr="008F16FC">
              <w:rPr>
                <w:b/>
                <w:bCs/>
                <w:color w:val="000000"/>
                <w:sz w:val="20"/>
                <w:szCs w:val="20"/>
                <w:u w:val="single"/>
              </w:rPr>
              <w:t xml:space="preserve">2.829.057 </w:t>
            </w:r>
          </w:p>
        </w:tc>
      </w:tr>
    </w:tbl>
    <w:p w14:paraId="1F91E59E" w14:textId="77777777" w:rsidR="008F16FC" w:rsidRPr="008F16FC" w:rsidRDefault="008F16FC" w:rsidP="008F16FC">
      <w:pPr>
        <w:jc w:val="both"/>
        <w:rPr>
          <w:rFonts w:eastAsia="Calibri"/>
          <w:sz w:val="20"/>
          <w:szCs w:val="20"/>
          <w:lang w:val="es-MX"/>
        </w:rPr>
      </w:pPr>
    </w:p>
    <w:p w14:paraId="3BB58858" w14:textId="77777777" w:rsidR="008F16FC" w:rsidRPr="008F16FC" w:rsidRDefault="008F16FC" w:rsidP="008F16FC">
      <w:pPr>
        <w:rPr>
          <w:rFonts w:eastAsia="Calibri"/>
          <w:b/>
          <w:bCs/>
          <w:i/>
          <w:iCs/>
          <w:sz w:val="20"/>
          <w:szCs w:val="20"/>
          <w:lang w:val="es-MX"/>
        </w:rPr>
      </w:pPr>
      <w:r w:rsidRPr="008F16FC">
        <w:rPr>
          <w:rFonts w:eastAsia="Calibri"/>
          <w:b/>
          <w:bCs/>
          <w:i/>
          <w:iCs/>
          <w:sz w:val="20"/>
          <w:szCs w:val="20"/>
          <w:lang w:val="es-MX"/>
        </w:rPr>
        <w:t>4. Estados de Flujos de Efectivo</w:t>
      </w:r>
    </w:p>
    <w:p w14:paraId="3E3C722F" w14:textId="77777777" w:rsidR="008F16FC" w:rsidRPr="008F16FC" w:rsidRDefault="008F16FC" w:rsidP="008F16FC">
      <w:pPr>
        <w:rPr>
          <w:rFonts w:eastAsia="Calibri"/>
          <w:sz w:val="20"/>
          <w:szCs w:val="20"/>
          <w:lang w:val="es-MX"/>
        </w:rPr>
      </w:pPr>
    </w:p>
    <w:p w14:paraId="2FF5433A" w14:textId="77777777" w:rsidR="008F16FC" w:rsidRPr="008F16FC" w:rsidRDefault="008F16FC" w:rsidP="008F16FC">
      <w:pPr>
        <w:jc w:val="both"/>
        <w:rPr>
          <w:rFonts w:eastAsia="Calibri"/>
          <w:sz w:val="20"/>
          <w:szCs w:val="20"/>
          <w:lang w:val="es-MX"/>
        </w:rPr>
      </w:pPr>
      <w:r w:rsidRPr="008F16FC">
        <w:rPr>
          <w:rFonts w:eastAsia="Calibri"/>
          <w:sz w:val="20"/>
          <w:szCs w:val="20"/>
          <w:lang w:val="es-MX"/>
        </w:rPr>
        <w:t>Se detalla a continuación un resumen de la generación o aplicación de fondos de los ejercicios económicos anuales finalizados el 30 de junio de 2019 y el 30 de junio de 2018 (expresados en miles de Pesos):</w:t>
      </w:r>
    </w:p>
    <w:p w14:paraId="6F20CCDA" w14:textId="77777777" w:rsidR="008F16FC" w:rsidRPr="008F16FC" w:rsidRDefault="008F16FC" w:rsidP="008F16FC">
      <w:pPr>
        <w:jc w:val="both"/>
        <w:rPr>
          <w:rFonts w:eastAsia="Calibri"/>
          <w:sz w:val="20"/>
          <w:szCs w:val="20"/>
          <w:lang w:val="es-MX"/>
        </w:rPr>
      </w:pPr>
    </w:p>
    <w:p w14:paraId="585FBDA8" w14:textId="77777777" w:rsidR="008F16FC" w:rsidRPr="008F16FC" w:rsidRDefault="008F16FC" w:rsidP="008F16FC">
      <w:pPr>
        <w:jc w:val="both"/>
        <w:rPr>
          <w:rFonts w:eastAsia="Calibri"/>
          <w:b/>
          <w:bCs/>
          <w:sz w:val="20"/>
          <w:szCs w:val="20"/>
          <w:lang w:val="es-MX"/>
        </w:rPr>
      </w:pPr>
      <w:r w:rsidRPr="008F16FC">
        <w:rPr>
          <w:rFonts w:eastAsia="Calibri"/>
          <w:b/>
          <w:bCs/>
          <w:sz w:val="20"/>
          <w:szCs w:val="20"/>
          <w:lang w:val="es-MX"/>
        </w:rPr>
        <w:t>Generación o aplicación de fondos*</w:t>
      </w:r>
    </w:p>
    <w:p w14:paraId="6BFBB69D" w14:textId="77777777" w:rsidR="008F16FC" w:rsidRPr="008F16FC" w:rsidRDefault="008F16FC" w:rsidP="008F16FC">
      <w:pPr>
        <w:tabs>
          <w:tab w:val="left" w:pos="7371"/>
        </w:tabs>
        <w:spacing w:line="240" w:lineRule="atLeast"/>
        <w:jc w:val="both"/>
        <w:outlineLvl w:val="0"/>
        <w:rPr>
          <w:rFonts w:eastAsia="Calibri"/>
          <w:sz w:val="20"/>
          <w:szCs w:val="20"/>
          <w:lang w:val="es-MX"/>
        </w:rPr>
      </w:pPr>
    </w:p>
    <w:tbl>
      <w:tblPr>
        <w:tblW w:w="9600" w:type="dxa"/>
        <w:tblInd w:w="55" w:type="dxa"/>
        <w:tblCellMar>
          <w:left w:w="70" w:type="dxa"/>
          <w:right w:w="70" w:type="dxa"/>
        </w:tblCellMar>
        <w:tblLook w:val="04A0" w:firstRow="1" w:lastRow="0" w:firstColumn="1" w:lastColumn="0" w:noHBand="0" w:noVBand="1"/>
      </w:tblPr>
      <w:tblGrid>
        <w:gridCol w:w="1200"/>
        <w:gridCol w:w="5320"/>
        <w:gridCol w:w="1540"/>
        <w:gridCol w:w="1540"/>
      </w:tblGrid>
      <w:tr w:rsidR="008F16FC" w:rsidRPr="008F16FC" w14:paraId="347D53F8" w14:textId="77777777" w:rsidTr="00BA304B">
        <w:trPr>
          <w:trHeight w:val="255"/>
        </w:trPr>
        <w:tc>
          <w:tcPr>
            <w:tcW w:w="6520" w:type="dxa"/>
            <w:gridSpan w:val="2"/>
            <w:tcBorders>
              <w:top w:val="nil"/>
              <w:left w:val="nil"/>
              <w:bottom w:val="nil"/>
              <w:right w:val="nil"/>
            </w:tcBorders>
            <w:shd w:val="clear" w:color="000000" w:fill="FFFFFF"/>
            <w:noWrap/>
            <w:vAlign w:val="bottom"/>
            <w:hideMark/>
          </w:tcPr>
          <w:p w14:paraId="3299840C" w14:textId="77777777" w:rsidR="008F16FC" w:rsidRPr="008F16FC" w:rsidRDefault="008F16FC" w:rsidP="008F16FC">
            <w:pPr>
              <w:rPr>
                <w:b/>
                <w:bCs/>
                <w:sz w:val="20"/>
                <w:szCs w:val="20"/>
                <w:u w:val="single"/>
                <w:lang w:val="es-ES"/>
              </w:rPr>
            </w:pPr>
            <w:r w:rsidRPr="008F16FC">
              <w:rPr>
                <w:b/>
                <w:bCs/>
                <w:sz w:val="20"/>
                <w:szCs w:val="20"/>
                <w:u w:val="single"/>
                <w:lang w:val="es-ES"/>
              </w:rPr>
              <w:t>Flujo de efectivo por las actividades de operación</w:t>
            </w:r>
          </w:p>
        </w:tc>
        <w:tc>
          <w:tcPr>
            <w:tcW w:w="1540" w:type="dxa"/>
            <w:tcBorders>
              <w:top w:val="nil"/>
              <w:left w:val="nil"/>
              <w:bottom w:val="single" w:sz="4" w:space="0" w:color="auto"/>
              <w:right w:val="nil"/>
            </w:tcBorders>
            <w:shd w:val="clear" w:color="000000" w:fill="FFFFFF"/>
            <w:noWrap/>
            <w:vAlign w:val="bottom"/>
            <w:hideMark/>
          </w:tcPr>
          <w:p w14:paraId="466B8020" w14:textId="77777777" w:rsidR="008F16FC" w:rsidRPr="008F16FC" w:rsidRDefault="008F16FC" w:rsidP="008F16FC">
            <w:pPr>
              <w:jc w:val="center"/>
              <w:rPr>
                <w:b/>
                <w:bCs/>
                <w:sz w:val="20"/>
                <w:szCs w:val="20"/>
              </w:rPr>
            </w:pPr>
            <w:r w:rsidRPr="008F16FC">
              <w:rPr>
                <w:b/>
                <w:bCs/>
                <w:sz w:val="20"/>
                <w:szCs w:val="20"/>
              </w:rPr>
              <w:t>30/06/2019</w:t>
            </w:r>
          </w:p>
        </w:tc>
        <w:tc>
          <w:tcPr>
            <w:tcW w:w="1540" w:type="dxa"/>
            <w:tcBorders>
              <w:top w:val="nil"/>
              <w:left w:val="nil"/>
              <w:bottom w:val="single" w:sz="4" w:space="0" w:color="auto"/>
              <w:right w:val="nil"/>
            </w:tcBorders>
            <w:shd w:val="clear" w:color="000000" w:fill="FFFFFF"/>
            <w:noWrap/>
            <w:vAlign w:val="bottom"/>
            <w:hideMark/>
          </w:tcPr>
          <w:p w14:paraId="251F1535" w14:textId="77777777" w:rsidR="008F16FC" w:rsidRPr="008F16FC" w:rsidRDefault="008F16FC" w:rsidP="008F16FC">
            <w:pPr>
              <w:jc w:val="center"/>
              <w:rPr>
                <w:b/>
                <w:bCs/>
                <w:sz w:val="20"/>
                <w:szCs w:val="20"/>
              </w:rPr>
            </w:pPr>
            <w:r w:rsidRPr="008F16FC">
              <w:rPr>
                <w:b/>
                <w:bCs/>
                <w:sz w:val="20"/>
                <w:szCs w:val="20"/>
              </w:rPr>
              <w:t>30/06/2018</w:t>
            </w:r>
          </w:p>
        </w:tc>
      </w:tr>
      <w:tr w:rsidR="008F16FC" w:rsidRPr="008F16FC" w14:paraId="108A7F6D" w14:textId="77777777" w:rsidTr="00BA304B">
        <w:trPr>
          <w:trHeight w:val="255"/>
        </w:trPr>
        <w:tc>
          <w:tcPr>
            <w:tcW w:w="1200" w:type="dxa"/>
            <w:tcBorders>
              <w:top w:val="nil"/>
              <w:left w:val="nil"/>
              <w:bottom w:val="nil"/>
              <w:right w:val="nil"/>
            </w:tcBorders>
            <w:shd w:val="clear" w:color="000000" w:fill="FFFFFF"/>
            <w:noWrap/>
            <w:vAlign w:val="bottom"/>
            <w:hideMark/>
          </w:tcPr>
          <w:p w14:paraId="470B1009" w14:textId="77777777" w:rsidR="008F16FC" w:rsidRPr="008F16FC" w:rsidRDefault="008F16FC" w:rsidP="008F16FC">
            <w:pPr>
              <w:rPr>
                <w:sz w:val="20"/>
                <w:szCs w:val="20"/>
              </w:rPr>
            </w:pPr>
            <w:r w:rsidRPr="008F16FC">
              <w:rPr>
                <w:sz w:val="20"/>
                <w:szCs w:val="20"/>
              </w:rPr>
              <w:t> </w:t>
            </w:r>
          </w:p>
        </w:tc>
        <w:tc>
          <w:tcPr>
            <w:tcW w:w="5320" w:type="dxa"/>
            <w:tcBorders>
              <w:top w:val="nil"/>
              <w:left w:val="nil"/>
              <w:bottom w:val="nil"/>
              <w:right w:val="nil"/>
            </w:tcBorders>
            <w:shd w:val="clear" w:color="000000" w:fill="FFFFFF"/>
            <w:noWrap/>
            <w:vAlign w:val="bottom"/>
            <w:hideMark/>
          </w:tcPr>
          <w:p w14:paraId="0E72F2ED" w14:textId="77777777" w:rsidR="008F16FC" w:rsidRPr="008F16FC" w:rsidRDefault="008F16FC" w:rsidP="008F16FC">
            <w:pPr>
              <w:rPr>
                <w:sz w:val="20"/>
                <w:szCs w:val="20"/>
              </w:rPr>
            </w:pPr>
            <w:r w:rsidRPr="008F16FC">
              <w:rPr>
                <w:sz w:val="20"/>
                <w:szCs w:val="20"/>
              </w:rPr>
              <w:t>Ganancia / (Pérdida) del ejercicio</w:t>
            </w:r>
          </w:p>
        </w:tc>
        <w:tc>
          <w:tcPr>
            <w:tcW w:w="1540" w:type="dxa"/>
            <w:tcBorders>
              <w:top w:val="nil"/>
              <w:left w:val="nil"/>
              <w:bottom w:val="nil"/>
              <w:right w:val="nil"/>
            </w:tcBorders>
            <w:shd w:val="clear" w:color="000000" w:fill="FFFFFF"/>
            <w:noWrap/>
            <w:vAlign w:val="bottom"/>
            <w:hideMark/>
          </w:tcPr>
          <w:p w14:paraId="6ADE36C7" w14:textId="77777777" w:rsidR="008F16FC" w:rsidRPr="008F16FC" w:rsidRDefault="008F16FC" w:rsidP="008F16FC">
            <w:pPr>
              <w:jc w:val="right"/>
              <w:rPr>
                <w:sz w:val="20"/>
                <w:szCs w:val="20"/>
              </w:rPr>
            </w:pPr>
            <w:r w:rsidRPr="008F16FC">
              <w:rPr>
                <w:sz w:val="20"/>
                <w:szCs w:val="20"/>
              </w:rPr>
              <w:t xml:space="preserve">268.236 </w:t>
            </w:r>
          </w:p>
        </w:tc>
        <w:tc>
          <w:tcPr>
            <w:tcW w:w="1540" w:type="dxa"/>
            <w:tcBorders>
              <w:top w:val="nil"/>
              <w:left w:val="nil"/>
              <w:bottom w:val="nil"/>
              <w:right w:val="nil"/>
            </w:tcBorders>
            <w:shd w:val="clear" w:color="000000" w:fill="FFFFFF"/>
            <w:noWrap/>
            <w:vAlign w:val="bottom"/>
            <w:hideMark/>
          </w:tcPr>
          <w:p w14:paraId="69E85179" w14:textId="77777777" w:rsidR="008F16FC" w:rsidRPr="008F16FC" w:rsidRDefault="008F16FC" w:rsidP="008F16FC">
            <w:pPr>
              <w:jc w:val="right"/>
              <w:rPr>
                <w:sz w:val="20"/>
                <w:szCs w:val="20"/>
              </w:rPr>
            </w:pPr>
            <w:r w:rsidRPr="008F16FC">
              <w:rPr>
                <w:sz w:val="20"/>
                <w:szCs w:val="20"/>
              </w:rPr>
              <w:t xml:space="preserve">(386.042) </w:t>
            </w:r>
          </w:p>
        </w:tc>
      </w:tr>
      <w:tr w:rsidR="008F16FC" w:rsidRPr="008F16FC" w14:paraId="41BFB79C" w14:textId="77777777" w:rsidTr="00BA304B">
        <w:trPr>
          <w:trHeight w:val="255"/>
        </w:trPr>
        <w:tc>
          <w:tcPr>
            <w:tcW w:w="1200" w:type="dxa"/>
            <w:tcBorders>
              <w:top w:val="nil"/>
              <w:left w:val="nil"/>
              <w:bottom w:val="nil"/>
              <w:right w:val="nil"/>
            </w:tcBorders>
            <w:shd w:val="clear" w:color="000000" w:fill="FFFFFF"/>
            <w:noWrap/>
            <w:vAlign w:val="bottom"/>
            <w:hideMark/>
          </w:tcPr>
          <w:p w14:paraId="2C4744BA" w14:textId="77777777" w:rsidR="008F16FC" w:rsidRPr="008F16FC" w:rsidRDefault="008F16FC" w:rsidP="008F16FC">
            <w:pPr>
              <w:rPr>
                <w:sz w:val="20"/>
                <w:szCs w:val="20"/>
              </w:rPr>
            </w:pPr>
            <w:r w:rsidRPr="008F16FC">
              <w:rPr>
                <w:sz w:val="20"/>
                <w:szCs w:val="20"/>
              </w:rPr>
              <w:t> </w:t>
            </w:r>
          </w:p>
        </w:tc>
        <w:tc>
          <w:tcPr>
            <w:tcW w:w="5320" w:type="dxa"/>
            <w:tcBorders>
              <w:top w:val="nil"/>
              <w:left w:val="nil"/>
              <w:bottom w:val="nil"/>
              <w:right w:val="nil"/>
            </w:tcBorders>
            <w:shd w:val="clear" w:color="000000" w:fill="FFFFFF"/>
            <w:noWrap/>
            <w:vAlign w:val="bottom"/>
            <w:hideMark/>
          </w:tcPr>
          <w:p w14:paraId="45245C07" w14:textId="77777777" w:rsidR="008F16FC" w:rsidRPr="008F16FC" w:rsidRDefault="008F16FC" w:rsidP="008F16FC">
            <w:pPr>
              <w:rPr>
                <w:sz w:val="20"/>
                <w:szCs w:val="20"/>
              </w:rPr>
            </w:pPr>
            <w:r w:rsidRPr="008F16FC">
              <w:rPr>
                <w:sz w:val="20"/>
                <w:szCs w:val="20"/>
              </w:rPr>
              <w:t xml:space="preserve">Impuestos a las ganancias </w:t>
            </w:r>
          </w:p>
        </w:tc>
        <w:tc>
          <w:tcPr>
            <w:tcW w:w="1540" w:type="dxa"/>
            <w:tcBorders>
              <w:top w:val="nil"/>
              <w:left w:val="nil"/>
              <w:bottom w:val="nil"/>
              <w:right w:val="nil"/>
            </w:tcBorders>
            <w:shd w:val="clear" w:color="000000" w:fill="FFFFFF"/>
            <w:noWrap/>
            <w:vAlign w:val="bottom"/>
            <w:hideMark/>
          </w:tcPr>
          <w:p w14:paraId="1EEB44D3" w14:textId="77777777" w:rsidR="008F16FC" w:rsidRPr="008F16FC" w:rsidRDefault="008F16FC" w:rsidP="008F16FC">
            <w:pPr>
              <w:jc w:val="right"/>
              <w:rPr>
                <w:sz w:val="20"/>
                <w:szCs w:val="20"/>
              </w:rPr>
            </w:pPr>
            <w:r w:rsidRPr="008F16FC">
              <w:rPr>
                <w:sz w:val="20"/>
                <w:szCs w:val="20"/>
              </w:rPr>
              <w:t xml:space="preserve">300.655 </w:t>
            </w:r>
          </w:p>
        </w:tc>
        <w:tc>
          <w:tcPr>
            <w:tcW w:w="1540" w:type="dxa"/>
            <w:tcBorders>
              <w:top w:val="nil"/>
              <w:left w:val="nil"/>
              <w:bottom w:val="nil"/>
              <w:right w:val="nil"/>
            </w:tcBorders>
            <w:shd w:val="clear" w:color="000000" w:fill="FFFFFF"/>
            <w:noWrap/>
            <w:vAlign w:val="bottom"/>
            <w:hideMark/>
          </w:tcPr>
          <w:p w14:paraId="42BC02AE" w14:textId="77777777" w:rsidR="008F16FC" w:rsidRPr="008F16FC" w:rsidRDefault="008F16FC" w:rsidP="008F16FC">
            <w:pPr>
              <w:jc w:val="right"/>
              <w:rPr>
                <w:sz w:val="20"/>
                <w:szCs w:val="20"/>
              </w:rPr>
            </w:pPr>
            <w:r w:rsidRPr="008F16FC">
              <w:rPr>
                <w:sz w:val="20"/>
                <w:szCs w:val="20"/>
              </w:rPr>
              <w:t xml:space="preserve">114.978 </w:t>
            </w:r>
          </w:p>
        </w:tc>
      </w:tr>
      <w:tr w:rsidR="008F16FC" w:rsidRPr="00512442" w14:paraId="4301979A" w14:textId="77777777" w:rsidTr="00BA304B">
        <w:trPr>
          <w:trHeight w:val="255"/>
        </w:trPr>
        <w:tc>
          <w:tcPr>
            <w:tcW w:w="6520" w:type="dxa"/>
            <w:gridSpan w:val="2"/>
            <w:tcBorders>
              <w:top w:val="nil"/>
              <w:left w:val="nil"/>
              <w:bottom w:val="nil"/>
              <w:right w:val="nil"/>
            </w:tcBorders>
            <w:shd w:val="clear" w:color="000000" w:fill="FFFFFF"/>
            <w:noWrap/>
            <w:vAlign w:val="bottom"/>
            <w:hideMark/>
          </w:tcPr>
          <w:p w14:paraId="72F3B2D0" w14:textId="77777777" w:rsidR="008F16FC" w:rsidRPr="008F16FC" w:rsidRDefault="008F16FC" w:rsidP="008F16FC">
            <w:pPr>
              <w:rPr>
                <w:b/>
                <w:bCs/>
                <w:sz w:val="20"/>
                <w:szCs w:val="20"/>
                <w:lang w:val="es-ES"/>
              </w:rPr>
            </w:pPr>
            <w:r w:rsidRPr="008F16FC">
              <w:rPr>
                <w:b/>
                <w:bCs/>
                <w:sz w:val="20"/>
                <w:szCs w:val="20"/>
                <w:lang w:val="es-ES"/>
              </w:rPr>
              <w:t>Ajustes para conciliar el flujo de efectivo operativo</w:t>
            </w:r>
          </w:p>
        </w:tc>
        <w:tc>
          <w:tcPr>
            <w:tcW w:w="1540" w:type="dxa"/>
            <w:tcBorders>
              <w:top w:val="nil"/>
              <w:left w:val="nil"/>
              <w:bottom w:val="nil"/>
              <w:right w:val="nil"/>
            </w:tcBorders>
            <w:shd w:val="clear" w:color="000000" w:fill="FFFFFF"/>
            <w:noWrap/>
            <w:vAlign w:val="bottom"/>
            <w:hideMark/>
          </w:tcPr>
          <w:p w14:paraId="0A1FB8EC" w14:textId="77777777" w:rsidR="008F16FC" w:rsidRPr="008F16FC" w:rsidRDefault="008F16FC" w:rsidP="008F16FC">
            <w:pPr>
              <w:rPr>
                <w:sz w:val="20"/>
                <w:szCs w:val="20"/>
                <w:lang w:val="es-ES"/>
              </w:rPr>
            </w:pPr>
            <w:r w:rsidRPr="008F16FC">
              <w:rPr>
                <w:sz w:val="20"/>
                <w:szCs w:val="20"/>
                <w:lang w:val="es-ES"/>
              </w:rPr>
              <w:t> </w:t>
            </w:r>
          </w:p>
        </w:tc>
        <w:tc>
          <w:tcPr>
            <w:tcW w:w="1540" w:type="dxa"/>
            <w:tcBorders>
              <w:top w:val="nil"/>
              <w:left w:val="nil"/>
              <w:bottom w:val="nil"/>
              <w:right w:val="nil"/>
            </w:tcBorders>
            <w:shd w:val="clear" w:color="000000" w:fill="FFFFFF"/>
            <w:noWrap/>
            <w:vAlign w:val="bottom"/>
            <w:hideMark/>
          </w:tcPr>
          <w:p w14:paraId="7E05E3D0" w14:textId="77777777" w:rsidR="008F16FC" w:rsidRPr="008F16FC" w:rsidRDefault="008F16FC" w:rsidP="008F16FC">
            <w:pPr>
              <w:rPr>
                <w:sz w:val="20"/>
                <w:szCs w:val="20"/>
                <w:lang w:val="es-ES"/>
              </w:rPr>
            </w:pPr>
            <w:r w:rsidRPr="008F16FC">
              <w:rPr>
                <w:sz w:val="20"/>
                <w:szCs w:val="20"/>
                <w:lang w:val="es-ES"/>
              </w:rPr>
              <w:t> </w:t>
            </w:r>
          </w:p>
        </w:tc>
      </w:tr>
      <w:tr w:rsidR="008F16FC" w:rsidRPr="008F16FC" w14:paraId="685C5222" w14:textId="77777777" w:rsidTr="00BA304B">
        <w:trPr>
          <w:trHeight w:val="255"/>
        </w:trPr>
        <w:tc>
          <w:tcPr>
            <w:tcW w:w="1200" w:type="dxa"/>
            <w:tcBorders>
              <w:top w:val="nil"/>
              <w:left w:val="nil"/>
              <w:bottom w:val="nil"/>
              <w:right w:val="nil"/>
            </w:tcBorders>
            <w:shd w:val="clear" w:color="000000" w:fill="FFFFFF"/>
            <w:noWrap/>
            <w:vAlign w:val="bottom"/>
            <w:hideMark/>
          </w:tcPr>
          <w:p w14:paraId="2F21BE4C" w14:textId="77777777" w:rsidR="008F16FC" w:rsidRPr="008F16FC" w:rsidRDefault="008F16FC" w:rsidP="008F16FC">
            <w:pPr>
              <w:rPr>
                <w:sz w:val="20"/>
                <w:szCs w:val="20"/>
                <w:lang w:val="es-ES"/>
              </w:rPr>
            </w:pPr>
            <w:r w:rsidRPr="008F16FC">
              <w:rPr>
                <w:sz w:val="20"/>
                <w:szCs w:val="20"/>
                <w:lang w:val="es-ES"/>
              </w:rPr>
              <w:t> </w:t>
            </w:r>
          </w:p>
        </w:tc>
        <w:tc>
          <w:tcPr>
            <w:tcW w:w="5320" w:type="dxa"/>
            <w:tcBorders>
              <w:top w:val="nil"/>
              <w:left w:val="nil"/>
              <w:bottom w:val="nil"/>
              <w:right w:val="nil"/>
            </w:tcBorders>
            <w:shd w:val="clear" w:color="000000" w:fill="FFFFFF"/>
            <w:noWrap/>
            <w:vAlign w:val="bottom"/>
            <w:hideMark/>
          </w:tcPr>
          <w:p w14:paraId="3C8E2ACC" w14:textId="77777777" w:rsidR="008F16FC" w:rsidRPr="008F16FC" w:rsidRDefault="008F16FC" w:rsidP="008F16FC">
            <w:pPr>
              <w:rPr>
                <w:sz w:val="20"/>
                <w:szCs w:val="20"/>
                <w:lang w:val="es-ES"/>
              </w:rPr>
            </w:pPr>
            <w:r w:rsidRPr="008F16FC">
              <w:rPr>
                <w:sz w:val="20"/>
                <w:szCs w:val="20"/>
                <w:lang w:val="es-ES"/>
              </w:rPr>
              <w:t>Depreciación de propiedades, planta y equipo</w:t>
            </w:r>
          </w:p>
        </w:tc>
        <w:tc>
          <w:tcPr>
            <w:tcW w:w="1540" w:type="dxa"/>
            <w:tcBorders>
              <w:top w:val="nil"/>
              <w:left w:val="nil"/>
              <w:bottom w:val="nil"/>
              <w:right w:val="nil"/>
            </w:tcBorders>
            <w:shd w:val="clear" w:color="000000" w:fill="FFFFFF"/>
            <w:noWrap/>
            <w:vAlign w:val="bottom"/>
            <w:hideMark/>
          </w:tcPr>
          <w:p w14:paraId="350CAF00" w14:textId="77777777" w:rsidR="008F16FC" w:rsidRPr="008F16FC" w:rsidRDefault="008F16FC" w:rsidP="008F16FC">
            <w:pPr>
              <w:jc w:val="right"/>
              <w:rPr>
                <w:sz w:val="20"/>
                <w:szCs w:val="20"/>
              </w:rPr>
            </w:pPr>
            <w:r w:rsidRPr="008F16FC">
              <w:rPr>
                <w:sz w:val="20"/>
                <w:szCs w:val="20"/>
              </w:rPr>
              <w:t xml:space="preserve">137.434 </w:t>
            </w:r>
          </w:p>
        </w:tc>
        <w:tc>
          <w:tcPr>
            <w:tcW w:w="1540" w:type="dxa"/>
            <w:tcBorders>
              <w:top w:val="nil"/>
              <w:left w:val="nil"/>
              <w:bottom w:val="nil"/>
              <w:right w:val="nil"/>
            </w:tcBorders>
            <w:shd w:val="clear" w:color="000000" w:fill="FFFFFF"/>
            <w:noWrap/>
            <w:vAlign w:val="bottom"/>
            <w:hideMark/>
          </w:tcPr>
          <w:p w14:paraId="42A25324" w14:textId="77777777" w:rsidR="008F16FC" w:rsidRPr="008F16FC" w:rsidRDefault="008F16FC" w:rsidP="008F16FC">
            <w:pPr>
              <w:jc w:val="right"/>
              <w:rPr>
                <w:sz w:val="20"/>
                <w:szCs w:val="20"/>
              </w:rPr>
            </w:pPr>
            <w:r w:rsidRPr="008F16FC">
              <w:rPr>
                <w:sz w:val="20"/>
                <w:szCs w:val="20"/>
              </w:rPr>
              <w:t xml:space="preserve">135.321 </w:t>
            </w:r>
          </w:p>
        </w:tc>
      </w:tr>
      <w:tr w:rsidR="008F16FC" w:rsidRPr="008F16FC" w14:paraId="1D03E444" w14:textId="77777777" w:rsidTr="00BA304B">
        <w:trPr>
          <w:trHeight w:val="255"/>
        </w:trPr>
        <w:tc>
          <w:tcPr>
            <w:tcW w:w="1200" w:type="dxa"/>
            <w:tcBorders>
              <w:top w:val="nil"/>
              <w:left w:val="nil"/>
              <w:bottom w:val="nil"/>
              <w:right w:val="nil"/>
            </w:tcBorders>
            <w:shd w:val="clear" w:color="000000" w:fill="FFFFFF"/>
            <w:noWrap/>
            <w:vAlign w:val="bottom"/>
            <w:hideMark/>
          </w:tcPr>
          <w:p w14:paraId="38C7DC30" w14:textId="77777777" w:rsidR="008F16FC" w:rsidRPr="008F16FC" w:rsidRDefault="008F16FC" w:rsidP="008F16FC">
            <w:pPr>
              <w:rPr>
                <w:sz w:val="20"/>
                <w:szCs w:val="20"/>
              </w:rPr>
            </w:pPr>
            <w:r w:rsidRPr="008F16FC">
              <w:rPr>
                <w:sz w:val="20"/>
                <w:szCs w:val="20"/>
              </w:rPr>
              <w:t> </w:t>
            </w:r>
          </w:p>
        </w:tc>
        <w:tc>
          <w:tcPr>
            <w:tcW w:w="5320" w:type="dxa"/>
            <w:tcBorders>
              <w:top w:val="nil"/>
              <w:left w:val="nil"/>
              <w:bottom w:val="nil"/>
              <w:right w:val="nil"/>
            </w:tcBorders>
            <w:shd w:val="clear" w:color="000000" w:fill="FFFFFF"/>
            <w:noWrap/>
            <w:vAlign w:val="bottom"/>
            <w:hideMark/>
          </w:tcPr>
          <w:p w14:paraId="6656DE40" w14:textId="77777777" w:rsidR="008F16FC" w:rsidRPr="008F16FC" w:rsidRDefault="008F16FC" w:rsidP="008F16FC">
            <w:pPr>
              <w:rPr>
                <w:sz w:val="20"/>
                <w:szCs w:val="20"/>
              </w:rPr>
            </w:pPr>
            <w:r w:rsidRPr="008F16FC">
              <w:rPr>
                <w:sz w:val="20"/>
                <w:szCs w:val="20"/>
              </w:rPr>
              <w:t>Amortización de activos intangibles</w:t>
            </w:r>
          </w:p>
        </w:tc>
        <w:tc>
          <w:tcPr>
            <w:tcW w:w="1540" w:type="dxa"/>
            <w:tcBorders>
              <w:top w:val="nil"/>
              <w:left w:val="nil"/>
              <w:bottom w:val="nil"/>
              <w:right w:val="nil"/>
            </w:tcBorders>
            <w:shd w:val="clear" w:color="000000" w:fill="FFFFFF"/>
            <w:noWrap/>
            <w:vAlign w:val="bottom"/>
            <w:hideMark/>
          </w:tcPr>
          <w:p w14:paraId="2D991BA9" w14:textId="77777777" w:rsidR="008F16FC" w:rsidRPr="008F16FC" w:rsidRDefault="008F16FC" w:rsidP="008F16FC">
            <w:pPr>
              <w:jc w:val="right"/>
              <w:rPr>
                <w:sz w:val="20"/>
                <w:szCs w:val="20"/>
              </w:rPr>
            </w:pPr>
            <w:r w:rsidRPr="008F16FC">
              <w:rPr>
                <w:sz w:val="20"/>
                <w:szCs w:val="20"/>
              </w:rPr>
              <w:t xml:space="preserve">53.269 </w:t>
            </w:r>
          </w:p>
        </w:tc>
        <w:tc>
          <w:tcPr>
            <w:tcW w:w="1540" w:type="dxa"/>
            <w:tcBorders>
              <w:top w:val="nil"/>
              <w:left w:val="nil"/>
              <w:bottom w:val="nil"/>
              <w:right w:val="nil"/>
            </w:tcBorders>
            <w:shd w:val="clear" w:color="000000" w:fill="FFFFFF"/>
            <w:noWrap/>
            <w:vAlign w:val="bottom"/>
            <w:hideMark/>
          </w:tcPr>
          <w:p w14:paraId="65C6F723" w14:textId="77777777" w:rsidR="008F16FC" w:rsidRPr="008F16FC" w:rsidRDefault="008F16FC" w:rsidP="008F16FC">
            <w:pPr>
              <w:jc w:val="right"/>
              <w:rPr>
                <w:sz w:val="20"/>
                <w:szCs w:val="20"/>
              </w:rPr>
            </w:pPr>
            <w:r w:rsidRPr="008F16FC">
              <w:rPr>
                <w:sz w:val="20"/>
                <w:szCs w:val="20"/>
              </w:rPr>
              <w:t xml:space="preserve">62.712 </w:t>
            </w:r>
          </w:p>
        </w:tc>
      </w:tr>
      <w:tr w:rsidR="008F16FC" w:rsidRPr="008F16FC" w14:paraId="72DB5F99" w14:textId="77777777" w:rsidTr="00BA304B">
        <w:trPr>
          <w:trHeight w:val="255"/>
        </w:trPr>
        <w:tc>
          <w:tcPr>
            <w:tcW w:w="1200" w:type="dxa"/>
            <w:tcBorders>
              <w:top w:val="nil"/>
              <w:left w:val="nil"/>
              <w:bottom w:val="nil"/>
              <w:right w:val="nil"/>
            </w:tcBorders>
            <w:shd w:val="clear" w:color="000000" w:fill="FFFFFF"/>
            <w:noWrap/>
            <w:vAlign w:val="bottom"/>
            <w:hideMark/>
          </w:tcPr>
          <w:p w14:paraId="3958C36B" w14:textId="77777777" w:rsidR="008F16FC" w:rsidRPr="008F16FC" w:rsidRDefault="008F16FC" w:rsidP="008F16FC">
            <w:pPr>
              <w:rPr>
                <w:sz w:val="20"/>
                <w:szCs w:val="20"/>
              </w:rPr>
            </w:pPr>
            <w:r w:rsidRPr="008F16FC">
              <w:rPr>
                <w:sz w:val="20"/>
                <w:szCs w:val="20"/>
              </w:rPr>
              <w:t> </w:t>
            </w:r>
          </w:p>
        </w:tc>
        <w:tc>
          <w:tcPr>
            <w:tcW w:w="5320" w:type="dxa"/>
            <w:tcBorders>
              <w:top w:val="nil"/>
              <w:left w:val="nil"/>
              <w:bottom w:val="nil"/>
              <w:right w:val="nil"/>
            </w:tcBorders>
            <w:shd w:val="clear" w:color="000000" w:fill="FFFFFF"/>
            <w:noWrap/>
            <w:vAlign w:val="bottom"/>
            <w:hideMark/>
          </w:tcPr>
          <w:p w14:paraId="1D4DBAFD" w14:textId="77777777" w:rsidR="008F16FC" w:rsidRPr="008F16FC" w:rsidRDefault="008F16FC" w:rsidP="008F16FC">
            <w:pPr>
              <w:rPr>
                <w:sz w:val="20"/>
                <w:szCs w:val="20"/>
                <w:lang w:val="es-ES"/>
              </w:rPr>
            </w:pPr>
            <w:r w:rsidRPr="008F16FC">
              <w:rPr>
                <w:sz w:val="20"/>
                <w:szCs w:val="20"/>
                <w:lang w:val="es-ES"/>
              </w:rPr>
              <w:t>Resultado por participación en asociadas</w:t>
            </w:r>
          </w:p>
        </w:tc>
        <w:tc>
          <w:tcPr>
            <w:tcW w:w="1540" w:type="dxa"/>
            <w:tcBorders>
              <w:top w:val="nil"/>
              <w:left w:val="nil"/>
              <w:bottom w:val="nil"/>
              <w:right w:val="nil"/>
            </w:tcBorders>
            <w:shd w:val="clear" w:color="000000" w:fill="FFFFFF"/>
            <w:noWrap/>
            <w:vAlign w:val="bottom"/>
            <w:hideMark/>
          </w:tcPr>
          <w:p w14:paraId="4A0B2A97" w14:textId="77777777" w:rsidR="008F16FC" w:rsidRPr="008F16FC" w:rsidRDefault="008F16FC" w:rsidP="008F16FC">
            <w:pPr>
              <w:jc w:val="right"/>
              <w:rPr>
                <w:sz w:val="20"/>
                <w:szCs w:val="20"/>
              </w:rPr>
            </w:pPr>
            <w:r w:rsidRPr="008F16FC">
              <w:rPr>
                <w:sz w:val="20"/>
                <w:szCs w:val="20"/>
              </w:rPr>
              <w:t xml:space="preserve">(3.750) </w:t>
            </w:r>
          </w:p>
        </w:tc>
        <w:tc>
          <w:tcPr>
            <w:tcW w:w="1540" w:type="dxa"/>
            <w:tcBorders>
              <w:top w:val="nil"/>
              <w:left w:val="nil"/>
              <w:bottom w:val="nil"/>
              <w:right w:val="nil"/>
            </w:tcBorders>
            <w:shd w:val="clear" w:color="000000" w:fill="FFFFFF"/>
            <w:noWrap/>
            <w:vAlign w:val="bottom"/>
            <w:hideMark/>
          </w:tcPr>
          <w:p w14:paraId="296DC2EA" w14:textId="77777777" w:rsidR="008F16FC" w:rsidRPr="008F16FC" w:rsidRDefault="008F16FC" w:rsidP="008F16FC">
            <w:pPr>
              <w:jc w:val="right"/>
              <w:rPr>
                <w:sz w:val="20"/>
                <w:szCs w:val="20"/>
              </w:rPr>
            </w:pPr>
            <w:r w:rsidRPr="008F16FC">
              <w:rPr>
                <w:sz w:val="20"/>
                <w:szCs w:val="20"/>
              </w:rPr>
              <w:t xml:space="preserve">18.248 </w:t>
            </w:r>
          </w:p>
        </w:tc>
      </w:tr>
      <w:tr w:rsidR="008F16FC" w:rsidRPr="008F16FC" w14:paraId="290F6273" w14:textId="77777777" w:rsidTr="00BA304B">
        <w:trPr>
          <w:trHeight w:val="255"/>
        </w:trPr>
        <w:tc>
          <w:tcPr>
            <w:tcW w:w="1200" w:type="dxa"/>
            <w:tcBorders>
              <w:top w:val="nil"/>
              <w:left w:val="nil"/>
              <w:bottom w:val="nil"/>
              <w:right w:val="nil"/>
            </w:tcBorders>
            <w:shd w:val="clear" w:color="000000" w:fill="FFFFFF"/>
            <w:noWrap/>
            <w:vAlign w:val="bottom"/>
            <w:hideMark/>
          </w:tcPr>
          <w:p w14:paraId="64EF738E" w14:textId="77777777" w:rsidR="008F16FC" w:rsidRPr="008F16FC" w:rsidRDefault="008F16FC" w:rsidP="008F16FC">
            <w:pPr>
              <w:rPr>
                <w:sz w:val="20"/>
                <w:szCs w:val="20"/>
              </w:rPr>
            </w:pPr>
            <w:r w:rsidRPr="008F16FC">
              <w:rPr>
                <w:sz w:val="20"/>
                <w:szCs w:val="20"/>
              </w:rPr>
              <w:t> </w:t>
            </w:r>
          </w:p>
        </w:tc>
        <w:tc>
          <w:tcPr>
            <w:tcW w:w="5320" w:type="dxa"/>
            <w:tcBorders>
              <w:top w:val="nil"/>
              <w:left w:val="nil"/>
              <w:bottom w:val="nil"/>
              <w:right w:val="nil"/>
            </w:tcBorders>
            <w:shd w:val="clear" w:color="000000" w:fill="FFFFFF"/>
            <w:noWrap/>
            <w:vAlign w:val="bottom"/>
            <w:hideMark/>
          </w:tcPr>
          <w:p w14:paraId="5130FBE8" w14:textId="77777777" w:rsidR="008F16FC" w:rsidRPr="008F16FC" w:rsidRDefault="008F16FC" w:rsidP="008F16FC">
            <w:pPr>
              <w:rPr>
                <w:sz w:val="20"/>
                <w:szCs w:val="20"/>
              </w:rPr>
            </w:pPr>
            <w:r w:rsidRPr="008F16FC">
              <w:rPr>
                <w:sz w:val="20"/>
                <w:szCs w:val="20"/>
              </w:rPr>
              <w:t>Efecto diferencia de conversión</w:t>
            </w:r>
          </w:p>
        </w:tc>
        <w:tc>
          <w:tcPr>
            <w:tcW w:w="1540" w:type="dxa"/>
            <w:tcBorders>
              <w:top w:val="nil"/>
              <w:left w:val="nil"/>
              <w:bottom w:val="nil"/>
              <w:right w:val="nil"/>
            </w:tcBorders>
            <w:shd w:val="clear" w:color="000000" w:fill="FFFFFF"/>
            <w:noWrap/>
            <w:vAlign w:val="bottom"/>
            <w:hideMark/>
          </w:tcPr>
          <w:p w14:paraId="5F3CCDA5" w14:textId="77777777" w:rsidR="008F16FC" w:rsidRPr="008F16FC" w:rsidRDefault="008F16FC" w:rsidP="008F16FC">
            <w:pPr>
              <w:jc w:val="right"/>
              <w:rPr>
                <w:sz w:val="20"/>
                <w:szCs w:val="20"/>
              </w:rPr>
            </w:pPr>
            <w:r w:rsidRPr="008F16FC">
              <w:rPr>
                <w:sz w:val="20"/>
                <w:szCs w:val="20"/>
              </w:rPr>
              <w:t xml:space="preserve">(49.042) </w:t>
            </w:r>
          </w:p>
        </w:tc>
        <w:tc>
          <w:tcPr>
            <w:tcW w:w="1540" w:type="dxa"/>
            <w:tcBorders>
              <w:top w:val="nil"/>
              <w:left w:val="nil"/>
              <w:bottom w:val="nil"/>
              <w:right w:val="nil"/>
            </w:tcBorders>
            <w:shd w:val="clear" w:color="000000" w:fill="FFFFFF"/>
            <w:noWrap/>
            <w:vAlign w:val="bottom"/>
            <w:hideMark/>
          </w:tcPr>
          <w:p w14:paraId="3AAA0F07" w14:textId="77777777" w:rsidR="008F16FC" w:rsidRPr="008F16FC" w:rsidRDefault="008F16FC" w:rsidP="008F16FC">
            <w:pPr>
              <w:jc w:val="right"/>
              <w:rPr>
                <w:sz w:val="20"/>
                <w:szCs w:val="20"/>
              </w:rPr>
            </w:pPr>
            <w:r w:rsidRPr="008F16FC">
              <w:rPr>
                <w:sz w:val="20"/>
                <w:szCs w:val="20"/>
              </w:rPr>
              <w:t xml:space="preserve">(29.025) </w:t>
            </w:r>
          </w:p>
        </w:tc>
      </w:tr>
      <w:tr w:rsidR="008F16FC" w:rsidRPr="008F16FC" w14:paraId="01274C6A" w14:textId="77777777" w:rsidTr="00BA304B">
        <w:trPr>
          <w:trHeight w:val="255"/>
        </w:trPr>
        <w:tc>
          <w:tcPr>
            <w:tcW w:w="1200" w:type="dxa"/>
            <w:tcBorders>
              <w:top w:val="nil"/>
              <w:left w:val="nil"/>
              <w:bottom w:val="nil"/>
              <w:right w:val="nil"/>
            </w:tcBorders>
            <w:shd w:val="clear" w:color="000000" w:fill="FFFFFF"/>
            <w:noWrap/>
            <w:vAlign w:val="bottom"/>
            <w:hideMark/>
          </w:tcPr>
          <w:p w14:paraId="4E40A6A0" w14:textId="77777777" w:rsidR="008F16FC" w:rsidRPr="008F16FC" w:rsidRDefault="008F16FC" w:rsidP="008F16FC">
            <w:pPr>
              <w:rPr>
                <w:sz w:val="20"/>
                <w:szCs w:val="20"/>
              </w:rPr>
            </w:pPr>
            <w:r w:rsidRPr="008F16FC">
              <w:rPr>
                <w:sz w:val="20"/>
                <w:szCs w:val="20"/>
              </w:rPr>
              <w:t> </w:t>
            </w:r>
          </w:p>
        </w:tc>
        <w:tc>
          <w:tcPr>
            <w:tcW w:w="5320" w:type="dxa"/>
            <w:tcBorders>
              <w:top w:val="nil"/>
              <w:left w:val="nil"/>
              <w:bottom w:val="nil"/>
              <w:right w:val="nil"/>
            </w:tcBorders>
            <w:shd w:val="clear" w:color="000000" w:fill="FFFFFF"/>
            <w:noWrap/>
            <w:vAlign w:val="bottom"/>
            <w:hideMark/>
          </w:tcPr>
          <w:p w14:paraId="21452197" w14:textId="77777777" w:rsidR="008F16FC" w:rsidRPr="008F16FC" w:rsidRDefault="008F16FC" w:rsidP="008F16FC">
            <w:pPr>
              <w:rPr>
                <w:sz w:val="20"/>
                <w:szCs w:val="20"/>
              </w:rPr>
            </w:pPr>
            <w:r w:rsidRPr="008F16FC">
              <w:rPr>
                <w:sz w:val="20"/>
                <w:szCs w:val="20"/>
              </w:rPr>
              <w:t>Resultado por intereses devengados</w:t>
            </w:r>
          </w:p>
        </w:tc>
        <w:tc>
          <w:tcPr>
            <w:tcW w:w="1540" w:type="dxa"/>
            <w:tcBorders>
              <w:top w:val="nil"/>
              <w:left w:val="nil"/>
              <w:bottom w:val="nil"/>
              <w:right w:val="nil"/>
            </w:tcBorders>
            <w:shd w:val="clear" w:color="000000" w:fill="FFFFFF"/>
            <w:noWrap/>
            <w:vAlign w:val="bottom"/>
            <w:hideMark/>
          </w:tcPr>
          <w:p w14:paraId="7426730C" w14:textId="77777777" w:rsidR="008F16FC" w:rsidRPr="008F16FC" w:rsidRDefault="008F16FC" w:rsidP="008F16FC">
            <w:pPr>
              <w:jc w:val="right"/>
              <w:rPr>
                <w:sz w:val="20"/>
                <w:szCs w:val="20"/>
              </w:rPr>
            </w:pPr>
            <w:r w:rsidRPr="008F16FC">
              <w:rPr>
                <w:sz w:val="20"/>
                <w:szCs w:val="20"/>
              </w:rPr>
              <w:t xml:space="preserve">582.919 </w:t>
            </w:r>
          </w:p>
        </w:tc>
        <w:tc>
          <w:tcPr>
            <w:tcW w:w="1540" w:type="dxa"/>
            <w:tcBorders>
              <w:top w:val="nil"/>
              <w:left w:val="nil"/>
              <w:bottom w:val="nil"/>
              <w:right w:val="nil"/>
            </w:tcBorders>
            <w:shd w:val="clear" w:color="000000" w:fill="FFFFFF"/>
            <w:noWrap/>
            <w:vAlign w:val="bottom"/>
            <w:hideMark/>
          </w:tcPr>
          <w:p w14:paraId="0218815C" w14:textId="77777777" w:rsidR="008F16FC" w:rsidRPr="008F16FC" w:rsidRDefault="008F16FC" w:rsidP="008F16FC">
            <w:pPr>
              <w:jc w:val="right"/>
              <w:rPr>
                <w:sz w:val="20"/>
                <w:szCs w:val="20"/>
              </w:rPr>
            </w:pPr>
            <w:r w:rsidRPr="008F16FC">
              <w:rPr>
                <w:sz w:val="20"/>
                <w:szCs w:val="20"/>
              </w:rPr>
              <w:t xml:space="preserve">465.161 </w:t>
            </w:r>
          </w:p>
        </w:tc>
      </w:tr>
      <w:tr w:rsidR="008F16FC" w:rsidRPr="008F16FC" w14:paraId="7CC8F7E2" w14:textId="77777777" w:rsidTr="00BA304B">
        <w:trPr>
          <w:trHeight w:val="255"/>
        </w:trPr>
        <w:tc>
          <w:tcPr>
            <w:tcW w:w="1200" w:type="dxa"/>
            <w:tcBorders>
              <w:top w:val="nil"/>
              <w:left w:val="nil"/>
              <w:bottom w:val="nil"/>
              <w:right w:val="nil"/>
            </w:tcBorders>
            <w:shd w:val="clear" w:color="000000" w:fill="FFFFFF"/>
            <w:noWrap/>
            <w:vAlign w:val="bottom"/>
            <w:hideMark/>
          </w:tcPr>
          <w:p w14:paraId="5BAB3582" w14:textId="77777777" w:rsidR="008F16FC" w:rsidRPr="008F16FC" w:rsidRDefault="008F16FC" w:rsidP="008F16FC">
            <w:pPr>
              <w:rPr>
                <w:sz w:val="20"/>
                <w:szCs w:val="20"/>
              </w:rPr>
            </w:pPr>
            <w:r w:rsidRPr="008F16FC">
              <w:rPr>
                <w:sz w:val="20"/>
                <w:szCs w:val="20"/>
              </w:rPr>
              <w:t> </w:t>
            </w:r>
          </w:p>
        </w:tc>
        <w:tc>
          <w:tcPr>
            <w:tcW w:w="5320" w:type="dxa"/>
            <w:tcBorders>
              <w:top w:val="nil"/>
              <w:left w:val="nil"/>
              <w:bottom w:val="nil"/>
              <w:right w:val="nil"/>
            </w:tcBorders>
            <w:shd w:val="clear" w:color="000000" w:fill="FFFFFF"/>
            <w:noWrap/>
            <w:vAlign w:val="bottom"/>
            <w:hideMark/>
          </w:tcPr>
          <w:p w14:paraId="52309323" w14:textId="77777777" w:rsidR="008F16FC" w:rsidRPr="008F16FC" w:rsidRDefault="008F16FC" w:rsidP="008F16FC">
            <w:pPr>
              <w:rPr>
                <w:sz w:val="20"/>
                <w:szCs w:val="20"/>
                <w:lang w:val="es-ES"/>
              </w:rPr>
            </w:pPr>
            <w:r w:rsidRPr="008F16FC">
              <w:rPr>
                <w:sz w:val="20"/>
                <w:szCs w:val="20"/>
                <w:lang w:val="es-ES"/>
              </w:rPr>
              <w:t>Valor residual bajas de propiedades, planta y equipos</w:t>
            </w:r>
          </w:p>
        </w:tc>
        <w:tc>
          <w:tcPr>
            <w:tcW w:w="1540" w:type="dxa"/>
            <w:tcBorders>
              <w:top w:val="nil"/>
              <w:left w:val="nil"/>
              <w:bottom w:val="nil"/>
              <w:right w:val="nil"/>
            </w:tcBorders>
            <w:shd w:val="clear" w:color="000000" w:fill="FFFFFF"/>
            <w:noWrap/>
            <w:vAlign w:val="bottom"/>
            <w:hideMark/>
          </w:tcPr>
          <w:p w14:paraId="2C89876C" w14:textId="77777777" w:rsidR="008F16FC" w:rsidRPr="008F16FC" w:rsidRDefault="008F16FC" w:rsidP="008F16FC">
            <w:pPr>
              <w:jc w:val="right"/>
              <w:rPr>
                <w:sz w:val="20"/>
                <w:szCs w:val="20"/>
              </w:rPr>
            </w:pPr>
            <w:r w:rsidRPr="008F16FC">
              <w:rPr>
                <w:sz w:val="20"/>
                <w:szCs w:val="20"/>
              </w:rPr>
              <w:t xml:space="preserve">6.239 </w:t>
            </w:r>
          </w:p>
        </w:tc>
        <w:tc>
          <w:tcPr>
            <w:tcW w:w="1540" w:type="dxa"/>
            <w:tcBorders>
              <w:top w:val="nil"/>
              <w:left w:val="nil"/>
              <w:bottom w:val="nil"/>
              <w:right w:val="nil"/>
            </w:tcBorders>
            <w:shd w:val="clear" w:color="000000" w:fill="FFFFFF"/>
            <w:noWrap/>
            <w:vAlign w:val="bottom"/>
            <w:hideMark/>
          </w:tcPr>
          <w:p w14:paraId="331D0EAE" w14:textId="77777777" w:rsidR="008F16FC" w:rsidRPr="008F16FC" w:rsidRDefault="008F16FC" w:rsidP="008F16FC">
            <w:pPr>
              <w:jc w:val="right"/>
              <w:rPr>
                <w:sz w:val="20"/>
                <w:szCs w:val="20"/>
              </w:rPr>
            </w:pPr>
            <w:r w:rsidRPr="008F16FC">
              <w:rPr>
                <w:sz w:val="20"/>
                <w:szCs w:val="20"/>
              </w:rPr>
              <w:t xml:space="preserve">63.726 </w:t>
            </w:r>
          </w:p>
        </w:tc>
      </w:tr>
      <w:tr w:rsidR="008F16FC" w:rsidRPr="008F16FC" w14:paraId="414EB32F" w14:textId="77777777" w:rsidTr="00BA304B">
        <w:trPr>
          <w:trHeight w:val="255"/>
        </w:trPr>
        <w:tc>
          <w:tcPr>
            <w:tcW w:w="1200" w:type="dxa"/>
            <w:tcBorders>
              <w:top w:val="nil"/>
              <w:left w:val="nil"/>
              <w:bottom w:val="nil"/>
              <w:right w:val="nil"/>
            </w:tcBorders>
            <w:shd w:val="clear" w:color="000000" w:fill="FFFFFF"/>
            <w:noWrap/>
            <w:vAlign w:val="bottom"/>
            <w:hideMark/>
          </w:tcPr>
          <w:p w14:paraId="44DA8EAA" w14:textId="77777777" w:rsidR="008F16FC" w:rsidRPr="008F16FC" w:rsidRDefault="008F16FC" w:rsidP="008F16FC">
            <w:pPr>
              <w:rPr>
                <w:sz w:val="20"/>
                <w:szCs w:val="20"/>
              </w:rPr>
            </w:pPr>
            <w:r w:rsidRPr="008F16FC">
              <w:rPr>
                <w:sz w:val="20"/>
                <w:szCs w:val="20"/>
              </w:rPr>
              <w:t> </w:t>
            </w:r>
          </w:p>
        </w:tc>
        <w:tc>
          <w:tcPr>
            <w:tcW w:w="5320" w:type="dxa"/>
            <w:tcBorders>
              <w:top w:val="nil"/>
              <w:left w:val="nil"/>
              <w:bottom w:val="nil"/>
              <w:right w:val="nil"/>
            </w:tcBorders>
            <w:shd w:val="clear" w:color="000000" w:fill="FFFFFF"/>
            <w:noWrap/>
            <w:vAlign w:val="bottom"/>
            <w:hideMark/>
          </w:tcPr>
          <w:p w14:paraId="0F9FE973" w14:textId="77777777" w:rsidR="008F16FC" w:rsidRPr="008F16FC" w:rsidRDefault="008F16FC" w:rsidP="008F16FC">
            <w:pPr>
              <w:rPr>
                <w:sz w:val="20"/>
                <w:szCs w:val="20"/>
              </w:rPr>
            </w:pPr>
            <w:r w:rsidRPr="008F16FC">
              <w:rPr>
                <w:sz w:val="20"/>
                <w:szCs w:val="20"/>
              </w:rPr>
              <w:t>Asignación Bono de Participación</w:t>
            </w:r>
          </w:p>
        </w:tc>
        <w:tc>
          <w:tcPr>
            <w:tcW w:w="1540" w:type="dxa"/>
            <w:tcBorders>
              <w:top w:val="nil"/>
              <w:left w:val="nil"/>
              <w:bottom w:val="nil"/>
              <w:right w:val="nil"/>
            </w:tcBorders>
            <w:shd w:val="clear" w:color="000000" w:fill="FFFFFF"/>
            <w:noWrap/>
            <w:vAlign w:val="bottom"/>
            <w:hideMark/>
          </w:tcPr>
          <w:p w14:paraId="04CBA484" w14:textId="77777777" w:rsidR="008F16FC" w:rsidRPr="008F16FC" w:rsidRDefault="008F16FC" w:rsidP="008F16FC">
            <w:pPr>
              <w:jc w:val="right"/>
              <w:rPr>
                <w:sz w:val="20"/>
                <w:szCs w:val="20"/>
              </w:rPr>
            </w:pPr>
            <w:r w:rsidRPr="008F16FC">
              <w:rPr>
                <w:sz w:val="20"/>
                <w:szCs w:val="20"/>
              </w:rPr>
              <w:t xml:space="preserve">0 </w:t>
            </w:r>
          </w:p>
        </w:tc>
        <w:tc>
          <w:tcPr>
            <w:tcW w:w="1540" w:type="dxa"/>
            <w:tcBorders>
              <w:top w:val="nil"/>
              <w:left w:val="nil"/>
              <w:bottom w:val="nil"/>
              <w:right w:val="nil"/>
            </w:tcBorders>
            <w:shd w:val="clear" w:color="000000" w:fill="FFFFFF"/>
            <w:noWrap/>
            <w:vAlign w:val="bottom"/>
            <w:hideMark/>
          </w:tcPr>
          <w:p w14:paraId="13731739" w14:textId="77777777" w:rsidR="008F16FC" w:rsidRPr="008F16FC" w:rsidRDefault="008F16FC" w:rsidP="008F16FC">
            <w:pPr>
              <w:jc w:val="right"/>
              <w:rPr>
                <w:sz w:val="20"/>
                <w:szCs w:val="20"/>
              </w:rPr>
            </w:pPr>
            <w:r w:rsidRPr="008F16FC">
              <w:rPr>
                <w:sz w:val="20"/>
                <w:szCs w:val="20"/>
              </w:rPr>
              <w:t xml:space="preserve">(3.621) </w:t>
            </w:r>
          </w:p>
        </w:tc>
      </w:tr>
      <w:tr w:rsidR="008F16FC" w:rsidRPr="008F16FC" w14:paraId="3E9F726C" w14:textId="77777777" w:rsidTr="00BA304B">
        <w:trPr>
          <w:trHeight w:val="255"/>
        </w:trPr>
        <w:tc>
          <w:tcPr>
            <w:tcW w:w="1200" w:type="dxa"/>
            <w:tcBorders>
              <w:top w:val="nil"/>
              <w:left w:val="nil"/>
              <w:bottom w:val="nil"/>
              <w:right w:val="nil"/>
            </w:tcBorders>
            <w:shd w:val="clear" w:color="000000" w:fill="FFFFFF"/>
            <w:noWrap/>
            <w:vAlign w:val="bottom"/>
            <w:hideMark/>
          </w:tcPr>
          <w:p w14:paraId="033CE4E0" w14:textId="77777777" w:rsidR="008F16FC" w:rsidRPr="008F16FC" w:rsidRDefault="008F16FC" w:rsidP="008F16FC">
            <w:pPr>
              <w:rPr>
                <w:sz w:val="20"/>
                <w:szCs w:val="20"/>
              </w:rPr>
            </w:pPr>
            <w:r w:rsidRPr="008F16FC">
              <w:rPr>
                <w:sz w:val="20"/>
                <w:szCs w:val="20"/>
              </w:rPr>
              <w:t> </w:t>
            </w:r>
          </w:p>
        </w:tc>
        <w:tc>
          <w:tcPr>
            <w:tcW w:w="5320" w:type="dxa"/>
            <w:tcBorders>
              <w:top w:val="nil"/>
              <w:left w:val="nil"/>
              <w:bottom w:val="nil"/>
              <w:right w:val="nil"/>
            </w:tcBorders>
            <w:shd w:val="clear" w:color="000000" w:fill="FFFFFF"/>
            <w:noWrap/>
            <w:vAlign w:val="bottom"/>
            <w:hideMark/>
          </w:tcPr>
          <w:p w14:paraId="52250DD6" w14:textId="77777777" w:rsidR="008F16FC" w:rsidRPr="008F16FC" w:rsidRDefault="008F16FC" w:rsidP="008F16FC">
            <w:pPr>
              <w:rPr>
                <w:sz w:val="20"/>
                <w:szCs w:val="20"/>
                <w:lang w:val="es-ES"/>
              </w:rPr>
            </w:pPr>
            <w:r w:rsidRPr="008F16FC">
              <w:rPr>
                <w:sz w:val="20"/>
                <w:szCs w:val="20"/>
                <w:lang w:val="es-ES"/>
              </w:rPr>
              <w:t>Efecto revalúo de propiedades de inversión</w:t>
            </w:r>
          </w:p>
        </w:tc>
        <w:tc>
          <w:tcPr>
            <w:tcW w:w="1540" w:type="dxa"/>
            <w:tcBorders>
              <w:top w:val="nil"/>
              <w:left w:val="nil"/>
              <w:bottom w:val="nil"/>
              <w:right w:val="nil"/>
            </w:tcBorders>
            <w:shd w:val="clear" w:color="000000" w:fill="FFFFFF"/>
            <w:noWrap/>
            <w:vAlign w:val="bottom"/>
            <w:hideMark/>
          </w:tcPr>
          <w:p w14:paraId="7290A7E1" w14:textId="77777777" w:rsidR="008F16FC" w:rsidRPr="008F16FC" w:rsidRDefault="008F16FC" w:rsidP="008F16FC">
            <w:pPr>
              <w:jc w:val="right"/>
              <w:rPr>
                <w:sz w:val="20"/>
                <w:szCs w:val="20"/>
              </w:rPr>
            </w:pPr>
            <w:r w:rsidRPr="008F16FC">
              <w:rPr>
                <w:sz w:val="20"/>
                <w:szCs w:val="20"/>
              </w:rPr>
              <w:t xml:space="preserve">686 </w:t>
            </w:r>
          </w:p>
        </w:tc>
        <w:tc>
          <w:tcPr>
            <w:tcW w:w="1540" w:type="dxa"/>
            <w:tcBorders>
              <w:top w:val="nil"/>
              <w:left w:val="nil"/>
              <w:bottom w:val="nil"/>
              <w:right w:val="nil"/>
            </w:tcBorders>
            <w:shd w:val="clear" w:color="000000" w:fill="FFFFFF"/>
            <w:noWrap/>
            <w:vAlign w:val="bottom"/>
            <w:hideMark/>
          </w:tcPr>
          <w:p w14:paraId="32854B1D" w14:textId="77777777" w:rsidR="008F16FC" w:rsidRPr="008F16FC" w:rsidRDefault="008F16FC" w:rsidP="008F16FC">
            <w:pPr>
              <w:jc w:val="right"/>
              <w:rPr>
                <w:sz w:val="20"/>
                <w:szCs w:val="20"/>
              </w:rPr>
            </w:pPr>
            <w:r w:rsidRPr="008F16FC">
              <w:rPr>
                <w:sz w:val="20"/>
                <w:szCs w:val="20"/>
              </w:rPr>
              <w:t xml:space="preserve">(11.652) </w:t>
            </w:r>
          </w:p>
        </w:tc>
      </w:tr>
      <w:tr w:rsidR="008F16FC" w:rsidRPr="008F16FC" w14:paraId="53121392" w14:textId="77777777" w:rsidTr="00BA304B">
        <w:trPr>
          <w:trHeight w:val="255"/>
        </w:trPr>
        <w:tc>
          <w:tcPr>
            <w:tcW w:w="1200" w:type="dxa"/>
            <w:tcBorders>
              <w:top w:val="nil"/>
              <w:left w:val="nil"/>
              <w:bottom w:val="nil"/>
              <w:right w:val="nil"/>
            </w:tcBorders>
            <w:shd w:val="clear" w:color="000000" w:fill="FFFFFF"/>
            <w:noWrap/>
            <w:vAlign w:val="bottom"/>
            <w:hideMark/>
          </w:tcPr>
          <w:p w14:paraId="05F57FBD" w14:textId="77777777" w:rsidR="008F16FC" w:rsidRPr="008F16FC" w:rsidRDefault="008F16FC" w:rsidP="008F16FC">
            <w:pPr>
              <w:rPr>
                <w:sz w:val="20"/>
                <w:szCs w:val="20"/>
              </w:rPr>
            </w:pPr>
            <w:r w:rsidRPr="008F16FC">
              <w:rPr>
                <w:sz w:val="20"/>
                <w:szCs w:val="20"/>
              </w:rPr>
              <w:t> </w:t>
            </w:r>
          </w:p>
        </w:tc>
        <w:tc>
          <w:tcPr>
            <w:tcW w:w="5320" w:type="dxa"/>
            <w:tcBorders>
              <w:top w:val="nil"/>
              <w:left w:val="nil"/>
              <w:bottom w:val="nil"/>
              <w:right w:val="nil"/>
            </w:tcBorders>
            <w:shd w:val="clear" w:color="000000" w:fill="FFFFFF"/>
            <w:noWrap/>
            <w:vAlign w:val="bottom"/>
            <w:hideMark/>
          </w:tcPr>
          <w:p w14:paraId="36323BB8" w14:textId="77777777" w:rsidR="008F16FC" w:rsidRPr="008F16FC" w:rsidRDefault="008F16FC" w:rsidP="008F16FC">
            <w:pPr>
              <w:rPr>
                <w:sz w:val="20"/>
                <w:szCs w:val="20"/>
                <w:lang w:val="es-ES"/>
              </w:rPr>
            </w:pPr>
            <w:r w:rsidRPr="008F16FC">
              <w:rPr>
                <w:sz w:val="20"/>
                <w:szCs w:val="20"/>
                <w:lang w:val="es-ES"/>
              </w:rPr>
              <w:t>Efecto revalúo de propiedades, planta y equipos</w:t>
            </w:r>
          </w:p>
        </w:tc>
        <w:tc>
          <w:tcPr>
            <w:tcW w:w="1540" w:type="dxa"/>
            <w:tcBorders>
              <w:top w:val="nil"/>
              <w:left w:val="nil"/>
              <w:bottom w:val="nil"/>
              <w:right w:val="nil"/>
            </w:tcBorders>
            <w:shd w:val="clear" w:color="000000" w:fill="FFFFFF"/>
            <w:noWrap/>
            <w:vAlign w:val="bottom"/>
            <w:hideMark/>
          </w:tcPr>
          <w:p w14:paraId="4029D550" w14:textId="77777777" w:rsidR="008F16FC" w:rsidRPr="008F16FC" w:rsidRDefault="008F16FC" w:rsidP="008F16FC">
            <w:pPr>
              <w:jc w:val="right"/>
              <w:rPr>
                <w:sz w:val="20"/>
                <w:szCs w:val="20"/>
              </w:rPr>
            </w:pPr>
            <w:r w:rsidRPr="008F16FC">
              <w:rPr>
                <w:sz w:val="20"/>
                <w:szCs w:val="20"/>
              </w:rPr>
              <w:t xml:space="preserve">57.387 </w:t>
            </w:r>
          </w:p>
        </w:tc>
        <w:tc>
          <w:tcPr>
            <w:tcW w:w="1540" w:type="dxa"/>
            <w:tcBorders>
              <w:top w:val="nil"/>
              <w:left w:val="nil"/>
              <w:bottom w:val="nil"/>
              <w:right w:val="nil"/>
            </w:tcBorders>
            <w:shd w:val="clear" w:color="000000" w:fill="FFFFFF"/>
            <w:noWrap/>
            <w:vAlign w:val="bottom"/>
            <w:hideMark/>
          </w:tcPr>
          <w:p w14:paraId="1FE9453E" w14:textId="77777777" w:rsidR="008F16FC" w:rsidRPr="008F16FC" w:rsidRDefault="008F16FC" w:rsidP="008F16FC">
            <w:pPr>
              <w:jc w:val="right"/>
              <w:rPr>
                <w:sz w:val="20"/>
                <w:szCs w:val="20"/>
              </w:rPr>
            </w:pPr>
            <w:r w:rsidRPr="008F16FC">
              <w:rPr>
                <w:sz w:val="20"/>
                <w:szCs w:val="20"/>
              </w:rPr>
              <w:t xml:space="preserve">(145.283) </w:t>
            </w:r>
          </w:p>
        </w:tc>
      </w:tr>
      <w:tr w:rsidR="008F16FC" w:rsidRPr="00512442" w14:paraId="2A749EF3" w14:textId="77777777" w:rsidTr="00BA304B">
        <w:trPr>
          <w:trHeight w:val="255"/>
        </w:trPr>
        <w:tc>
          <w:tcPr>
            <w:tcW w:w="6520" w:type="dxa"/>
            <w:gridSpan w:val="2"/>
            <w:tcBorders>
              <w:top w:val="nil"/>
              <w:left w:val="nil"/>
              <w:bottom w:val="nil"/>
              <w:right w:val="nil"/>
            </w:tcBorders>
            <w:shd w:val="clear" w:color="000000" w:fill="FFFFFF"/>
            <w:noWrap/>
            <w:vAlign w:val="bottom"/>
            <w:hideMark/>
          </w:tcPr>
          <w:p w14:paraId="77859CC8" w14:textId="77777777" w:rsidR="008F16FC" w:rsidRPr="008F16FC" w:rsidRDefault="008F16FC" w:rsidP="008F16FC">
            <w:pPr>
              <w:rPr>
                <w:b/>
                <w:bCs/>
                <w:i/>
                <w:iCs/>
                <w:sz w:val="20"/>
                <w:szCs w:val="20"/>
                <w:lang w:val="es-ES"/>
              </w:rPr>
            </w:pPr>
            <w:r w:rsidRPr="008F16FC">
              <w:rPr>
                <w:b/>
                <w:bCs/>
                <w:i/>
                <w:iCs/>
                <w:sz w:val="20"/>
                <w:szCs w:val="20"/>
                <w:lang w:val="es-ES"/>
              </w:rPr>
              <w:t>Cambios en activos y pasivos operativos</w:t>
            </w:r>
            <w:r w:rsidRPr="008F16FC">
              <w:rPr>
                <w:sz w:val="20"/>
                <w:szCs w:val="20"/>
                <w:lang w:val="es-ES"/>
              </w:rPr>
              <w:t>:</w:t>
            </w:r>
          </w:p>
        </w:tc>
        <w:tc>
          <w:tcPr>
            <w:tcW w:w="1540" w:type="dxa"/>
            <w:tcBorders>
              <w:top w:val="nil"/>
              <w:left w:val="nil"/>
              <w:bottom w:val="nil"/>
              <w:right w:val="nil"/>
            </w:tcBorders>
            <w:shd w:val="clear" w:color="000000" w:fill="FFFFFF"/>
            <w:noWrap/>
            <w:vAlign w:val="bottom"/>
            <w:hideMark/>
          </w:tcPr>
          <w:p w14:paraId="5BDC8F34" w14:textId="77777777" w:rsidR="008F16FC" w:rsidRPr="008F16FC" w:rsidRDefault="008F16FC" w:rsidP="008F16FC">
            <w:pPr>
              <w:rPr>
                <w:sz w:val="20"/>
                <w:szCs w:val="20"/>
                <w:u w:val="single"/>
                <w:lang w:val="es-ES"/>
              </w:rPr>
            </w:pPr>
            <w:r w:rsidRPr="008F16FC">
              <w:rPr>
                <w:sz w:val="20"/>
                <w:szCs w:val="20"/>
                <w:u w:val="single"/>
                <w:lang w:val="es-ES"/>
              </w:rPr>
              <w:t> </w:t>
            </w:r>
          </w:p>
        </w:tc>
        <w:tc>
          <w:tcPr>
            <w:tcW w:w="1540" w:type="dxa"/>
            <w:tcBorders>
              <w:top w:val="nil"/>
              <w:left w:val="nil"/>
              <w:bottom w:val="nil"/>
              <w:right w:val="nil"/>
            </w:tcBorders>
            <w:shd w:val="clear" w:color="000000" w:fill="FFFFFF"/>
            <w:noWrap/>
            <w:vAlign w:val="bottom"/>
            <w:hideMark/>
          </w:tcPr>
          <w:p w14:paraId="376EA31F" w14:textId="77777777" w:rsidR="008F16FC" w:rsidRPr="008F16FC" w:rsidRDefault="008F16FC" w:rsidP="008F16FC">
            <w:pPr>
              <w:rPr>
                <w:sz w:val="20"/>
                <w:szCs w:val="20"/>
                <w:lang w:val="es-ES"/>
              </w:rPr>
            </w:pPr>
            <w:r w:rsidRPr="008F16FC">
              <w:rPr>
                <w:sz w:val="20"/>
                <w:szCs w:val="20"/>
                <w:lang w:val="es-ES"/>
              </w:rPr>
              <w:t> </w:t>
            </w:r>
          </w:p>
        </w:tc>
      </w:tr>
      <w:tr w:rsidR="008F16FC" w:rsidRPr="008F16FC" w14:paraId="5D60E0FC" w14:textId="77777777" w:rsidTr="00BA304B">
        <w:trPr>
          <w:trHeight w:val="255"/>
        </w:trPr>
        <w:tc>
          <w:tcPr>
            <w:tcW w:w="1200" w:type="dxa"/>
            <w:tcBorders>
              <w:top w:val="nil"/>
              <w:left w:val="nil"/>
              <w:bottom w:val="nil"/>
              <w:right w:val="nil"/>
            </w:tcBorders>
            <w:shd w:val="clear" w:color="000000" w:fill="FFFFFF"/>
            <w:noWrap/>
            <w:vAlign w:val="bottom"/>
            <w:hideMark/>
          </w:tcPr>
          <w:p w14:paraId="57029D14" w14:textId="77777777" w:rsidR="008F16FC" w:rsidRPr="008F16FC" w:rsidRDefault="008F16FC" w:rsidP="008F16FC">
            <w:pPr>
              <w:rPr>
                <w:sz w:val="20"/>
                <w:szCs w:val="20"/>
                <w:u w:val="single"/>
                <w:lang w:val="es-ES"/>
              </w:rPr>
            </w:pPr>
            <w:r w:rsidRPr="008F16FC">
              <w:rPr>
                <w:sz w:val="20"/>
                <w:szCs w:val="20"/>
                <w:u w:val="single"/>
                <w:lang w:val="es-ES"/>
              </w:rPr>
              <w:t> </w:t>
            </w:r>
          </w:p>
        </w:tc>
        <w:tc>
          <w:tcPr>
            <w:tcW w:w="5320" w:type="dxa"/>
            <w:tcBorders>
              <w:top w:val="nil"/>
              <w:left w:val="nil"/>
              <w:bottom w:val="nil"/>
              <w:right w:val="nil"/>
            </w:tcBorders>
            <w:shd w:val="clear" w:color="000000" w:fill="FFFFFF"/>
            <w:noWrap/>
            <w:vAlign w:val="bottom"/>
            <w:hideMark/>
          </w:tcPr>
          <w:p w14:paraId="1A50E913" w14:textId="77777777" w:rsidR="008F16FC" w:rsidRPr="008F16FC" w:rsidRDefault="008F16FC" w:rsidP="008F16FC">
            <w:pPr>
              <w:rPr>
                <w:sz w:val="20"/>
                <w:szCs w:val="20"/>
                <w:lang w:val="es-ES"/>
              </w:rPr>
            </w:pPr>
            <w:r w:rsidRPr="008F16FC">
              <w:rPr>
                <w:sz w:val="20"/>
                <w:szCs w:val="20"/>
                <w:lang w:val="es-ES"/>
              </w:rPr>
              <w:t>Disminución / (Aumento) en créditos por ventas</w:t>
            </w:r>
          </w:p>
        </w:tc>
        <w:tc>
          <w:tcPr>
            <w:tcW w:w="1540" w:type="dxa"/>
            <w:tcBorders>
              <w:top w:val="nil"/>
              <w:left w:val="nil"/>
              <w:bottom w:val="nil"/>
              <w:right w:val="nil"/>
            </w:tcBorders>
            <w:shd w:val="clear" w:color="000000" w:fill="FFFFFF"/>
            <w:noWrap/>
            <w:vAlign w:val="bottom"/>
            <w:hideMark/>
          </w:tcPr>
          <w:p w14:paraId="2D0A4B74" w14:textId="77777777" w:rsidR="008F16FC" w:rsidRPr="008F16FC" w:rsidRDefault="008F16FC" w:rsidP="008F16FC">
            <w:pPr>
              <w:jc w:val="right"/>
              <w:rPr>
                <w:sz w:val="20"/>
                <w:szCs w:val="20"/>
              </w:rPr>
            </w:pPr>
            <w:r w:rsidRPr="008F16FC">
              <w:rPr>
                <w:sz w:val="20"/>
                <w:szCs w:val="20"/>
              </w:rPr>
              <w:t xml:space="preserve">446.248 </w:t>
            </w:r>
          </w:p>
        </w:tc>
        <w:tc>
          <w:tcPr>
            <w:tcW w:w="1540" w:type="dxa"/>
            <w:tcBorders>
              <w:top w:val="nil"/>
              <w:left w:val="nil"/>
              <w:bottom w:val="nil"/>
              <w:right w:val="nil"/>
            </w:tcBorders>
            <w:shd w:val="clear" w:color="000000" w:fill="FFFFFF"/>
            <w:noWrap/>
            <w:vAlign w:val="bottom"/>
            <w:hideMark/>
          </w:tcPr>
          <w:p w14:paraId="7EFD7AE7" w14:textId="77777777" w:rsidR="008F16FC" w:rsidRPr="008F16FC" w:rsidRDefault="008F16FC" w:rsidP="008F16FC">
            <w:pPr>
              <w:jc w:val="right"/>
              <w:rPr>
                <w:sz w:val="20"/>
                <w:szCs w:val="20"/>
              </w:rPr>
            </w:pPr>
            <w:r w:rsidRPr="008F16FC">
              <w:rPr>
                <w:sz w:val="20"/>
                <w:szCs w:val="20"/>
              </w:rPr>
              <w:t xml:space="preserve">(1.331.648) </w:t>
            </w:r>
          </w:p>
        </w:tc>
      </w:tr>
      <w:tr w:rsidR="008F16FC" w:rsidRPr="008F16FC" w14:paraId="7A75F1D7" w14:textId="77777777" w:rsidTr="00BA304B">
        <w:trPr>
          <w:trHeight w:val="255"/>
        </w:trPr>
        <w:tc>
          <w:tcPr>
            <w:tcW w:w="1200" w:type="dxa"/>
            <w:tcBorders>
              <w:top w:val="nil"/>
              <w:left w:val="nil"/>
              <w:bottom w:val="nil"/>
              <w:right w:val="nil"/>
            </w:tcBorders>
            <w:shd w:val="clear" w:color="000000" w:fill="FFFFFF"/>
            <w:noWrap/>
            <w:vAlign w:val="bottom"/>
            <w:hideMark/>
          </w:tcPr>
          <w:p w14:paraId="68A40121" w14:textId="77777777" w:rsidR="008F16FC" w:rsidRPr="008F16FC" w:rsidRDefault="008F16FC" w:rsidP="008F16FC">
            <w:pPr>
              <w:rPr>
                <w:sz w:val="20"/>
                <w:szCs w:val="20"/>
                <w:u w:val="single"/>
              </w:rPr>
            </w:pPr>
            <w:r w:rsidRPr="008F16FC">
              <w:rPr>
                <w:sz w:val="20"/>
                <w:szCs w:val="20"/>
                <w:u w:val="single"/>
              </w:rPr>
              <w:t> </w:t>
            </w:r>
          </w:p>
        </w:tc>
        <w:tc>
          <w:tcPr>
            <w:tcW w:w="5320" w:type="dxa"/>
            <w:tcBorders>
              <w:top w:val="nil"/>
              <w:left w:val="nil"/>
              <w:bottom w:val="nil"/>
              <w:right w:val="nil"/>
            </w:tcBorders>
            <w:shd w:val="clear" w:color="000000" w:fill="FFFFFF"/>
            <w:noWrap/>
            <w:vAlign w:val="bottom"/>
            <w:hideMark/>
          </w:tcPr>
          <w:p w14:paraId="76CC4A2B" w14:textId="77777777" w:rsidR="008F16FC" w:rsidRPr="008F16FC" w:rsidRDefault="008F16FC" w:rsidP="008F16FC">
            <w:pPr>
              <w:rPr>
                <w:sz w:val="20"/>
                <w:szCs w:val="20"/>
                <w:lang w:val="es-ES"/>
              </w:rPr>
            </w:pPr>
            <w:r w:rsidRPr="008F16FC">
              <w:rPr>
                <w:sz w:val="20"/>
                <w:szCs w:val="20"/>
                <w:lang w:val="es-ES"/>
              </w:rPr>
              <w:t>Disminución en contratos de construcción</w:t>
            </w:r>
          </w:p>
        </w:tc>
        <w:tc>
          <w:tcPr>
            <w:tcW w:w="1540" w:type="dxa"/>
            <w:tcBorders>
              <w:top w:val="nil"/>
              <w:left w:val="nil"/>
              <w:bottom w:val="nil"/>
              <w:right w:val="nil"/>
            </w:tcBorders>
            <w:shd w:val="clear" w:color="000000" w:fill="FFFFFF"/>
            <w:noWrap/>
            <w:vAlign w:val="bottom"/>
            <w:hideMark/>
          </w:tcPr>
          <w:p w14:paraId="16464524" w14:textId="77777777" w:rsidR="008F16FC" w:rsidRPr="008F16FC" w:rsidRDefault="008F16FC" w:rsidP="008F16FC">
            <w:pPr>
              <w:jc w:val="right"/>
              <w:rPr>
                <w:sz w:val="20"/>
                <w:szCs w:val="20"/>
              </w:rPr>
            </w:pPr>
            <w:r w:rsidRPr="008F16FC">
              <w:rPr>
                <w:sz w:val="20"/>
                <w:szCs w:val="20"/>
              </w:rPr>
              <w:t xml:space="preserve">1.030.486 </w:t>
            </w:r>
          </w:p>
        </w:tc>
        <w:tc>
          <w:tcPr>
            <w:tcW w:w="1540" w:type="dxa"/>
            <w:tcBorders>
              <w:top w:val="nil"/>
              <w:left w:val="nil"/>
              <w:bottom w:val="nil"/>
              <w:right w:val="nil"/>
            </w:tcBorders>
            <w:shd w:val="clear" w:color="000000" w:fill="FFFFFF"/>
            <w:noWrap/>
            <w:vAlign w:val="bottom"/>
            <w:hideMark/>
          </w:tcPr>
          <w:p w14:paraId="20D730C0" w14:textId="77777777" w:rsidR="008F16FC" w:rsidRPr="008F16FC" w:rsidRDefault="008F16FC" w:rsidP="008F16FC">
            <w:pPr>
              <w:jc w:val="right"/>
              <w:rPr>
                <w:sz w:val="20"/>
                <w:szCs w:val="20"/>
              </w:rPr>
            </w:pPr>
            <w:r w:rsidRPr="008F16FC">
              <w:rPr>
                <w:sz w:val="20"/>
                <w:szCs w:val="20"/>
              </w:rPr>
              <w:t xml:space="preserve">1.979.477 </w:t>
            </w:r>
          </w:p>
        </w:tc>
      </w:tr>
      <w:tr w:rsidR="008F16FC" w:rsidRPr="008F16FC" w14:paraId="1C73D625" w14:textId="77777777" w:rsidTr="00BA304B">
        <w:trPr>
          <w:trHeight w:val="255"/>
        </w:trPr>
        <w:tc>
          <w:tcPr>
            <w:tcW w:w="1200" w:type="dxa"/>
            <w:tcBorders>
              <w:top w:val="nil"/>
              <w:left w:val="nil"/>
              <w:bottom w:val="nil"/>
              <w:right w:val="nil"/>
            </w:tcBorders>
            <w:shd w:val="clear" w:color="000000" w:fill="FFFFFF"/>
            <w:noWrap/>
            <w:vAlign w:val="bottom"/>
            <w:hideMark/>
          </w:tcPr>
          <w:p w14:paraId="19CBB8DF" w14:textId="77777777" w:rsidR="008F16FC" w:rsidRPr="008F16FC" w:rsidRDefault="008F16FC" w:rsidP="008F16FC">
            <w:pPr>
              <w:rPr>
                <w:sz w:val="20"/>
                <w:szCs w:val="20"/>
                <w:u w:val="single"/>
              </w:rPr>
            </w:pPr>
            <w:r w:rsidRPr="008F16FC">
              <w:rPr>
                <w:sz w:val="20"/>
                <w:szCs w:val="20"/>
                <w:u w:val="single"/>
              </w:rPr>
              <w:t> </w:t>
            </w:r>
          </w:p>
        </w:tc>
        <w:tc>
          <w:tcPr>
            <w:tcW w:w="5320" w:type="dxa"/>
            <w:tcBorders>
              <w:top w:val="nil"/>
              <w:left w:val="nil"/>
              <w:bottom w:val="nil"/>
              <w:right w:val="nil"/>
            </w:tcBorders>
            <w:shd w:val="clear" w:color="000000" w:fill="FFFFFF"/>
            <w:noWrap/>
            <w:vAlign w:val="bottom"/>
            <w:hideMark/>
          </w:tcPr>
          <w:p w14:paraId="37800EEA" w14:textId="77777777" w:rsidR="008F16FC" w:rsidRPr="008F16FC" w:rsidRDefault="008F16FC" w:rsidP="008F16FC">
            <w:pPr>
              <w:rPr>
                <w:sz w:val="20"/>
                <w:szCs w:val="20"/>
              </w:rPr>
            </w:pPr>
            <w:r w:rsidRPr="008F16FC">
              <w:rPr>
                <w:sz w:val="20"/>
                <w:szCs w:val="20"/>
              </w:rPr>
              <w:t>Disminución en créditos diversos</w:t>
            </w:r>
          </w:p>
        </w:tc>
        <w:tc>
          <w:tcPr>
            <w:tcW w:w="1540" w:type="dxa"/>
            <w:tcBorders>
              <w:top w:val="nil"/>
              <w:left w:val="nil"/>
              <w:bottom w:val="nil"/>
              <w:right w:val="nil"/>
            </w:tcBorders>
            <w:shd w:val="clear" w:color="000000" w:fill="FFFFFF"/>
            <w:noWrap/>
            <w:vAlign w:val="bottom"/>
            <w:hideMark/>
          </w:tcPr>
          <w:p w14:paraId="46C900EC" w14:textId="77777777" w:rsidR="008F16FC" w:rsidRPr="008F16FC" w:rsidRDefault="008F16FC" w:rsidP="008F16FC">
            <w:pPr>
              <w:jc w:val="right"/>
              <w:rPr>
                <w:sz w:val="20"/>
                <w:szCs w:val="20"/>
              </w:rPr>
            </w:pPr>
            <w:r w:rsidRPr="008F16FC">
              <w:rPr>
                <w:sz w:val="20"/>
                <w:szCs w:val="20"/>
              </w:rPr>
              <w:t xml:space="preserve">524.644 </w:t>
            </w:r>
          </w:p>
        </w:tc>
        <w:tc>
          <w:tcPr>
            <w:tcW w:w="1540" w:type="dxa"/>
            <w:tcBorders>
              <w:top w:val="nil"/>
              <w:left w:val="nil"/>
              <w:bottom w:val="nil"/>
              <w:right w:val="nil"/>
            </w:tcBorders>
            <w:shd w:val="clear" w:color="000000" w:fill="FFFFFF"/>
            <w:noWrap/>
            <w:vAlign w:val="bottom"/>
            <w:hideMark/>
          </w:tcPr>
          <w:p w14:paraId="28353660" w14:textId="77777777" w:rsidR="008F16FC" w:rsidRPr="008F16FC" w:rsidRDefault="008F16FC" w:rsidP="008F16FC">
            <w:pPr>
              <w:jc w:val="right"/>
              <w:rPr>
                <w:sz w:val="20"/>
                <w:szCs w:val="20"/>
              </w:rPr>
            </w:pPr>
            <w:r w:rsidRPr="008F16FC">
              <w:rPr>
                <w:sz w:val="20"/>
                <w:szCs w:val="20"/>
              </w:rPr>
              <w:t xml:space="preserve">32.030 </w:t>
            </w:r>
          </w:p>
        </w:tc>
      </w:tr>
      <w:tr w:rsidR="008F16FC" w:rsidRPr="008F16FC" w14:paraId="283FE348" w14:textId="77777777" w:rsidTr="00BA304B">
        <w:trPr>
          <w:trHeight w:val="255"/>
        </w:trPr>
        <w:tc>
          <w:tcPr>
            <w:tcW w:w="1200" w:type="dxa"/>
            <w:tcBorders>
              <w:top w:val="nil"/>
              <w:left w:val="nil"/>
              <w:bottom w:val="nil"/>
              <w:right w:val="nil"/>
            </w:tcBorders>
            <w:shd w:val="clear" w:color="000000" w:fill="FFFFFF"/>
            <w:noWrap/>
            <w:vAlign w:val="bottom"/>
            <w:hideMark/>
          </w:tcPr>
          <w:p w14:paraId="22EB180B" w14:textId="77777777" w:rsidR="008F16FC" w:rsidRPr="008F16FC" w:rsidRDefault="008F16FC" w:rsidP="008F16FC">
            <w:pPr>
              <w:rPr>
                <w:sz w:val="20"/>
                <w:szCs w:val="20"/>
                <w:u w:val="single"/>
              </w:rPr>
            </w:pPr>
            <w:r w:rsidRPr="008F16FC">
              <w:rPr>
                <w:sz w:val="20"/>
                <w:szCs w:val="20"/>
                <w:u w:val="single"/>
              </w:rPr>
              <w:t> </w:t>
            </w:r>
          </w:p>
        </w:tc>
        <w:tc>
          <w:tcPr>
            <w:tcW w:w="5320" w:type="dxa"/>
            <w:tcBorders>
              <w:top w:val="nil"/>
              <w:left w:val="nil"/>
              <w:bottom w:val="nil"/>
              <w:right w:val="nil"/>
            </w:tcBorders>
            <w:shd w:val="clear" w:color="000000" w:fill="FFFFFF"/>
            <w:noWrap/>
            <w:vAlign w:val="bottom"/>
            <w:hideMark/>
          </w:tcPr>
          <w:p w14:paraId="3006263A" w14:textId="77777777" w:rsidR="008F16FC" w:rsidRPr="008F16FC" w:rsidRDefault="008F16FC" w:rsidP="008F16FC">
            <w:pPr>
              <w:rPr>
                <w:sz w:val="20"/>
                <w:szCs w:val="20"/>
              </w:rPr>
            </w:pPr>
            <w:r w:rsidRPr="008F16FC">
              <w:rPr>
                <w:sz w:val="20"/>
                <w:szCs w:val="20"/>
              </w:rPr>
              <w:t>(Aumento) en inventarios</w:t>
            </w:r>
          </w:p>
        </w:tc>
        <w:tc>
          <w:tcPr>
            <w:tcW w:w="1540" w:type="dxa"/>
            <w:tcBorders>
              <w:top w:val="nil"/>
              <w:left w:val="nil"/>
              <w:bottom w:val="nil"/>
              <w:right w:val="nil"/>
            </w:tcBorders>
            <w:shd w:val="clear" w:color="000000" w:fill="FFFFFF"/>
            <w:noWrap/>
            <w:vAlign w:val="bottom"/>
            <w:hideMark/>
          </w:tcPr>
          <w:p w14:paraId="76F55CCD" w14:textId="77777777" w:rsidR="008F16FC" w:rsidRPr="008F16FC" w:rsidRDefault="008F16FC" w:rsidP="008F16FC">
            <w:pPr>
              <w:jc w:val="right"/>
              <w:rPr>
                <w:sz w:val="20"/>
                <w:szCs w:val="20"/>
              </w:rPr>
            </w:pPr>
            <w:r w:rsidRPr="008F16FC">
              <w:rPr>
                <w:sz w:val="20"/>
                <w:szCs w:val="20"/>
              </w:rPr>
              <w:t xml:space="preserve">(186.050) </w:t>
            </w:r>
          </w:p>
        </w:tc>
        <w:tc>
          <w:tcPr>
            <w:tcW w:w="1540" w:type="dxa"/>
            <w:tcBorders>
              <w:top w:val="nil"/>
              <w:left w:val="nil"/>
              <w:bottom w:val="nil"/>
              <w:right w:val="nil"/>
            </w:tcBorders>
            <w:shd w:val="clear" w:color="000000" w:fill="FFFFFF"/>
            <w:noWrap/>
            <w:vAlign w:val="bottom"/>
            <w:hideMark/>
          </w:tcPr>
          <w:p w14:paraId="3DF62D98" w14:textId="77777777" w:rsidR="008F16FC" w:rsidRPr="008F16FC" w:rsidRDefault="008F16FC" w:rsidP="008F16FC">
            <w:pPr>
              <w:jc w:val="right"/>
              <w:rPr>
                <w:sz w:val="20"/>
                <w:szCs w:val="20"/>
              </w:rPr>
            </w:pPr>
            <w:r w:rsidRPr="008F16FC">
              <w:rPr>
                <w:sz w:val="20"/>
                <w:szCs w:val="20"/>
              </w:rPr>
              <w:t xml:space="preserve">(368.327) </w:t>
            </w:r>
          </w:p>
        </w:tc>
      </w:tr>
      <w:tr w:rsidR="008F16FC" w:rsidRPr="008F16FC" w14:paraId="67FC0568" w14:textId="77777777" w:rsidTr="00BA304B">
        <w:trPr>
          <w:trHeight w:val="255"/>
        </w:trPr>
        <w:tc>
          <w:tcPr>
            <w:tcW w:w="1200" w:type="dxa"/>
            <w:tcBorders>
              <w:top w:val="nil"/>
              <w:left w:val="nil"/>
              <w:bottom w:val="nil"/>
              <w:right w:val="nil"/>
            </w:tcBorders>
            <w:shd w:val="clear" w:color="000000" w:fill="FFFFFF"/>
            <w:noWrap/>
            <w:vAlign w:val="bottom"/>
            <w:hideMark/>
          </w:tcPr>
          <w:p w14:paraId="35FF0A70" w14:textId="77777777" w:rsidR="008F16FC" w:rsidRPr="008F16FC" w:rsidRDefault="008F16FC" w:rsidP="008F16FC">
            <w:pPr>
              <w:rPr>
                <w:sz w:val="20"/>
                <w:szCs w:val="20"/>
                <w:u w:val="single"/>
              </w:rPr>
            </w:pPr>
            <w:r w:rsidRPr="008F16FC">
              <w:rPr>
                <w:sz w:val="20"/>
                <w:szCs w:val="20"/>
                <w:u w:val="single"/>
              </w:rPr>
              <w:t> </w:t>
            </w:r>
          </w:p>
        </w:tc>
        <w:tc>
          <w:tcPr>
            <w:tcW w:w="5320" w:type="dxa"/>
            <w:tcBorders>
              <w:top w:val="nil"/>
              <w:left w:val="nil"/>
              <w:bottom w:val="nil"/>
              <w:right w:val="nil"/>
            </w:tcBorders>
            <w:shd w:val="clear" w:color="000000" w:fill="FFFFFF"/>
            <w:noWrap/>
            <w:vAlign w:val="bottom"/>
            <w:hideMark/>
          </w:tcPr>
          <w:p w14:paraId="144036E4" w14:textId="77777777" w:rsidR="008F16FC" w:rsidRPr="008F16FC" w:rsidRDefault="008F16FC" w:rsidP="008F16FC">
            <w:pPr>
              <w:rPr>
                <w:sz w:val="20"/>
                <w:szCs w:val="20"/>
              </w:rPr>
            </w:pPr>
            <w:r w:rsidRPr="008F16FC">
              <w:rPr>
                <w:sz w:val="20"/>
                <w:szCs w:val="20"/>
              </w:rPr>
              <w:t>Aumento en acreedores comerciales</w:t>
            </w:r>
          </w:p>
        </w:tc>
        <w:tc>
          <w:tcPr>
            <w:tcW w:w="1540" w:type="dxa"/>
            <w:tcBorders>
              <w:top w:val="nil"/>
              <w:left w:val="nil"/>
              <w:bottom w:val="nil"/>
              <w:right w:val="nil"/>
            </w:tcBorders>
            <w:shd w:val="clear" w:color="000000" w:fill="FFFFFF"/>
            <w:noWrap/>
            <w:vAlign w:val="bottom"/>
            <w:hideMark/>
          </w:tcPr>
          <w:p w14:paraId="7E869840" w14:textId="77777777" w:rsidR="008F16FC" w:rsidRPr="008F16FC" w:rsidRDefault="008F16FC" w:rsidP="008F16FC">
            <w:pPr>
              <w:jc w:val="right"/>
              <w:rPr>
                <w:sz w:val="20"/>
                <w:szCs w:val="20"/>
              </w:rPr>
            </w:pPr>
            <w:r w:rsidRPr="008F16FC">
              <w:rPr>
                <w:sz w:val="20"/>
                <w:szCs w:val="20"/>
              </w:rPr>
              <w:t xml:space="preserve">341.249 </w:t>
            </w:r>
          </w:p>
        </w:tc>
        <w:tc>
          <w:tcPr>
            <w:tcW w:w="1540" w:type="dxa"/>
            <w:tcBorders>
              <w:top w:val="nil"/>
              <w:left w:val="nil"/>
              <w:bottom w:val="nil"/>
              <w:right w:val="nil"/>
            </w:tcBorders>
            <w:shd w:val="clear" w:color="000000" w:fill="FFFFFF"/>
            <w:noWrap/>
            <w:vAlign w:val="bottom"/>
            <w:hideMark/>
          </w:tcPr>
          <w:p w14:paraId="0C8BBDC6" w14:textId="77777777" w:rsidR="008F16FC" w:rsidRPr="008F16FC" w:rsidRDefault="008F16FC" w:rsidP="008F16FC">
            <w:pPr>
              <w:jc w:val="right"/>
              <w:rPr>
                <w:sz w:val="20"/>
                <w:szCs w:val="20"/>
              </w:rPr>
            </w:pPr>
            <w:r w:rsidRPr="008F16FC">
              <w:rPr>
                <w:sz w:val="20"/>
                <w:szCs w:val="20"/>
              </w:rPr>
              <w:t xml:space="preserve">692.471 </w:t>
            </w:r>
          </w:p>
        </w:tc>
      </w:tr>
      <w:tr w:rsidR="008F16FC" w:rsidRPr="008F16FC" w14:paraId="0691A908" w14:textId="77777777" w:rsidTr="00BA304B">
        <w:trPr>
          <w:trHeight w:val="255"/>
        </w:trPr>
        <w:tc>
          <w:tcPr>
            <w:tcW w:w="1200" w:type="dxa"/>
            <w:tcBorders>
              <w:top w:val="nil"/>
              <w:left w:val="nil"/>
              <w:bottom w:val="nil"/>
              <w:right w:val="nil"/>
            </w:tcBorders>
            <w:shd w:val="clear" w:color="000000" w:fill="FFFFFF"/>
            <w:noWrap/>
            <w:vAlign w:val="bottom"/>
            <w:hideMark/>
          </w:tcPr>
          <w:p w14:paraId="4A6854A0" w14:textId="77777777" w:rsidR="008F16FC" w:rsidRPr="008F16FC" w:rsidRDefault="008F16FC" w:rsidP="008F16FC">
            <w:pPr>
              <w:rPr>
                <w:sz w:val="20"/>
                <w:szCs w:val="20"/>
                <w:u w:val="single"/>
              </w:rPr>
            </w:pPr>
            <w:r w:rsidRPr="008F16FC">
              <w:rPr>
                <w:sz w:val="20"/>
                <w:szCs w:val="20"/>
                <w:u w:val="single"/>
              </w:rPr>
              <w:t> </w:t>
            </w:r>
          </w:p>
        </w:tc>
        <w:tc>
          <w:tcPr>
            <w:tcW w:w="5320" w:type="dxa"/>
            <w:tcBorders>
              <w:top w:val="nil"/>
              <w:left w:val="nil"/>
              <w:bottom w:val="nil"/>
              <w:right w:val="nil"/>
            </w:tcBorders>
            <w:shd w:val="clear" w:color="000000" w:fill="FFFFFF"/>
            <w:noWrap/>
            <w:vAlign w:val="bottom"/>
            <w:hideMark/>
          </w:tcPr>
          <w:p w14:paraId="1F8362E8" w14:textId="77777777" w:rsidR="008F16FC" w:rsidRPr="008F16FC" w:rsidRDefault="008F16FC" w:rsidP="008F16FC">
            <w:pPr>
              <w:rPr>
                <w:sz w:val="20"/>
                <w:szCs w:val="20"/>
                <w:lang w:val="es-ES"/>
              </w:rPr>
            </w:pPr>
            <w:r w:rsidRPr="008F16FC">
              <w:rPr>
                <w:sz w:val="20"/>
                <w:szCs w:val="20"/>
                <w:lang w:val="es-ES"/>
              </w:rPr>
              <w:t>(Disminución) en anticipos de clientes</w:t>
            </w:r>
          </w:p>
        </w:tc>
        <w:tc>
          <w:tcPr>
            <w:tcW w:w="1540" w:type="dxa"/>
            <w:tcBorders>
              <w:top w:val="nil"/>
              <w:left w:val="nil"/>
              <w:bottom w:val="nil"/>
              <w:right w:val="nil"/>
            </w:tcBorders>
            <w:shd w:val="clear" w:color="000000" w:fill="FFFFFF"/>
            <w:noWrap/>
            <w:vAlign w:val="bottom"/>
            <w:hideMark/>
          </w:tcPr>
          <w:p w14:paraId="0E761D86" w14:textId="77777777" w:rsidR="008F16FC" w:rsidRPr="008F16FC" w:rsidRDefault="008F16FC" w:rsidP="008F16FC">
            <w:pPr>
              <w:jc w:val="right"/>
              <w:rPr>
                <w:sz w:val="20"/>
                <w:szCs w:val="20"/>
              </w:rPr>
            </w:pPr>
            <w:r w:rsidRPr="008F16FC">
              <w:rPr>
                <w:sz w:val="20"/>
                <w:szCs w:val="20"/>
              </w:rPr>
              <w:t xml:space="preserve">(2.016.819) </w:t>
            </w:r>
          </w:p>
        </w:tc>
        <w:tc>
          <w:tcPr>
            <w:tcW w:w="1540" w:type="dxa"/>
            <w:tcBorders>
              <w:top w:val="nil"/>
              <w:left w:val="nil"/>
              <w:bottom w:val="nil"/>
              <w:right w:val="nil"/>
            </w:tcBorders>
            <w:shd w:val="clear" w:color="000000" w:fill="FFFFFF"/>
            <w:noWrap/>
            <w:vAlign w:val="bottom"/>
            <w:hideMark/>
          </w:tcPr>
          <w:p w14:paraId="64575CD8" w14:textId="77777777" w:rsidR="008F16FC" w:rsidRPr="008F16FC" w:rsidRDefault="008F16FC" w:rsidP="008F16FC">
            <w:pPr>
              <w:jc w:val="right"/>
              <w:rPr>
                <w:sz w:val="20"/>
                <w:szCs w:val="20"/>
              </w:rPr>
            </w:pPr>
            <w:r w:rsidRPr="008F16FC">
              <w:rPr>
                <w:sz w:val="20"/>
                <w:szCs w:val="20"/>
              </w:rPr>
              <w:t xml:space="preserve">(462.436) </w:t>
            </w:r>
          </w:p>
        </w:tc>
      </w:tr>
      <w:tr w:rsidR="008F16FC" w:rsidRPr="008F16FC" w14:paraId="74B78D3F" w14:textId="77777777" w:rsidTr="00BA304B">
        <w:trPr>
          <w:trHeight w:val="255"/>
        </w:trPr>
        <w:tc>
          <w:tcPr>
            <w:tcW w:w="1200" w:type="dxa"/>
            <w:tcBorders>
              <w:top w:val="nil"/>
              <w:left w:val="nil"/>
              <w:bottom w:val="nil"/>
              <w:right w:val="nil"/>
            </w:tcBorders>
            <w:shd w:val="clear" w:color="000000" w:fill="FFFFFF"/>
            <w:noWrap/>
            <w:vAlign w:val="bottom"/>
            <w:hideMark/>
          </w:tcPr>
          <w:p w14:paraId="1D0E543A" w14:textId="77777777" w:rsidR="008F16FC" w:rsidRPr="008F16FC" w:rsidRDefault="008F16FC" w:rsidP="008F16FC">
            <w:pPr>
              <w:rPr>
                <w:sz w:val="20"/>
                <w:szCs w:val="20"/>
                <w:u w:val="single"/>
              </w:rPr>
            </w:pPr>
            <w:r w:rsidRPr="008F16FC">
              <w:rPr>
                <w:sz w:val="20"/>
                <w:szCs w:val="20"/>
                <w:u w:val="single"/>
              </w:rPr>
              <w:t> </w:t>
            </w:r>
          </w:p>
        </w:tc>
        <w:tc>
          <w:tcPr>
            <w:tcW w:w="5320" w:type="dxa"/>
            <w:tcBorders>
              <w:top w:val="nil"/>
              <w:left w:val="nil"/>
              <w:bottom w:val="nil"/>
              <w:right w:val="nil"/>
            </w:tcBorders>
            <w:shd w:val="clear" w:color="000000" w:fill="FFFFFF"/>
            <w:noWrap/>
            <w:vAlign w:val="bottom"/>
            <w:hideMark/>
          </w:tcPr>
          <w:p w14:paraId="49C1F103" w14:textId="77777777" w:rsidR="008F16FC" w:rsidRPr="008F16FC" w:rsidRDefault="008F16FC" w:rsidP="008F16FC">
            <w:pPr>
              <w:rPr>
                <w:sz w:val="20"/>
                <w:szCs w:val="20"/>
                <w:lang w:val="es-ES"/>
              </w:rPr>
            </w:pPr>
            <w:r w:rsidRPr="008F16FC">
              <w:rPr>
                <w:sz w:val="20"/>
                <w:szCs w:val="20"/>
                <w:lang w:val="es-ES"/>
              </w:rPr>
              <w:t>(Disminución) / Aumento en beneficios al personal</w:t>
            </w:r>
          </w:p>
        </w:tc>
        <w:tc>
          <w:tcPr>
            <w:tcW w:w="1540" w:type="dxa"/>
            <w:tcBorders>
              <w:top w:val="nil"/>
              <w:left w:val="nil"/>
              <w:bottom w:val="nil"/>
              <w:right w:val="nil"/>
            </w:tcBorders>
            <w:shd w:val="clear" w:color="000000" w:fill="FFFFFF"/>
            <w:noWrap/>
            <w:vAlign w:val="bottom"/>
            <w:hideMark/>
          </w:tcPr>
          <w:p w14:paraId="3047E5EB" w14:textId="77777777" w:rsidR="008F16FC" w:rsidRPr="008F16FC" w:rsidRDefault="008F16FC" w:rsidP="008F16FC">
            <w:pPr>
              <w:jc w:val="right"/>
              <w:rPr>
                <w:sz w:val="20"/>
                <w:szCs w:val="20"/>
              </w:rPr>
            </w:pPr>
            <w:r w:rsidRPr="008F16FC">
              <w:rPr>
                <w:sz w:val="20"/>
                <w:szCs w:val="20"/>
              </w:rPr>
              <w:t xml:space="preserve">(107.984) </w:t>
            </w:r>
          </w:p>
        </w:tc>
        <w:tc>
          <w:tcPr>
            <w:tcW w:w="1540" w:type="dxa"/>
            <w:tcBorders>
              <w:top w:val="nil"/>
              <w:left w:val="nil"/>
              <w:bottom w:val="nil"/>
              <w:right w:val="nil"/>
            </w:tcBorders>
            <w:shd w:val="clear" w:color="000000" w:fill="FFFFFF"/>
            <w:noWrap/>
            <w:vAlign w:val="bottom"/>
            <w:hideMark/>
          </w:tcPr>
          <w:p w14:paraId="514C3C71" w14:textId="77777777" w:rsidR="008F16FC" w:rsidRPr="008F16FC" w:rsidRDefault="008F16FC" w:rsidP="008F16FC">
            <w:pPr>
              <w:jc w:val="right"/>
              <w:rPr>
                <w:sz w:val="20"/>
                <w:szCs w:val="20"/>
              </w:rPr>
            </w:pPr>
            <w:r w:rsidRPr="008F16FC">
              <w:rPr>
                <w:sz w:val="20"/>
                <w:szCs w:val="20"/>
              </w:rPr>
              <w:t xml:space="preserve">64.097 </w:t>
            </w:r>
          </w:p>
        </w:tc>
      </w:tr>
      <w:tr w:rsidR="008F16FC" w:rsidRPr="008F16FC" w14:paraId="7AE1939F" w14:textId="77777777" w:rsidTr="00BA304B">
        <w:trPr>
          <w:trHeight w:val="255"/>
        </w:trPr>
        <w:tc>
          <w:tcPr>
            <w:tcW w:w="1200" w:type="dxa"/>
            <w:tcBorders>
              <w:top w:val="nil"/>
              <w:left w:val="nil"/>
              <w:bottom w:val="nil"/>
              <w:right w:val="nil"/>
            </w:tcBorders>
            <w:shd w:val="clear" w:color="000000" w:fill="FFFFFF"/>
            <w:noWrap/>
            <w:vAlign w:val="bottom"/>
            <w:hideMark/>
          </w:tcPr>
          <w:p w14:paraId="40B28DB1" w14:textId="77777777" w:rsidR="008F16FC" w:rsidRPr="008F16FC" w:rsidRDefault="008F16FC" w:rsidP="008F16FC">
            <w:pPr>
              <w:rPr>
                <w:sz w:val="20"/>
                <w:szCs w:val="20"/>
              </w:rPr>
            </w:pPr>
            <w:r w:rsidRPr="008F16FC">
              <w:rPr>
                <w:sz w:val="20"/>
                <w:szCs w:val="20"/>
              </w:rPr>
              <w:t> </w:t>
            </w:r>
          </w:p>
        </w:tc>
        <w:tc>
          <w:tcPr>
            <w:tcW w:w="5320" w:type="dxa"/>
            <w:tcBorders>
              <w:top w:val="nil"/>
              <w:left w:val="nil"/>
              <w:bottom w:val="nil"/>
              <w:right w:val="nil"/>
            </w:tcBorders>
            <w:shd w:val="clear" w:color="000000" w:fill="FFFFFF"/>
            <w:noWrap/>
            <w:vAlign w:val="bottom"/>
            <w:hideMark/>
          </w:tcPr>
          <w:p w14:paraId="1CF2970B" w14:textId="77777777" w:rsidR="008F16FC" w:rsidRPr="008F16FC" w:rsidRDefault="008F16FC" w:rsidP="008F16FC">
            <w:pPr>
              <w:rPr>
                <w:sz w:val="20"/>
                <w:szCs w:val="20"/>
                <w:lang w:val="es-ES"/>
              </w:rPr>
            </w:pPr>
            <w:r w:rsidRPr="008F16FC">
              <w:rPr>
                <w:sz w:val="20"/>
                <w:szCs w:val="20"/>
                <w:lang w:val="es-ES"/>
              </w:rPr>
              <w:t>(Disminución) / Aumento en impuestos y otros gravámenes</w:t>
            </w:r>
          </w:p>
        </w:tc>
        <w:tc>
          <w:tcPr>
            <w:tcW w:w="1540" w:type="dxa"/>
            <w:tcBorders>
              <w:top w:val="nil"/>
              <w:left w:val="nil"/>
              <w:bottom w:val="nil"/>
              <w:right w:val="nil"/>
            </w:tcBorders>
            <w:shd w:val="clear" w:color="000000" w:fill="FFFFFF"/>
            <w:noWrap/>
            <w:vAlign w:val="bottom"/>
            <w:hideMark/>
          </w:tcPr>
          <w:p w14:paraId="21994F60" w14:textId="77777777" w:rsidR="008F16FC" w:rsidRPr="008F16FC" w:rsidRDefault="008F16FC" w:rsidP="008F16FC">
            <w:pPr>
              <w:jc w:val="right"/>
              <w:rPr>
                <w:sz w:val="20"/>
                <w:szCs w:val="20"/>
              </w:rPr>
            </w:pPr>
            <w:r w:rsidRPr="008F16FC">
              <w:rPr>
                <w:sz w:val="20"/>
                <w:szCs w:val="20"/>
              </w:rPr>
              <w:t xml:space="preserve">(25.512) </w:t>
            </w:r>
          </w:p>
        </w:tc>
        <w:tc>
          <w:tcPr>
            <w:tcW w:w="1540" w:type="dxa"/>
            <w:tcBorders>
              <w:top w:val="nil"/>
              <w:left w:val="nil"/>
              <w:bottom w:val="nil"/>
              <w:right w:val="nil"/>
            </w:tcBorders>
            <w:shd w:val="clear" w:color="000000" w:fill="FFFFFF"/>
            <w:noWrap/>
            <w:vAlign w:val="bottom"/>
            <w:hideMark/>
          </w:tcPr>
          <w:p w14:paraId="1186C934" w14:textId="77777777" w:rsidR="008F16FC" w:rsidRPr="008F16FC" w:rsidRDefault="008F16FC" w:rsidP="008F16FC">
            <w:pPr>
              <w:jc w:val="right"/>
              <w:rPr>
                <w:sz w:val="20"/>
                <w:szCs w:val="20"/>
              </w:rPr>
            </w:pPr>
            <w:r w:rsidRPr="008F16FC">
              <w:rPr>
                <w:sz w:val="20"/>
                <w:szCs w:val="20"/>
              </w:rPr>
              <w:t xml:space="preserve">128.658 </w:t>
            </w:r>
          </w:p>
        </w:tc>
      </w:tr>
      <w:tr w:rsidR="008F16FC" w:rsidRPr="008F16FC" w14:paraId="467AA1EE" w14:textId="77777777" w:rsidTr="00BA304B">
        <w:trPr>
          <w:trHeight w:val="255"/>
        </w:trPr>
        <w:tc>
          <w:tcPr>
            <w:tcW w:w="1200" w:type="dxa"/>
            <w:tcBorders>
              <w:top w:val="nil"/>
              <w:left w:val="nil"/>
              <w:bottom w:val="nil"/>
              <w:right w:val="nil"/>
            </w:tcBorders>
            <w:shd w:val="clear" w:color="000000" w:fill="FFFFFF"/>
            <w:noWrap/>
            <w:vAlign w:val="bottom"/>
            <w:hideMark/>
          </w:tcPr>
          <w:p w14:paraId="3AE942C2" w14:textId="77777777" w:rsidR="008F16FC" w:rsidRPr="008F16FC" w:rsidRDefault="008F16FC" w:rsidP="008F16FC">
            <w:pPr>
              <w:rPr>
                <w:sz w:val="20"/>
                <w:szCs w:val="20"/>
              </w:rPr>
            </w:pPr>
            <w:r w:rsidRPr="008F16FC">
              <w:rPr>
                <w:sz w:val="20"/>
                <w:szCs w:val="20"/>
              </w:rPr>
              <w:t> </w:t>
            </w:r>
          </w:p>
        </w:tc>
        <w:tc>
          <w:tcPr>
            <w:tcW w:w="5320" w:type="dxa"/>
            <w:tcBorders>
              <w:top w:val="nil"/>
              <w:left w:val="nil"/>
              <w:bottom w:val="nil"/>
              <w:right w:val="nil"/>
            </w:tcBorders>
            <w:shd w:val="clear" w:color="000000" w:fill="FFFFFF"/>
            <w:noWrap/>
            <w:vAlign w:val="bottom"/>
            <w:hideMark/>
          </w:tcPr>
          <w:p w14:paraId="21B2DA08" w14:textId="77777777" w:rsidR="008F16FC" w:rsidRPr="008F16FC" w:rsidRDefault="008F16FC" w:rsidP="008F16FC">
            <w:pPr>
              <w:rPr>
                <w:sz w:val="20"/>
                <w:szCs w:val="20"/>
                <w:lang w:val="es-ES"/>
              </w:rPr>
            </w:pPr>
            <w:r w:rsidRPr="008F16FC">
              <w:rPr>
                <w:sz w:val="20"/>
                <w:szCs w:val="20"/>
                <w:lang w:val="es-ES"/>
              </w:rPr>
              <w:t>(Disminución) en impuesto a las ganancias a pagar</w:t>
            </w:r>
          </w:p>
        </w:tc>
        <w:tc>
          <w:tcPr>
            <w:tcW w:w="1540" w:type="dxa"/>
            <w:tcBorders>
              <w:top w:val="nil"/>
              <w:left w:val="nil"/>
              <w:bottom w:val="nil"/>
              <w:right w:val="nil"/>
            </w:tcBorders>
            <w:shd w:val="clear" w:color="000000" w:fill="FFFFFF"/>
            <w:noWrap/>
            <w:vAlign w:val="bottom"/>
            <w:hideMark/>
          </w:tcPr>
          <w:p w14:paraId="6563184E" w14:textId="77777777" w:rsidR="008F16FC" w:rsidRPr="008F16FC" w:rsidRDefault="008F16FC" w:rsidP="008F16FC">
            <w:pPr>
              <w:jc w:val="right"/>
              <w:rPr>
                <w:sz w:val="20"/>
                <w:szCs w:val="20"/>
              </w:rPr>
            </w:pPr>
            <w:r w:rsidRPr="008F16FC">
              <w:rPr>
                <w:sz w:val="20"/>
                <w:szCs w:val="20"/>
              </w:rPr>
              <w:t xml:space="preserve">(312.916) </w:t>
            </w:r>
          </w:p>
        </w:tc>
        <w:tc>
          <w:tcPr>
            <w:tcW w:w="1540" w:type="dxa"/>
            <w:tcBorders>
              <w:top w:val="nil"/>
              <w:left w:val="nil"/>
              <w:bottom w:val="nil"/>
              <w:right w:val="nil"/>
            </w:tcBorders>
            <w:shd w:val="clear" w:color="000000" w:fill="FFFFFF"/>
            <w:noWrap/>
            <w:vAlign w:val="bottom"/>
            <w:hideMark/>
          </w:tcPr>
          <w:p w14:paraId="25A85968" w14:textId="77777777" w:rsidR="008F16FC" w:rsidRPr="008F16FC" w:rsidRDefault="008F16FC" w:rsidP="008F16FC">
            <w:pPr>
              <w:jc w:val="right"/>
              <w:rPr>
                <w:sz w:val="20"/>
                <w:szCs w:val="20"/>
              </w:rPr>
            </w:pPr>
            <w:r w:rsidRPr="008F16FC">
              <w:rPr>
                <w:sz w:val="20"/>
                <w:szCs w:val="20"/>
              </w:rPr>
              <w:t xml:space="preserve">(126.852) </w:t>
            </w:r>
          </w:p>
        </w:tc>
      </w:tr>
      <w:tr w:rsidR="008F16FC" w:rsidRPr="008F16FC" w14:paraId="5787BE85" w14:textId="77777777" w:rsidTr="00BA304B">
        <w:trPr>
          <w:trHeight w:val="255"/>
        </w:trPr>
        <w:tc>
          <w:tcPr>
            <w:tcW w:w="1200" w:type="dxa"/>
            <w:tcBorders>
              <w:top w:val="nil"/>
              <w:left w:val="nil"/>
              <w:bottom w:val="nil"/>
              <w:right w:val="nil"/>
            </w:tcBorders>
            <w:shd w:val="clear" w:color="000000" w:fill="FFFFFF"/>
            <w:noWrap/>
            <w:vAlign w:val="bottom"/>
            <w:hideMark/>
          </w:tcPr>
          <w:p w14:paraId="69A2F54F" w14:textId="77777777" w:rsidR="008F16FC" w:rsidRPr="008F16FC" w:rsidRDefault="008F16FC" w:rsidP="008F16FC">
            <w:pPr>
              <w:rPr>
                <w:sz w:val="20"/>
                <w:szCs w:val="20"/>
              </w:rPr>
            </w:pPr>
            <w:r w:rsidRPr="008F16FC">
              <w:rPr>
                <w:sz w:val="20"/>
                <w:szCs w:val="20"/>
              </w:rPr>
              <w:t> </w:t>
            </w:r>
          </w:p>
        </w:tc>
        <w:tc>
          <w:tcPr>
            <w:tcW w:w="5320" w:type="dxa"/>
            <w:tcBorders>
              <w:top w:val="nil"/>
              <w:left w:val="nil"/>
              <w:bottom w:val="nil"/>
              <w:right w:val="nil"/>
            </w:tcBorders>
            <w:shd w:val="clear" w:color="000000" w:fill="FFFFFF"/>
            <w:noWrap/>
            <w:vAlign w:val="bottom"/>
            <w:hideMark/>
          </w:tcPr>
          <w:p w14:paraId="2BA9CD57" w14:textId="77777777" w:rsidR="008F16FC" w:rsidRPr="008F16FC" w:rsidRDefault="008F16FC" w:rsidP="008F16FC">
            <w:pPr>
              <w:rPr>
                <w:sz w:val="20"/>
                <w:szCs w:val="20"/>
              </w:rPr>
            </w:pPr>
            <w:r w:rsidRPr="008F16FC">
              <w:rPr>
                <w:sz w:val="20"/>
                <w:szCs w:val="20"/>
              </w:rPr>
              <w:t>(Disminución) en provisiones</w:t>
            </w:r>
          </w:p>
        </w:tc>
        <w:tc>
          <w:tcPr>
            <w:tcW w:w="1540" w:type="dxa"/>
            <w:tcBorders>
              <w:top w:val="nil"/>
              <w:left w:val="nil"/>
              <w:bottom w:val="nil"/>
              <w:right w:val="nil"/>
            </w:tcBorders>
            <w:shd w:val="clear" w:color="000000" w:fill="FFFFFF"/>
            <w:noWrap/>
            <w:vAlign w:val="bottom"/>
            <w:hideMark/>
          </w:tcPr>
          <w:p w14:paraId="2C373CD4" w14:textId="77777777" w:rsidR="008F16FC" w:rsidRPr="008F16FC" w:rsidRDefault="008F16FC" w:rsidP="008F16FC">
            <w:pPr>
              <w:jc w:val="right"/>
              <w:rPr>
                <w:sz w:val="20"/>
                <w:szCs w:val="20"/>
              </w:rPr>
            </w:pPr>
            <w:r w:rsidRPr="008F16FC">
              <w:rPr>
                <w:sz w:val="20"/>
                <w:szCs w:val="20"/>
              </w:rPr>
              <w:t xml:space="preserve">(88.286) </w:t>
            </w:r>
          </w:p>
        </w:tc>
        <w:tc>
          <w:tcPr>
            <w:tcW w:w="1540" w:type="dxa"/>
            <w:tcBorders>
              <w:top w:val="nil"/>
              <w:left w:val="nil"/>
              <w:bottom w:val="nil"/>
              <w:right w:val="nil"/>
            </w:tcBorders>
            <w:shd w:val="clear" w:color="000000" w:fill="FFFFFF"/>
            <w:noWrap/>
            <w:vAlign w:val="bottom"/>
            <w:hideMark/>
          </w:tcPr>
          <w:p w14:paraId="5E2549A9" w14:textId="77777777" w:rsidR="008F16FC" w:rsidRPr="008F16FC" w:rsidRDefault="008F16FC" w:rsidP="008F16FC">
            <w:pPr>
              <w:jc w:val="right"/>
              <w:rPr>
                <w:sz w:val="20"/>
                <w:szCs w:val="20"/>
              </w:rPr>
            </w:pPr>
            <w:r w:rsidRPr="008F16FC">
              <w:rPr>
                <w:sz w:val="20"/>
                <w:szCs w:val="20"/>
              </w:rPr>
              <w:t xml:space="preserve">(150.455) </w:t>
            </w:r>
          </w:p>
        </w:tc>
      </w:tr>
      <w:tr w:rsidR="008F16FC" w:rsidRPr="008F16FC" w14:paraId="4F2AE335" w14:textId="77777777" w:rsidTr="00BA304B">
        <w:trPr>
          <w:trHeight w:val="255"/>
        </w:trPr>
        <w:tc>
          <w:tcPr>
            <w:tcW w:w="1200" w:type="dxa"/>
            <w:tcBorders>
              <w:top w:val="nil"/>
              <w:left w:val="nil"/>
              <w:bottom w:val="nil"/>
              <w:right w:val="nil"/>
            </w:tcBorders>
            <w:shd w:val="clear" w:color="000000" w:fill="FFFFFF"/>
            <w:noWrap/>
            <w:vAlign w:val="bottom"/>
            <w:hideMark/>
          </w:tcPr>
          <w:p w14:paraId="0DA4E443" w14:textId="77777777" w:rsidR="008F16FC" w:rsidRPr="008F16FC" w:rsidRDefault="008F16FC" w:rsidP="008F16FC">
            <w:pPr>
              <w:rPr>
                <w:sz w:val="20"/>
                <w:szCs w:val="20"/>
              </w:rPr>
            </w:pPr>
            <w:r w:rsidRPr="008F16FC">
              <w:rPr>
                <w:sz w:val="20"/>
                <w:szCs w:val="20"/>
              </w:rPr>
              <w:t> </w:t>
            </w:r>
          </w:p>
        </w:tc>
        <w:tc>
          <w:tcPr>
            <w:tcW w:w="5320" w:type="dxa"/>
            <w:tcBorders>
              <w:top w:val="nil"/>
              <w:left w:val="nil"/>
              <w:bottom w:val="nil"/>
              <w:right w:val="nil"/>
            </w:tcBorders>
            <w:shd w:val="clear" w:color="000000" w:fill="FFFFFF"/>
            <w:noWrap/>
            <w:vAlign w:val="bottom"/>
            <w:hideMark/>
          </w:tcPr>
          <w:p w14:paraId="09D5A00E" w14:textId="77777777" w:rsidR="008F16FC" w:rsidRPr="008F16FC" w:rsidRDefault="008F16FC" w:rsidP="008F16FC">
            <w:pPr>
              <w:rPr>
                <w:sz w:val="20"/>
                <w:szCs w:val="20"/>
                <w:lang w:val="es-ES"/>
              </w:rPr>
            </w:pPr>
            <w:r w:rsidRPr="008F16FC">
              <w:rPr>
                <w:sz w:val="20"/>
                <w:szCs w:val="20"/>
                <w:lang w:val="es-ES"/>
              </w:rPr>
              <w:t>Aumento en pasivos por impuestos diferidos</w:t>
            </w:r>
          </w:p>
        </w:tc>
        <w:tc>
          <w:tcPr>
            <w:tcW w:w="1540" w:type="dxa"/>
            <w:tcBorders>
              <w:top w:val="nil"/>
              <w:left w:val="nil"/>
              <w:bottom w:val="nil"/>
              <w:right w:val="nil"/>
            </w:tcBorders>
            <w:shd w:val="clear" w:color="000000" w:fill="FFFFFF"/>
            <w:noWrap/>
            <w:vAlign w:val="bottom"/>
            <w:hideMark/>
          </w:tcPr>
          <w:p w14:paraId="6369F806" w14:textId="77777777" w:rsidR="008F16FC" w:rsidRPr="008F16FC" w:rsidRDefault="008F16FC" w:rsidP="008F16FC">
            <w:pPr>
              <w:jc w:val="right"/>
              <w:rPr>
                <w:sz w:val="20"/>
                <w:szCs w:val="20"/>
              </w:rPr>
            </w:pPr>
            <w:r w:rsidRPr="008F16FC">
              <w:rPr>
                <w:sz w:val="20"/>
                <w:szCs w:val="20"/>
              </w:rPr>
              <w:t xml:space="preserve">97.012 </w:t>
            </w:r>
          </w:p>
        </w:tc>
        <w:tc>
          <w:tcPr>
            <w:tcW w:w="1540" w:type="dxa"/>
            <w:tcBorders>
              <w:top w:val="nil"/>
              <w:left w:val="nil"/>
              <w:bottom w:val="nil"/>
              <w:right w:val="nil"/>
            </w:tcBorders>
            <w:shd w:val="clear" w:color="000000" w:fill="FFFFFF"/>
            <w:noWrap/>
            <w:vAlign w:val="bottom"/>
            <w:hideMark/>
          </w:tcPr>
          <w:p w14:paraId="735CEE32" w14:textId="77777777" w:rsidR="008F16FC" w:rsidRPr="008F16FC" w:rsidRDefault="008F16FC" w:rsidP="008F16FC">
            <w:pPr>
              <w:jc w:val="right"/>
              <w:rPr>
                <w:sz w:val="20"/>
                <w:szCs w:val="20"/>
              </w:rPr>
            </w:pPr>
            <w:r w:rsidRPr="008F16FC">
              <w:rPr>
                <w:sz w:val="20"/>
                <w:szCs w:val="20"/>
              </w:rPr>
              <w:t xml:space="preserve">50.087 </w:t>
            </w:r>
          </w:p>
        </w:tc>
      </w:tr>
      <w:tr w:rsidR="00AE6F90" w:rsidRPr="008F16FC" w14:paraId="2E2F9A59" w14:textId="77777777" w:rsidTr="008F16FC">
        <w:trPr>
          <w:trHeight w:val="255"/>
        </w:trPr>
        <w:tc>
          <w:tcPr>
            <w:tcW w:w="6520" w:type="dxa"/>
            <w:gridSpan w:val="2"/>
            <w:tcBorders>
              <w:top w:val="nil"/>
              <w:left w:val="nil"/>
              <w:bottom w:val="nil"/>
              <w:right w:val="nil"/>
            </w:tcBorders>
            <w:shd w:val="clear" w:color="000000" w:fill="FFFFFF"/>
            <w:vAlign w:val="bottom"/>
            <w:hideMark/>
          </w:tcPr>
          <w:p w14:paraId="3B5B4996" w14:textId="77777777" w:rsidR="008F16FC" w:rsidRPr="008F16FC" w:rsidRDefault="008F16FC" w:rsidP="008F16FC">
            <w:pPr>
              <w:rPr>
                <w:b/>
                <w:bCs/>
                <w:i/>
                <w:iCs/>
                <w:sz w:val="20"/>
                <w:szCs w:val="20"/>
                <w:lang w:val="es-ES"/>
              </w:rPr>
            </w:pPr>
            <w:r w:rsidRPr="008F16FC">
              <w:rPr>
                <w:b/>
                <w:bCs/>
                <w:i/>
                <w:iCs/>
                <w:sz w:val="20"/>
                <w:szCs w:val="20"/>
                <w:lang w:val="es-ES"/>
              </w:rPr>
              <w:t>Flujo neto de efectivo generado por las actividades operativas</w:t>
            </w:r>
          </w:p>
        </w:tc>
        <w:tc>
          <w:tcPr>
            <w:tcW w:w="1540" w:type="dxa"/>
            <w:tcBorders>
              <w:top w:val="single" w:sz="4" w:space="0" w:color="auto"/>
              <w:left w:val="nil"/>
              <w:bottom w:val="dotted" w:sz="4" w:space="0" w:color="auto"/>
              <w:right w:val="nil"/>
            </w:tcBorders>
            <w:shd w:val="clear" w:color="000000" w:fill="FFFFFF"/>
            <w:noWrap/>
            <w:vAlign w:val="bottom"/>
            <w:hideMark/>
          </w:tcPr>
          <w:p w14:paraId="3822D775" w14:textId="77777777" w:rsidR="008F16FC" w:rsidRPr="008F16FC" w:rsidRDefault="008F16FC" w:rsidP="008F16FC">
            <w:pPr>
              <w:jc w:val="right"/>
              <w:rPr>
                <w:b/>
                <w:bCs/>
                <w:sz w:val="20"/>
                <w:szCs w:val="20"/>
              </w:rPr>
            </w:pPr>
            <w:r w:rsidRPr="008F16FC">
              <w:rPr>
                <w:b/>
                <w:bCs/>
                <w:sz w:val="20"/>
                <w:szCs w:val="20"/>
              </w:rPr>
              <w:t xml:space="preserve">1.056.104 </w:t>
            </w:r>
          </w:p>
        </w:tc>
        <w:tc>
          <w:tcPr>
            <w:tcW w:w="1540" w:type="dxa"/>
            <w:tcBorders>
              <w:top w:val="single" w:sz="4" w:space="0" w:color="auto"/>
              <w:left w:val="nil"/>
              <w:bottom w:val="dotted" w:sz="4" w:space="0" w:color="auto"/>
              <w:right w:val="nil"/>
            </w:tcBorders>
            <w:shd w:val="clear" w:color="000000" w:fill="FFFFFF"/>
            <w:noWrap/>
            <w:vAlign w:val="bottom"/>
            <w:hideMark/>
          </w:tcPr>
          <w:p w14:paraId="2BB086C9" w14:textId="77777777" w:rsidR="008F16FC" w:rsidRPr="008F16FC" w:rsidRDefault="008F16FC" w:rsidP="008F16FC">
            <w:pPr>
              <w:jc w:val="right"/>
              <w:rPr>
                <w:b/>
                <w:bCs/>
                <w:sz w:val="20"/>
                <w:szCs w:val="20"/>
              </w:rPr>
            </w:pPr>
            <w:r w:rsidRPr="008F16FC">
              <w:rPr>
                <w:b/>
                <w:bCs/>
                <w:sz w:val="20"/>
                <w:szCs w:val="20"/>
              </w:rPr>
              <w:t xml:space="preserve">791.624 </w:t>
            </w:r>
          </w:p>
        </w:tc>
      </w:tr>
      <w:tr w:rsidR="008F16FC" w:rsidRPr="00512442" w14:paraId="17F74D6E" w14:textId="77777777" w:rsidTr="00BA304B">
        <w:trPr>
          <w:trHeight w:val="255"/>
        </w:trPr>
        <w:tc>
          <w:tcPr>
            <w:tcW w:w="6520" w:type="dxa"/>
            <w:gridSpan w:val="2"/>
            <w:tcBorders>
              <w:top w:val="nil"/>
              <w:left w:val="nil"/>
              <w:bottom w:val="nil"/>
              <w:right w:val="nil"/>
            </w:tcBorders>
            <w:shd w:val="clear" w:color="000000" w:fill="FFFFFF"/>
            <w:noWrap/>
            <w:vAlign w:val="bottom"/>
            <w:hideMark/>
          </w:tcPr>
          <w:p w14:paraId="73410D30" w14:textId="77777777" w:rsidR="008F16FC" w:rsidRPr="008F16FC" w:rsidRDefault="008F16FC" w:rsidP="008F16FC">
            <w:pPr>
              <w:rPr>
                <w:b/>
                <w:bCs/>
                <w:sz w:val="20"/>
                <w:szCs w:val="20"/>
                <w:u w:val="single"/>
                <w:lang w:val="es-ES"/>
              </w:rPr>
            </w:pPr>
            <w:r w:rsidRPr="008F16FC">
              <w:rPr>
                <w:b/>
                <w:bCs/>
                <w:sz w:val="20"/>
                <w:szCs w:val="20"/>
                <w:u w:val="single"/>
                <w:lang w:val="es-ES"/>
              </w:rPr>
              <w:t>Flujo de efectivo por las actividades de inversión</w:t>
            </w:r>
          </w:p>
        </w:tc>
        <w:tc>
          <w:tcPr>
            <w:tcW w:w="1540" w:type="dxa"/>
            <w:tcBorders>
              <w:top w:val="nil"/>
              <w:left w:val="nil"/>
              <w:bottom w:val="nil"/>
              <w:right w:val="nil"/>
            </w:tcBorders>
            <w:shd w:val="clear" w:color="000000" w:fill="FFFFFF"/>
            <w:noWrap/>
            <w:vAlign w:val="bottom"/>
            <w:hideMark/>
          </w:tcPr>
          <w:p w14:paraId="21A3E7DF" w14:textId="77777777" w:rsidR="008F16FC" w:rsidRPr="008F16FC" w:rsidRDefault="008F16FC" w:rsidP="008F16FC">
            <w:pPr>
              <w:rPr>
                <w:sz w:val="20"/>
                <w:szCs w:val="20"/>
                <w:lang w:val="es-ES"/>
              </w:rPr>
            </w:pPr>
            <w:r w:rsidRPr="008F16FC">
              <w:rPr>
                <w:sz w:val="20"/>
                <w:szCs w:val="20"/>
                <w:lang w:val="es-ES"/>
              </w:rPr>
              <w:t> </w:t>
            </w:r>
          </w:p>
        </w:tc>
        <w:tc>
          <w:tcPr>
            <w:tcW w:w="1540" w:type="dxa"/>
            <w:tcBorders>
              <w:top w:val="nil"/>
              <w:left w:val="nil"/>
              <w:bottom w:val="nil"/>
              <w:right w:val="nil"/>
            </w:tcBorders>
            <w:shd w:val="clear" w:color="000000" w:fill="FFFFFF"/>
            <w:noWrap/>
            <w:vAlign w:val="bottom"/>
            <w:hideMark/>
          </w:tcPr>
          <w:p w14:paraId="28030C30" w14:textId="77777777" w:rsidR="008F16FC" w:rsidRPr="008F16FC" w:rsidRDefault="008F16FC" w:rsidP="008F16FC">
            <w:pPr>
              <w:rPr>
                <w:sz w:val="20"/>
                <w:szCs w:val="20"/>
                <w:lang w:val="es-ES"/>
              </w:rPr>
            </w:pPr>
            <w:r w:rsidRPr="008F16FC">
              <w:rPr>
                <w:sz w:val="20"/>
                <w:szCs w:val="20"/>
                <w:lang w:val="es-ES"/>
              </w:rPr>
              <w:t> </w:t>
            </w:r>
          </w:p>
        </w:tc>
      </w:tr>
      <w:tr w:rsidR="008F16FC" w:rsidRPr="008F16FC" w14:paraId="64B08B03" w14:textId="77777777" w:rsidTr="00BA304B">
        <w:trPr>
          <w:trHeight w:val="255"/>
        </w:trPr>
        <w:tc>
          <w:tcPr>
            <w:tcW w:w="1200" w:type="dxa"/>
            <w:tcBorders>
              <w:top w:val="nil"/>
              <w:left w:val="nil"/>
              <w:bottom w:val="nil"/>
              <w:right w:val="nil"/>
            </w:tcBorders>
            <w:shd w:val="clear" w:color="000000" w:fill="FFFFFF"/>
            <w:noWrap/>
            <w:vAlign w:val="bottom"/>
            <w:hideMark/>
          </w:tcPr>
          <w:p w14:paraId="05622D16" w14:textId="77777777" w:rsidR="008F16FC" w:rsidRPr="008F16FC" w:rsidRDefault="008F16FC" w:rsidP="008F16FC">
            <w:pPr>
              <w:rPr>
                <w:sz w:val="20"/>
                <w:szCs w:val="20"/>
                <w:u w:val="single"/>
                <w:lang w:val="es-ES"/>
              </w:rPr>
            </w:pPr>
            <w:r w:rsidRPr="008F16FC">
              <w:rPr>
                <w:sz w:val="20"/>
                <w:szCs w:val="20"/>
                <w:u w:val="single"/>
                <w:lang w:val="es-ES"/>
              </w:rPr>
              <w:t> </w:t>
            </w:r>
          </w:p>
        </w:tc>
        <w:tc>
          <w:tcPr>
            <w:tcW w:w="5320" w:type="dxa"/>
            <w:tcBorders>
              <w:top w:val="nil"/>
              <w:left w:val="nil"/>
              <w:bottom w:val="nil"/>
              <w:right w:val="nil"/>
            </w:tcBorders>
            <w:shd w:val="clear" w:color="000000" w:fill="FFFFFF"/>
            <w:noWrap/>
            <w:vAlign w:val="bottom"/>
            <w:hideMark/>
          </w:tcPr>
          <w:p w14:paraId="22685A58" w14:textId="77777777" w:rsidR="008F16FC" w:rsidRPr="008F16FC" w:rsidRDefault="008F16FC" w:rsidP="008F16FC">
            <w:pPr>
              <w:rPr>
                <w:sz w:val="20"/>
                <w:szCs w:val="20"/>
                <w:lang w:val="es-ES"/>
              </w:rPr>
            </w:pPr>
            <w:r w:rsidRPr="008F16FC">
              <w:rPr>
                <w:sz w:val="20"/>
                <w:szCs w:val="20"/>
                <w:lang w:val="es-ES"/>
              </w:rPr>
              <w:t>Disminución / (Aumento) de activos financieros</w:t>
            </w:r>
          </w:p>
        </w:tc>
        <w:tc>
          <w:tcPr>
            <w:tcW w:w="1540" w:type="dxa"/>
            <w:tcBorders>
              <w:top w:val="nil"/>
              <w:left w:val="nil"/>
              <w:bottom w:val="nil"/>
              <w:right w:val="nil"/>
            </w:tcBorders>
            <w:shd w:val="clear" w:color="000000" w:fill="FFFFFF"/>
            <w:noWrap/>
            <w:vAlign w:val="bottom"/>
            <w:hideMark/>
          </w:tcPr>
          <w:p w14:paraId="185EA209" w14:textId="77777777" w:rsidR="008F16FC" w:rsidRPr="008F16FC" w:rsidRDefault="008F16FC" w:rsidP="008F16FC">
            <w:pPr>
              <w:jc w:val="right"/>
              <w:rPr>
                <w:sz w:val="20"/>
                <w:szCs w:val="20"/>
              </w:rPr>
            </w:pPr>
            <w:r w:rsidRPr="008F16FC">
              <w:rPr>
                <w:sz w:val="20"/>
                <w:szCs w:val="20"/>
              </w:rPr>
              <w:t xml:space="preserve">1.367 </w:t>
            </w:r>
          </w:p>
        </w:tc>
        <w:tc>
          <w:tcPr>
            <w:tcW w:w="1540" w:type="dxa"/>
            <w:tcBorders>
              <w:top w:val="nil"/>
              <w:left w:val="nil"/>
              <w:bottom w:val="nil"/>
              <w:right w:val="nil"/>
            </w:tcBorders>
            <w:shd w:val="clear" w:color="000000" w:fill="FFFFFF"/>
            <w:noWrap/>
            <w:vAlign w:val="bottom"/>
            <w:hideMark/>
          </w:tcPr>
          <w:p w14:paraId="017AF25D" w14:textId="77777777" w:rsidR="008F16FC" w:rsidRPr="008F16FC" w:rsidRDefault="008F16FC" w:rsidP="008F16FC">
            <w:pPr>
              <w:jc w:val="right"/>
              <w:rPr>
                <w:sz w:val="20"/>
                <w:szCs w:val="20"/>
              </w:rPr>
            </w:pPr>
            <w:r w:rsidRPr="008F16FC">
              <w:rPr>
                <w:sz w:val="20"/>
                <w:szCs w:val="20"/>
              </w:rPr>
              <w:t xml:space="preserve">(45.146) </w:t>
            </w:r>
          </w:p>
        </w:tc>
      </w:tr>
      <w:tr w:rsidR="008F16FC" w:rsidRPr="008F16FC" w14:paraId="3FB60803" w14:textId="77777777" w:rsidTr="00BA304B">
        <w:trPr>
          <w:trHeight w:val="255"/>
        </w:trPr>
        <w:tc>
          <w:tcPr>
            <w:tcW w:w="1200" w:type="dxa"/>
            <w:tcBorders>
              <w:top w:val="nil"/>
              <w:left w:val="nil"/>
              <w:bottom w:val="nil"/>
              <w:right w:val="nil"/>
            </w:tcBorders>
            <w:shd w:val="clear" w:color="000000" w:fill="FFFFFF"/>
            <w:noWrap/>
            <w:vAlign w:val="bottom"/>
            <w:hideMark/>
          </w:tcPr>
          <w:p w14:paraId="63D1D8E4" w14:textId="77777777" w:rsidR="008F16FC" w:rsidRPr="008F16FC" w:rsidRDefault="008F16FC" w:rsidP="008F16FC">
            <w:pPr>
              <w:rPr>
                <w:sz w:val="20"/>
                <w:szCs w:val="20"/>
                <w:u w:val="single"/>
              </w:rPr>
            </w:pPr>
            <w:r w:rsidRPr="008F16FC">
              <w:rPr>
                <w:sz w:val="20"/>
                <w:szCs w:val="20"/>
                <w:u w:val="single"/>
              </w:rPr>
              <w:t> </w:t>
            </w:r>
          </w:p>
        </w:tc>
        <w:tc>
          <w:tcPr>
            <w:tcW w:w="5320" w:type="dxa"/>
            <w:tcBorders>
              <w:top w:val="nil"/>
              <w:left w:val="nil"/>
              <w:bottom w:val="nil"/>
              <w:right w:val="nil"/>
            </w:tcBorders>
            <w:shd w:val="clear" w:color="000000" w:fill="FFFFFF"/>
            <w:noWrap/>
            <w:vAlign w:val="bottom"/>
            <w:hideMark/>
          </w:tcPr>
          <w:p w14:paraId="047A903A" w14:textId="77777777" w:rsidR="008F16FC" w:rsidRPr="008F16FC" w:rsidRDefault="008F16FC" w:rsidP="008F16FC">
            <w:pPr>
              <w:rPr>
                <w:sz w:val="20"/>
                <w:szCs w:val="20"/>
                <w:lang w:val="es-ES"/>
              </w:rPr>
            </w:pPr>
            <w:r w:rsidRPr="008F16FC">
              <w:rPr>
                <w:sz w:val="20"/>
                <w:szCs w:val="20"/>
                <w:lang w:val="es-ES"/>
              </w:rPr>
              <w:t>Cobro por ventas de propiedades, planta y equipo</w:t>
            </w:r>
          </w:p>
        </w:tc>
        <w:tc>
          <w:tcPr>
            <w:tcW w:w="1540" w:type="dxa"/>
            <w:tcBorders>
              <w:top w:val="nil"/>
              <w:left w:val="nil"/>
              <w:bottom w:val="nil"/>
              <w:right w:val="nil"/>
            </w:tcBorders>
            <w:shd w:val="clear" w:color="000000" w:fill="FFFFFF"/>
            <w:noWrap/>
            <w:vAlign w:val="bottom"/>
            <w:hideMark/>
          </w:tcPr>
          <w:p w14:paraId="6CFBBC09" w14:textId="77777777" w:rsidR="008F16FC" w:rsidRPr="008F16FC" w:rsidRDefault="008F16FC" w:rsidP="008F16FC">
            <w:pPr>
              <w:jc w:val="right"/>
              <w:rPr>
                <w:sz w:val="20"/>
                <w:szCs w:val="20"/>
              </w:rPr>
            </w:pPr>
            <w:r w:rsidRPr="008F16FC">
              <w:rPr>
                <w:sz w:val="20"/>
                <w:szCs w:val="20"/>
              </w:rPr>
              <w:t xml:space="preserve">203 </w:t>
            </w:r>
          </w:p>
        </w:tc>
        <w:tc>
          <w:tcPr>
            <w:tcW w:w="1540" w:type="dxa"/>
            <w:tcBorders>
              <w:top w:val="nil"/>
              <w:left w:val="nil"/>
              <w:bottom w:val="nil"/>
              <w:right w:val="nil"/>
            </w:tcBorders>
            <w:shd w:val="clear" w:color="000000" w:fill="FFFFFF"/>
            <w:noWrap/>
            <w:vAlign w:val="bottom"/>
            <w:hideMark/>
          </w:tcPr>
          <w:p w14:paraId="1069A39A" w14:textId="77777777" w:rsidR="008F16FC" w:rsidRPr="008F16FC" w:rsidRDefault="008F16FC" w:rsidP="008F16FC">
            <w:pPr>
              <w:jc w:val="right"/>
              <w:rPr>
                <w:sz w:val="20"/>
                <w:szCs w:val="20"/>
              </w:rPr>
            </w:pPr>
            <w:r w:rsidRPr="008F16FC">
              <w:rPr>
                <w:sz w:val="20"/>
                <w:szCs w:val="20"/>
              </w:rPr>
              <w:t xml:space="preserve">421 </w:t>
            </w:r>
          </w:p>
        </w:tc>
      </w:tr>
      <w:tr w:rsidR="008F16FC" w:rsidRPr="008F16FC" w14:paraId="0C394304" w14:textId="77777777" w:rsidTr="00BA304B">
        <w:trPr>
          <w:trHeight w:val="255"/>
        </w:trPr>
        <w:tc>
          <w:tcPr>
            <w:tcW w:w="1200" w:type="dxa"/>
            <w:tcBorders>
              <w:top w:val="nil"/>
              <w:left w:val="nil"/>
              <w:bottom w:val="nil"/>
              <w:right w:val="nil"/>
            </w:tcBorders>
            <w:shd w:val="clear" w:color="000000" w:fill="FFFFFF"/>
            <w:noWrap/>
            <w:vAlign w:val="bottom"/>
            <w:hideMark/>
          </w:tcPr>
          <w:p w14:paraId="455E365A" w14:textId="77777777" w:rsidR="008F16FC" w:rsidRPr="008F16FC" w:rsidRDefault="008F16FC" w:rsidP="008F16FC">
            <w:pPr>
              <w:rPr>
                <w:sz w:val="20"/>
                <w:szCs w:val="20"/>
                <w:u w:val="single"/>
              </w:rPr>
            </w:pPr>
            <w:r w:rsidRPr="008F16FC">
              <w:rPr>
                <w:sz w:val="20"/>
                <w:szCs w:val="20"/>
                <w:u w:val="single"/>
              </w:rPr>
              <w:t> </w:t>
            </w:r>
          </w:p>
        </w:tc>
        <w:tc>
          <w:tcPr>
            <w:tcW w:w="5320" w:type="dxa"/>
            <w:tcBorders>
              <w:top w:val="nil"/>
              <w:left w:val="nil"/>
              <w:bottom w:val="nil"/>
              <w:right w:val="nil"/>
            </w:tcBorders>
            <w:shd w:val="clear" w:color="000000" w:fill="FFFFFF"/>
            <w:noWrap/>
            <w:vAlign w:val="bottom"/>
            <w:hideMark/>
          </w:tcPr>
          <w:p w14:paraId="4A57FDAD" w14:textId="77777777" w:rsidR="008F16FC" w:rsidRPr="008F16FC" w:rsidRDefault="008F16FC" w:rsidP="008F16FC">
            <w:pPr>
              <w:rPr>
                <w:sz w:val="20"/>
                <w:szCs w:val="20"/>
                <w:lang w:val="es-ES"/>
              </w:rPr>
            </w:pPr>
            <w:r w:rsidRPr="008F16FC">
              <w:rPr>
                <w:sz w:val="20"/>
                <w:szCs w:val="20"/>
                <w:lang w:val="es-ES"/>
              </w:rPr>
              <w:t>Pago por compras de propiedades, planta y equipo</w:t>
            </w:r>
          </w:p>
        </w:tc>
        <w:tc>
          <w:tcPr>
            <w:tcW w:w="1540" w:type="dxa"/>
            <w:tcBorders>
              <w:top w:val="nil"/>
              <w:left w:val="nil"/>
              <w:bottom w:val="nil"/>
              <w:right w:val="nil"/>
            </w:tcBorders>
            <w:shd w:val="clear" w:color="000000" w:fill="FFFFFF"/>
            <w:noWrap/>
            <w:vAlign w:val="bottom"/>
            <w:hideMark/>
          </w:tcPr>
          <w:p w14:paraId="2CABADAA" w14:textId="77777777" w:rsidR="008F16FC" w:rsidRPr="008F16FC" w:rsidRDefault="008F16FC" w:rsidP="008F16FC">
            <w:pPr>
              <w:jc w:val="right"/>
              <w:rPr>
                <w:sz w:val="20"/>
                <w:szCs w:val="20"/>
              </w:rPr>
            </w:pPr>
            <w:r w:rsidRPr="008F16FC">
              <w:rPr>
                <w:sz w:val="20"/>
                <w:szCs w:val="20"/>
              </w:rPr>
              <w:t xml:space="preserve">(23.804) </w:t>
            </w:r>
          </w:p>
        </w:tc>
        <w:tc>
          <w:tcPr>
            <w:tcW w:w="1540" w:type="dxa"/>
            <w:tcBorders>
              <w:top w:val="nil"/>
              <w:left w:val="nil"/>
              <w:bottom w:val="nil"/>
              <w:right w:val="nil"/>
            </w:tcBorders>
            <w:shd w:val="clear" w:color="000000" w:fill="FFFFFF"/>
            <w:noWrap/>
            <w:vAlign w:val="bottom"/>
            <w:hideMark/>
          </w:tcPr>
          <w:p w14:paraId="5132281A" w14:textId="77777777" w:rsidR="008F16FC" w:rsidRPr="008F16FC" w:rsidRDefault="008F16FC" w:rsidP="008F16FC">
            <w:pPr>
              <w:jc w:val="right"/>
              <w:rPr>
                <w:sz w:val="20"/>
                <w:szCs w:val="20"/>
              </w:rPr>
            </w:pPr>
            <w:r w:rsidRPr="008F16FC">
              <w:rPr>
                <w:sz w:val="20"/>
                <w:szCs w:val="20"/>
              </w:rPr>
              <w:t xml:space="preserve">(47.309) </w:t>
            </w:r>
          </w:p>
        </w:tc>
      </w:tr>
      <w:tr w:rsidR="008F16FC" w:rsidRPr="008F16FC" w14:paraId="1C95A9EC" w14:textId="77777777" w:rsidTr="00BA304B">
        <w:trPr>
          <w:trHeight w:val="255"/>
        </w:trPr>
        <w:tc>
          <w:tcPr>
            <w:tcW w:w="1200" w:type="dxa"/>
            <w:tcBorders>
              <w:top w:val="nil"/>
              <w:left w:val="nil"/>
              <w:bottom w:val="nil"/>
              <w:right w:val="nil"/>
            </w:tcBorders>
            <w:shd w:val="clear" w:color="000000" w:fill="FFFFFF"/>
            <w:noWrap/>
            <w:vAlign w:val="bottom"/>
            <w:hideMark/>
          </w:tcPr>
          <w:p w14:paraId="0BCCB491" w14:textId="77777777" w:rsidR="008F16FC" w:rsidRPr="008F16FC" w:rsidRDefault="008F16FC" w:rsidP="008F16FC">
            <w:pPr>
              <w:rPr>
                <w:sz w:val="20"/>
                <w:szCs w:val="20"/>
                <w:u w:val="single"/>
              </w:rPr>
            </w:pPr>
            <w:r w:rsidRPr="008F16FC">
              <w:rPr>
                <w:sz w:val="20"/>
                <w:szCs w:val="20"/>
                <w:u w:val="single"/>
              </w:rPr>
              <w:t> </w:t>
            </w:r>
          </w:p>
        </w:tc>
        <w:tc>
          <w:tcPr>
            <w:tcW w:w="5320" w:type="dxa"/>
            <w:tcBorders>
              <w:top w:val="nil"/>
              <w:left w:val="nil"/>
              <w:bottom w:val="nil"/>
              <w:right w:val="nil"/>
            </w:tcBorders>
            <w:shd w:val="clear" w:color="000000" w:fill="FFFFFF"/>
            <w:noWrap/>
            <w:vAlign w:val="bottom"/>
            <w:hideMark/>
          </w:tcPr>
          <w:p w14:paraId="4737D66C" w14:textId="77777777" w:rsidR="008F16FC" w:rsidRPr="008F16FC" w:rsidRDefault="008F16FC" w:rsidP="008F16FC">
            <w:pPr>
              <w:rPr>
                <w:sz w:val="20"/>
                <w:szCs w:val="20"/>
                <w:lang w:val="es-ES"/>
              </w:rPr>
            </w:pPr>
            <w:r w:rsidRPr="008F16FC">
              <w:rPr>
                <w:sz w:val="20"/>
                <w:szCs w:val="20"/>
                <w:lang w:val="es-ES"/>
              </w:rPr>
              <w:t>Pago por compras de activos intangibles</w:t>
            </w:r>
          </w:p>
        </w:tc>
        <w:tc>
          <w:tcPr>
            <w:tcW w:w="1540" w:type="dxa"/>
            <w:tcBorders>
              <w:top w:val="nil"/>
              <w:left w:val="nil"/>
              <w:bottom w:val="nil"/>
              <w:right w:val="nil"/>
            </w:tcBorders>
            <w:shd w:val="clear" w:color="000000" w:fill="FFFFFF"/>
            <w:noWrap/>
            <w:vAlign w:val="bottom"/>
            <w:hideMark/>
          </w:tcPr>
          <w:p w14:paraId="4429CC78" w14:textId="77777777" w:rsidR="008F16FC" w:rsidRPr="008F16FC" w:rsidRDefault="008F16FC" w:rsidP="008F16FC">
            <w:pPr>
              <w:jc w:val="right"/>
              <w:rPr>
                <w:sz w:val="20"/>
                <w:szCs w:val="20"/>
              </w:rPr>
            </w:pPr>
            <w:r w:rsidRPr="008F16FC">
              <w:rPr>
                <w:sz w:val="20"/>
                <w:szCs w:val="20"/>
              </w:rPr>
              <w:t xml:space="preserve">(122.642) </w:t>
            </w:r>
          </w:p>
        </w:tc>
        <w:tc>
          <w:tcPr>
            <w:tcW w:w="1540" w:type="dxa"/>
            <w:tcBorders>
              <w:top w:val="nil"/>
              <w:left w:val="nil"/>
              <w:bottom w:val="nil"/>
              <w:right w:val="nil"/>
            </w:tcBorders>
            <w:shd w:val="clear" w:color="000000" w:fill="FFFFFF"/>
            <w:noWrap/>
            <w:vAlign w:val="bottom"/>
            <w:hideMark/>
          </w:tcPr>
          <w:p w14:paraId="1295EC44" w14:textId="77777777" w:rsidR="008F16FC" w:rsidRPr="008F16FC" w:rsidRDefault="008F16FC" w:rsidP="008F16FC">
            <w:pPr>
              <w:jc w:val="right"/>
              <w:rPr>
                <w:sz w:val="20"/>
                <w:szCs w:val="20"/>
              </w:rPr>
            </w:pPr>
            <w:r w:rsidRPr="008F16FC">
              <w:rPr>
                <w:sz w:val="20"/>
                <w:szCs w:val="20"/>
              </w:rPr>
              <w:t xml:space="preserve">(300.079) </w:t>
            </w:r>
          </w:p>
        </w:tc>
      </w:tr>
      <w:tr w:rsidR="008F16FC" w:rsidRPr="008F16FC" w14:paraId="06B5016F" w14:textId="77777777" w:rsidTr="00BA304B">
        <w:trPr>
          <w:trHeight w:val="255"/>
        </w:trPr>
        <w:tc>
          <w:tcPr>
            <w:tcW w:w="1200" w:type="dxa"/>
            <w:tcBorders>
              <w:top w:val="nil"/>
              <w:left w:val="nil"/>
              <w:bottom w:val="nil"/>
              <w:right w:val="nil"/>
            </w:tcBorders>
            <w:shd w:val="clear" w:color="000000" w:fill="FFFFFF"/>
            <w:noWrap/>
            <w:vAlign w:val="bottom"/>
            <w:hideMark/>
          </w:tcPr>
          <w:p w14:paraId="34A48592" w14:textId="77777777" w:rsidR="008F16FC" w:rsidRPr="008F16FC" w:rsidRDefault="008F16FC" w:rsidP="008F16FC">
            <w:pPr>
              <w:rPr>
                <w:sz w:val="20"/>
                <w:szCs w:val="20"/>
                <w:u w:val="single"/>
              </w:rPr>
            </w:pPr>
            <w:r w:rsidRPr="008F16FC">
              <w:rPr>
                <w:sz w:val="20"/>
                <w:szCs w:val="20"/>
                <w:u w:val="single"/>
              </w:rPr>
              <w:t> </w:t>
            </w:r>
          </w:p>
        </w:tc>
        <w:tc>
          <w:tcPr>
            <w:tcW w:w="5320" w:type="dxa"/>
            <w:tcBorders>
              <w:top w:val="nil"/>
              <w:left w:val="nil"/>
              <w:bottom w:val="nil"/>
              <w:right w:val="nil"/>
            </w:tcBorders>
            <w:shd w:val="clear" w:color="000000" w:fill="FFFFFF"/>
            <w:noWrap/>
            <w:vAlign w:val="bottom"/>
            <w:hideMark/>
          </w:tcPr>
          <w:p w14:paraId="26A50CC7" w14:textId="77777777" w:rsidR="008F16FC" w:rsidRPr="008F16FC" w:rsidRDefault="008F16FC" w:rsidP="008F16FC">
            <w:pPr>
              <w:rPr>
                <w:sz w:val="20"/>
                <w:szCs w:val="20"/>
              </w:rPr>
            </w:pPr>
            <w:r w:rsidRPr="008F16FC">
              <w:rPr>
                <w:sz w:val="20"/>
                <w:szCs w:val="20"/>
              </w:rPr>
              <w:t>Bajas en activos intangibles</w:t>
            </w:r>
          </w:p>
        </w:tc>
        <w:tc>
          <w:tcPr>
            <w:tcW w:w="1540" w:type="dxa"/>
            <w:tcBorders>
              <w:top w:val="nil"/>
              <w:left w:val="nil"/>
              <w:bottom w:val="nil"/>
              <w:right w:val="nil"/>
            </w:tcBorders>
            <w:shd w:val="clear" w:color="000000" w:fill="FFFFFF"/>
            <w:noWrap/>
            <w:vAlign w:val="bottom"/>
            <w:hideMark/>
          </w:tcPr>
          <w:p w14:paraId="24E806DC" w14:textId="77777777" w:rsidR="008F16FC" w:rsidRPr="008F16FC" w:rsidRDefault="008F16FC" w:rsidP="008F16FC">
            <w:pPr>
              <w:jc w:val="right"/>
              <w:rPr>
                <w:sz w:val="20"/>
                <w:szCs w:val="20"/>
              </w:rPr>
            </w:pPr>
            <w:r w:rsidRPr="008F16FC">
              <w:rPr>
                <w:sz w:val="20"/>
                <w:szCs w:val="20"/>
              </w:rPr>
              <w:t xml:space="preserve">42.122 </w:t>
            </w:r>
          </w:p>
        </w:tc>
        <w:tc>
          <w:tcPr>
            <w:tcW w:w="1540" w:type="dxa"/>
            <w:tcBorders>
              <w:top w:val="nil"/>
              <w:left w:val="nil"/>
              <w:bottom w:val="nil"/>
              <w:right w:val="nil"/>
            </w:tcBorders>
            <w:shd w:val="clear" w:color="000000" w:fill="FFFFFF"/>
            <w:noWrap/>
            <w:vAlign w:val="bottom"/>
            <w:hideMark/>
          </w:tcPr>
          <w:p w14:paraId="745BF438" w14:textId="77777777" w:rsidR="008F16FC" w:rsidRPr="008F16FC" w:rsidRDefault="008F16FC" w:rsidP="008F16FC">
            <w:pPr>
              <w:jc w:val="right"/>
              <w:rPr>
                <w:sz w:val="20"/>
                <w:szCs w:val="20"/>
              </w:rPr>
            </w:pPr>
            <w:r w:rsidRPr="008F16FC">
              <w:rPr>
                <w:sz w:val="20"/>
                <w:szCs w:val="20"/>
              </w:rPr>
              <w:t xml:space="preserve">248.456 </w:t>
            </w:r>
          </w:p>
        </w:tc>
      </w:tr>
      <w:tr w:rsidR="00AE6F90" w:rsidRPr="008F16FC" w14:paraId="7260B103" w14:textId="77777777" w:rsidTr="008F16FC">
        <w:trPr>
          <w:trHeight w:val="255"/>
        </w:trPr>
        <w:tc>
          <w:tcPr>
            <w:tcW w:w="6520" w:type="dxa"/>
            <w:gridSpan w:val="2"/>
            <w:tcBorders>
              <w:top w:val="nil"/>
              <w:left w:val="nil"/>
              <w:bottom w:val="nil"/>
              <w:right w:val="nil"/>
            </w:tcBorders>
            <w:shd w:val="clear" w:color="000000" w:fill="FFFFFF"/>
            <w:vAlign w:val="bottom"/>
            <w:hideMark/>
          </w:tcPr>
          <w:p w14:paraId="6904A0D1" w14:textId="77777777" w:rsidR="008F16FC" w:rsidRPr="008F16FC" w:rsidRDefault="008F16FC" w:rsidP="008F16FC">
            <w:pPr>
              <w:rPr>
                <w:b/>
                <w:bCs/>
                <w:i/>
                <w:iCs/>
                <w:sz w:val="20"/>
                <w:szCs w:val="20"/>
                <w:lang w:val="es-ES"/>
              </w:rPr>
            </w:pPr>
            <w:r w:rsidRPr="008F16FC">
              <w:rPr>
                <w:b/>
                <w:bCs/>
                <w:i/>
                <w:iCs/>
                <w:sz w:val="20"/>
                <w:szCs w:val="20"/>
                <w:lang w:val="es-ES"/>
              </w:rPr>
              <w:t>Flujo neto de efectivo utilizado en las actividades de inversión</w:t>
            </w:r>
          </w:p>
        </w:tc>
        <w:tc>
          <w:tcPr>
            <w:tcW w:w="1540" w:type="dxa"/>
            <w:tcBorders>
              <w:top w:val="single" w:sz="4" w:space="0" w:color="auto"/>
              <w:left w:val="nil"/>
              <w:bottom w:val="dotted" w:sz="4" w:space="0" w:color="auto"/>
              <w:right w:val="nil"/>
            </w:tcBorders>
            <w:shd w:val="clear" w:color="000000" w:fill="FFFFFF"/>
            <w:noWrap/>
            <w:vAlign w:val="bottom"/>
            <w:hideMark/>
          </w:tcPr>
          <w:p w14:paraId="719A532E" w14:textId="77777777" w:rsidR="008F16FC" w:rsidRPr="008F16FC" w:rsidRDefault="008F16FC" w:rsidP="008F16FC">
            <w:pPr>
              <w:jc w:val="right"/>
              <w:rPr>
                <w:b/>
                <w:bCs/>
                <w:sz w:val="20"/>
                <w:szCs w:val="20"/>
              </w:rPr>
            </w:pPr>
            <w:r w:rsidRPr="008F16FC">
              <w:rPr>
                <w:b/>
                <w:bCs/>
                <w:sz w:val="20"/>
                <w:szCs w:val="20"/>
              </w:rPr>
              <w:t xml:space="preserve">(102.754) </w:t>
            </w:r>
          </w:p>
        </w:tc>
        <w:tc>
          <w:tcPr>
            <w:tcW w:w="1540" w:type="dxa"/>
            <w:tcBorders>
              <w:top w:val="single" w:sz="4" w:space="0" w:color="auto"/>
              <w:left w:val="nil"/>
              <w:bottom w:val="dotted" w:sz="4" w:space="0" w:color="auto"/>
              <w:right w:val="nil"/>
            </w:tcBorders>
            <w:shd w:val="clear" w:color="000000" w:fill="FFFFFF"/>
            <w:noWrap/>
            <w:vAlign w:val="bottom"/>
            <w:hideMark/>
          </w:tcPr>
          <w:p w14:paraId="48760312" w14:textId="77777777" w:rsidR="008F16FC" w:rsidRPr="008F16FC" w:rsidRDefault="008F16FC" w:rsidP="008F16FC">
            <w:pPr>
              <w:jc w:val="right"/>
              <w:rPr>
                <w:b/>
                <w:bCs/>
                <w:sz w:val="20"/>
                <w:szCs w:val="20"/>
              </w:rPr>
            </w:pPr>
            <w:r w:rsidRPr="008F16FC">
              <w:rPr>
                <w:b/>
                <w:bCs/>
                <w:sz w:val="20"/>
                <w:szCs w:val="20"/>
              </w:rPr>
              <w:t xml:space="preserve">(143.658) </w:t>
            </w:r>
          </w:p>
        </w:tc>
      </w:tr>
      <w:tr w:rsidR="008F16FC" w:rsidRPr="00512442" w14:paraId="4DEEEC0D" w14:textId="77777777" w:rsidTr="00BA304B">
        <w:trPr>
          <w:trHeight w:val="255"/>
        </w:trPr>
        <w:tc>
          <w:tcPr>
            <w:tcW w:w="6520" w:type="dxa"/>
            <w:gridSpan w:val="2"/>
            <w:tcBorders>
              <w:top w:val="nil"/>
              <w:left w:val="nil"/>
              <w:bottom w:val="nil"/>
              <w:right w:val="nil"/>
            </w:tcBorders>
            <w:shd w:val="clear" w:color="000000" w:fill="FFFFFF"/>
            <w:noWrap/>
            <w:vAlign w:val="bottom"/>
            <w:hideMark/>
          </w:tcPr>
          <w:p w14:paraId="0273BA60" w14:textId="77777777" w:rsidR="008F16FC" w:rsidRPr="008F16FC" w:rsidRDefault="008F16FC" w:rsidP="008F16FC">
            <w:pPr>
              <w:rPr>
                <w:b/>
                <w:bCs/>
                <w:sz w:val="20"/>
                <w:szCs w:val="20"/>
                <w:u w:val="single"/>
                <w:lang w:val="es-ES"/>
              </w:rPr>
            </w:pPr>
            <w:r w:rsidRPr="008F16FC">
              <w:rPr>
                <w:b/>
                <w:bCs/>
                <w:sz w:val="20"/>
                <w:szCs w:val="20"/>
                <w:u w:val="single"/>
                <w:lang w:val="es-ES"/>
              </w:rPr>
              <w:t>Flujo de efectivo por las actividades de financiación</w:t>
            </w:r>
          </w:p>
        </w:tc>
        <w:tc>
          <w:tcPr>
            <w:tcW w:w="1540" w:type="dxa"/>
            <w:tcBorders>
              <w:top w:val="nil"/>
              <w:left w:val="nil"/>
              <w:bottom w:val="nil"/>
              <w:right w:val="nil"/>
            </w:tcBorders>
            <w:shd w:val="clear" w:color="000000" w:fill="FFFFFF"/>
            <w:noWrap/>
            <w:vAlign w:val="bottom"/>
            <w:hideMark/>
          </w:tcPr>
          <w:p w14:paraId="2CC1B923" w14:textId="77777777" w:rsidR="008F16FC" w:rsidRPr="008F16FC" w:rsidRDefault="008F16FC" w:rsidP="008F16FC">
            <w:pPr>
              <w:rPr>
                <w:sz w:val="20"/>
                <w:szCs w:val="20"/>
                <w:lang w:val="es-ES"/>
              </w:rPr>
            </w:pPr>
            <w:r w:rsidRPr="008F16FC">
              <w:rPr>
                <w:sz w:val="20"/>
                <w:szCs w:val="20"/>
                <w:lang w:val="es-ES"/>
              </w:rPr>
              <w:t> </w:t>
            </w:r>
          </w:p>
        </w:tc>
        <w:tc>
          <w:tcPr>
            <w:tcW w:w="1540" w:type="dxa"/>
            <w:tcBorders>
              <w:top w:val="nil"/>
              <w:left w:val="nil"/>
              <w:bottom w:val="nil"/>
              <w:right w:val="nil"/>
            </w:tcBorders>
            <w:shd w:val="clear" w:color="000000" w:fill="FFFFFF"/>
            <w:noWrap/>
            <w:vAlign w:val="bottom"/>
            <w:hideMark/>
          </w:tcPr>
          <w:p w14:paraId="1EE83967" w14:textId="77777777" w:rsidR="008F16FC" w:rsidRPr="008F16FC" w:rsidRDefault="008F16FC" w:rsidP="008F16FC">
            <w:pPr>
              <w:rPr>
                <w:sz w:val="20"/>
                <w:szCs w:val="20"/>
                <w:lang w:val="es-ES"/>
              </w:rPr>
            </w:pPr>
            <w:r w:rsidRPr="008F16FC">
              <w:rPr>
                <w:sz w:val="20"/>
                <w:szCs w:val="20"/>
                <w:lang w:val="es-ES"/>
              </w:rPr>
              <w:t> </w:t>
            </w:r>
          </w:p>
        </w:tc>
      </w:tr>
      <w:tr w:rsidR="008F16FC" w:rsidRPr="008F16FC" w14:paraId="60204DD7" w14:textId="77777777" w:rsidTr="00BA304B">
        <w:trPr>
          <w:trHeight w:val="255"/>
        </w:trPr>
        <w:tc>
          <w:tcPr>
            <w:tcW w:w="1200" w:type="dxa"/>
            <w:tcBorders>
              <w:top w:val="nil"/>
              <w:left w:val="nil"/>
              <w:bottom w:val="nil"/>
              <w:right w:val="nil"/>
            </w:tcBorders>
            <w:shd w:val="clear" w:color="000000" w:fill="FFFFFF"/>
            <w:noWrap/>
            <w:vAlign w:val="bottom"/>
            <w:hideMark/>
          </w:tcPr>
          <w:p w14:paraId="61E27B13" w14:textId="77777777" w:rsidR="008F16FC" w:rsidRPr="008F16FC" w:rsidRDefault="008F16FC" w:rsidP="008F16FC">
            <w:pPr>
              <w:rPr>
                <w:b/>
                <w:bCs/>
                <w:sz w:val="20"/>
                <w:szCs w:val="20"/>
                <w:lang w:val="es-ES"/>
              </w:rPr>
            </w:pPr>
            <w:r w:rsidRPr="008F16FC">
              <w:rPr>
                <w:b/>
                <w:bCs/>
                <w:sz w:val="20"/>
                <w:szCs w:val="20"/>
                <w:lang w:val="es-ES"/>
              </w:rPr>
              <w:t> </w:t>
            </w:r>
          </w:p>
        </w:tc>
        <w:tc>
          <w:tcPr>
            <w:tcW w:w="5320" w:type="dxa"/>
            <w:tcBorders>
              <w:top w:val="nil"/>
              <w:left w:val="nil"/>
              <w:bottom w:val="nil"/>
              <w:right w:val="nil"/>
            </w:tcBorders>
            <w:shd w:val="clear" w:color="000000" w:fill="FFFFFF"/>
            <w:noWrap/>
            <w:vAlign w:val="bottom"/>
            <w:hideMark/>
          </w:tcPr>
          <w:p w14:paraId="48986543" w14:textId="77777777" w:rsidR="008F16FC" w:rsidRPr="008F16FC" w:rsidRDefault="008F16FC" w:rsidP="008F16FC">
            <w:pPr>
              <w:rPr>
                <w:sz w:val="20"/>
                <w:szCs w:val="20"/>
                <w:lang w:val="es-ES"/>
              </w:rPr>
            </w:pPr>
            <w:r w:rsidRPr="008F16FC">
              <w:rPr>
                <w:sz w:val="20"/>
                <w:szCs w:val="20"/>
                <w:lang w:val="es-ES"/>
              </w:rPr>
              <w:t>Préstamos bancarios y otros pasivos</w:t>
            </w:r>
          </w:p>
        </w:tc>
        <w:tc>
          <w:tcPr>
            <w:tcW w:w="1540" w:type="dxa"/>
            <w:tcBorders>
              <w:top w:val="nil"/>
              <w:left w:val="nil"/>
              <w:bottom w:val="nil"/>
              <w:right w:val="nil"/>
            </w:tcBorders>
            <w:shd w:val="clear" w:color="000000" w:fill="FFFFFF"/>
            <w:noWrap/>
            <w:vAlign w:val="bottom"/>
            <w:hideMark/>
          </w:tcPr>
          <w:p w14:paraId="1971A19F" w14:textId="77777777" w:rsidR="008F16FC" w:rsidRPr="008F16FC" w:rsidRDefault="008F16FC" w:rsidP="008F16FC">
            <w:pPr>
              <w:jc w:val="right"/>
              <w:rPr>
                <w:sz w:val="20"/>
                <w:szCs w:val="20"/>
              </w:rPr>
            </w:pPr>
            <w:r w:rsidRPr="008F16FC">
              <w:rPr>
                <w:sz w:val="20"/>
                <w:szCs w:val="20"/>
              </w:rPr>
              <w:t xml:space="preserve">(825.214) </w:t>
            </w:r>
          </w:p>
        </w:tc>
        <w:tc>
          <w:tcPr>
            <w:tcW w:w="1540" w:type="dxa"/>
            <w:tcBorders>
              <w:top w:val="nil"/>
              <w:left w:val="nil"/>
              <w:bottom w:val="nil"/>
              <w:right w:val="nil"/>
            </w:tcBorders>
            <w:shd w:val="clear" w:color="000000" w:fill="FFFFFF"/>
            <w:noWrap/>
            <w:vAlign w:val="bottom"/>
            <w:hideMark/>
          </w:tcPr>
          <w:p w14:paraId="375201EA" w14:textId="77777777" w:rsidR="008F16FC" w:rsidRPr="008F16FC" w:rsidRDefault="008F16FC" w:rsidP="008F16FC">
            <w:pPr>
              <w:jc w:val="right"/>
              <w:rPr>
                <w:sz w:val="20"/>
                <w:szCs w:val="20"/>
              </w:rPr>
            </w:pPr>
            <w:r w:rsidRPr="008F16FC">
              <w:rPr>
                <w:sz w:val="20"/>
                <w:szCs w:val="20"/>
              </w:rPr>
              <w:t xml:space="preserve">356.277 </w:t>
            </w:r>
          </w:p>
        </w:tc>
      </w:tr>
      <w:tr w:rsidR="008F16FC" w:rsidRPr="008F16FC" w14:paraId="697A9360" w14:textId="77777777" w:rsidTr="00BA304B">
        <w:trPr>
          <w:trHeight w:val="255"/>
        </w:trPr>
        <w:tc>
          <w:tcPr>
            <w:tcW w:w="6520" w:type="dxa"/>
            <w:gridSpan w:val="2"/>
            <w:tcBorders>
              <w:top w:val="nil"/>
              <w:left w:val="nil"/>
              <w:bottom w:val="nil"/>
              <w:right w:val="nil"/>
            </w:tcBorders>
            <w:shd w:val="clear" w:color="000000" w:fill="FFFFFF"/>
            <w:vAlign w:val="bottom"/>
            <w:hideMark/>
          </w:tcPr>
          <w:p w14:paraId="52571728" w14:textId="77777777" w:rsidR="008F16FC" w:rsidRPr="008F16FC" w:rsidRDefault="008F16FC" w:rsidP="008F16FC">
            <w:pPr>
              <w:rPr>
                <w:b/>
                <w:bCs/>
                <w:i/>
                <w:iCs/>
                <w:sz w:val="20"/>
                <w:szCs w:val="20"/>
                <w:lang w:val="es-ES"/>
              </w:rPr>
            </w:pPr>
            <w:r w:rsidRPr="008F16FC">
              <w:rPr>
                <w:b/>
                <w:bCs/>
                <w:i/>
                <w:iCs/>
                <w:sz w:val="20"/>
                <w:szCs w:val="20"/>
                <w:lang w:val="es-ES"/>
              </w:rPr>
              <w:t>Flujo de efectivo procedente de las actividades de financiación</w:t>
            </w:r>
          </w:p>
        </w:tc>
        <w:tc>
          <w:tcPr>
            <w:tcW w:w="1540" w:type="dxa"/>
            <w:tcBorders>
              <w:top w:val="single" w:sz="4" w:space="0" w:color="auto"/>
              <w:left w:val="nil"/>
              <w:bottom w:val="single" w:sz="4" w:space="0" w:color="auto"/>
              <w:right w:val="nil"/>
            </w:tcBorders>
            <w:shd w:val="clear" w:color="000000" w:fill="FFFFFF"/>
            <w:noWrap/>
            <w:vAlign w:val="bottom"/>
            <w:hideMark/>
          </w:tcPr>
          <w:p w14:paraId="72204281" w14:textId="77777777" w:rsidR="008F16FC" w:rsidRPr="008F16FC" w:rsidRDefault="008F16FC" w:rsidP="008F16FC">
            <w:pPr>
              <w:jc w:val="right"/>
              <w:rPr>
                <w:b/>
                <w:bCs/>
                <w:sz w:val="20"/>
                <w:szCs w:val="20"/>
              </w:rPr>
            </w:pPr>
            <w:r w:rsidRPr="008F16FC">
              <w:rPr>
                <w:b/>
                <w:bCs/>
                <w:sz w:val="20"/>
                <w:szCs w:val="20"/>
              </w:rPr>
              <w:t xml:space="preserve">(825.214) </w:t>
            </w:r>
          </w:p>
        </w:tc>
        <w:tc>
          <w:tcPr>
            <w:tcW w:w="1540" w:type="dxa"/>
            <w:tcBorders>
              <w:top w:val="single" w:sz="4" w:space="0" w:color="auto"/>
              <w:left w:val="nil"/>
              <w:bottom w:val="single" w:sz="4" w:space="0" w:color="auto"/>
              <w:right w:val="nil"/>
            </w:tcBorders>
            <w:shd w:val="clear" w:color="000000" w:fill="FFFFFF"/>
            <w:noWrap/>
            <w:vAlign w:val="bottom"/>
            <w:hideMark/>
          </w:tcPr>
          <w:p w14:paraId="5AA43B0F" w14:textId="77777777" w:rsidR="008F16FC" w:rsidRPr="008F16FC" w:rsidRDefault="008F16FC" w:rsidP="008F16FC">
            <w:pPr>
              <w:jc w:val="right"/>
              <w:rPr>
                <w:b/>
                <w:bCs/>
                <w:sz w:val="20"/>
                <w:szCs w:val="20"/>
              </w:rPr>
            </w:pPr>
            <w:r w:rsidRPr="008F16FC">
              <w:rPr>
                <w:b/>
                <w:bCs/>
                <w:sz w:val="20"/>
                <w:szCs w:val="20"/>
              </w:rPr>
              <w:t xml:space="preserve">356.277 </w:t>
            </w:r>
          </w:p>
        </w:tc>
      </w:tr>
      <w:tr w:rsidR="008F16FC" w:rsidRPr="008F16FC" w14:paraId="7D6FDBB8" w14:textId="77777777" w:rsidTr="00BA304B">
        <w:trPr>
          <w:trHeight w:val="255"/>
        </w:trPr>
        <w:tc>
          <w:tcPr>
            <w:tcW w:w="6520" w:type="dxa"/>
            <w:gridSpan w:val="2"/>
            <w:tcBorders>
              <w:top w:val="nil"/>
              <w:left w:val="nil"/>
              <w:bottom w:val="nil"/>
              <w:right w:val="nil"/>
            </w:tcBorders>
            <w:shd w:val="clear" w:color="000000" w:fill="FFFFFF"/>
            <w:vAlign w:val="bottom"/>
            <w:hideMark/>
          </w:tcPr>
          <w:p w14:paraId="1E74BD6B" w14:textId="77777777" w:rsidR="008F16FC" w:rsidRPr="008F16FC" w:rsidRDefault="008F16FC" w:rsidP="008F16FC">
            <w:pPr>
              <w:rPr>
                <w:b/>
                <w:bCs/>
                <w:sz w:val="20"/>
                <w:szCs w:val="20"/>
                <w:lang w:val="es-ES"/>
              </w:rPr>
            </w:pPr>
            <w:r w:rsidRPr="008F16FC">
              <w:rPr>
                <w:b/>
                <w:bCs/>
                <w:sz w:val="20"/>
                <w:szCs w:val="20"/>
                <w:lang w:val="es-ES"/>
              </w:rPr>
              <w:t>Flujo neto del efectivo del ejercicio</w:t>
            </w:r>
          </w:p>
        </w:tc>
        <w:tc>
          <w:tcPr>
            <w:tcW w:w="1540" w:type="dxa"/>
            <w:tcBorders>
              <w:top w:val="nil"/>
              <w:left w:val="nil"/>
              <w:bottom w:val="nil"/>
              <w:right w:val="nil"/>
            </w:tcBorders>
            <w:shd w:val="clear" w:color="000000" w:fill="FFFFFF"/>
            <w:noWrap/>
            <w:vAlign w:val="bottom"/>
            <w:hideMark/>
          </w:tcPr>
          <w:p w14:paraId="7F9368CA" w14:textId="77777777" w:rsidR="008F16FC" w:rsidRPr="008F16FC" w:rsidRDefault="008F16FC" w:rsidP="008F16FC">
            <w:pPr>
              <w:jc w:val="right"/>
              <w:rPr>
                <w:b/>
                <w:bCs/>
                <w:sz w:val="20"/>
                <w:szCs w:val="20"/>
              </w:rPr>
            </w:pPr>
            <w:r w:rsidRPr="008F16FC">
              <w:rPr>
                <w:b/>
                <w:bCs/>
                <w:sz w:val="20"/>
                <w:szCs w:val="20"/>
              </w:rPr>
              <w:t xml:space="preserve">128.135 </w:t>
            </w:r>
          </w:p>
        </w:tc>
        <w:tc>
          <w:tcPr>
            <w:tcW w:w="1540" w:type="dxa"/>
            <w:tcBorders>
              <w:top w:val="nil"/>
              <w:left w:val="nil"/>
              <w:bottom w:val="nil"/>
              <w:right w:val="nil"/>
            </w:tcBorders>
            <w:shd w:val="clear" w:color="000000" w:fill="FFFFFF"/>
            <w:noWrap/>
            <w:vAlign w:val="bottom"/>
            <w:hideMark/>
          </w:tcPr>
          <w:p w14:paraId="5528130E" w14:textId="77777777" w:rsidR="008F16FC" w:rsidRPr="008F16FC" w:rsidRDefault="008F16FC" w:rsidP="008F16FC">
            <w:pPr>
              <w:jc w:val="right"/>
              <w:rPr>
                <w:b/>
                <w:bCs/>
                <w:sz w:val="20"/>
                <w:szCs w:val="20"/>
              </w:rPr>
            </w:pPr>
            <w:r w:rsidRPr="008F16FC">
              <w:rPr>
                <w:b/>
                <w:bCs/>
                <w:sz w:val="20"/>
                <w:szCs w:val="20"/>
              </w:rPr>
              <w:t xml:space="preserve">1.004.243 </w:t>
            </w:r>
          </w:p>
        </w:tc>
      </w:tr>
      <w:tr w:rsidR="008F16FC" w:rsidRPr="008F16FC" w14:paraId="3E3D6751" w14:textId="77777777" w:rsidTr="00BA304B">
        <w:trPr>
          <w:trHeight w:val="255"/>
        </w:trPr>
        <w:tc>
          <w:tcPr>
            <w:tcW w:w="1200" w:type="dxa"/>
            <w:tcBorders>
              <w:top w:val="nil"/>
              <w:left w:val="nil"/>
              <w:bottom w:val="nil"/>
              <w:right w:val="nil"/>
            </w:tcBorders>
            <w:shd w:val="clear" w:color="000000" w:fill="FFFFFF"/>
            <w:vAlign w:val="bottom"/>
            <w:hideMark/>
          </w:tcPr>
          <w:p w14:paraId="474D27AA" w14:textId="77777777" w:rsidR="008F16FC" w:rsidRPr="008F16FC" w:rsidRDefault="008F16FC" w:rsidP="008F16FC">
            <w:pPr>
              <w:rPr>
                <w:sz w:val="20"/>
                <w:szCs w:val="20"/>
              </w:rPr>
            </w:pPr>
            <w:r w:rsidRPr="008F16FC">
              <w:rPr>
                <w:sz w:val="20"/>
                <w:szCs w:val="20"/>
              </w:rPr>
              <w:t> </w:t>
            </w:r>
          </w:p>
        </w:tc>
        <w:tc>
          <w:tcPr>
            <w:tcW w:w="5320" w:type="dxa"/>
            <w:tcBorders>
              <w:top w:val="nil"/>
              <w:left w:val="nil"/>
              <w:bottom w:val="nil"/>
              <w:right w:val="nil"/>
            </w:tcBorders>
            <w:shd w:val="clear" w:color="000000" w:fill="FFFFFF"/>
            <w:vAlign w:val="bottom"/>
            <w:hideMark/>
          </w:tcPr>
          <w:p w14:paraId="75F78E7B" w14:textId="77777777" w:rsidR="008F16FC" w:rsidRPr="008F16FC" w:rsidRDefault="008F16FC" w:rsidP="008F16FC">
            <w:pPr>
              <w:rPr>
                <w:sz w:val="20"/>
                <w:szCs w:val="20"/>
                <w:lang w:val="es-ES"/>
              </w:rPr>
            </w:pPr>
            <w:r w:rsidRPr="008F16FC">
              <w:rPr>
                <w:sz w:val="20"/>
                <w:szCs w:val="20"/>
                <w:lang w:val="es-ES"/>
              </w:rPr>
              <w:t>Efectivo al inicio del ejercicio</w:t>
            </w:r>
          </w:p>
        </w:tc>
        <w:tc>
          <w:tcPr>
            <w:tcW w:w="1540" w:type="dxa"/>
            <w:tcBorders>
              <w:top w:val="nil"/>
              <w:left w:val="nil"/>
              <w:bottom w:val="nil"/>
              <w:right w:val="nil"/>
            </w:tcBorders>
            <w:shd w:val="clear" w:color="000000" w:fill="FFFFFF"/>
            <w:noWrap/>
            <w:vAlign w:val="bottom"/>
            <w:hideMark/>
          </w:tcPr>
          <w:p w14:paraId="3521E9D6" w14:textId="77777777" w:rsidR="008F16FC" w:rsidRPr="008F16FC" w:rsidRDefault="008F16FC" w:rsidP="008F16FC">
            <w:pPr>
              <w:jc w:val="right"/>
              <w:rPr>
                <w:sz w:val="20"/>
                <w:szCs w:val="20"/>
              </w:rPr>
            </w:pPr>
            <w:r w:rsidRPr="008F16FC">
              <w:rPr>
                <w:sz w:val="20"/>
                <w:szCs w:val="20"/>
              </w:rPr>
              <w:t xml:space="preserve">1.243.418 </w:t>
            </w:r>
          </w:p>
        </w:tc>
        <w:tc>
          <w:tcPr>
            <w:tcW w:w="1540" w:type="dxa"/>
            <w:tcBorders>
              <w:top w:val="nil"/>
              <w:left w:val="nil"/>
              <w:bottom w:val="nil"/>
              <w:right w:val="nil"/>
            </w:tcBorders>
            <w:shd w:val="clear" w:color="000000" w:fill="FFFFFF"/>
            <w:noWrap/>
            <w:vAlign w:val="bottom"/>
            <w:hideMark/>
          </w:tcPr>
          <w:p w14:paraId="711498F8" w14:textId="77777777" w:rsidR="008F16FC" w:rsidRPr="008F16FC" w:rsidRDefault="008F16FC" w:rsidP="008F16FC">
            <w:pPr>
              <w:jc w:val="right"/>
              <w:rPr>
                <w:sz w:val="20"/>
                <w:szCs w:val="20"/>
              </w:rPr>
            </w:pPr>
            <w:r w:rsidRPr="008F16FC">
              <w:rPr>
                <w:sz w:val="20"/>
                <w:szCs w:val="20"/>
              </w:rPr>
              <w:t xml:space="preserve">239.176 </w:t>
            </w:r>
          </w:p>
        </w:tc>
      </w:tr>
      <w:tr w:rsidR="00AE6F90" w:rsidRPr="008F16FC" w14:paraId="752F20DF" w14:textId="77777777" w:rsidTr="008F16FC">
        <w:trPr>
          <w:trHeight w:val="270"/>
        </w:trPr>
        <w:tc>
          <w:tcPr>
            <w:tcW w:w="6520" w:type="dxa"/>
            <w:gridSpan w:val="2"/>
            <w:tcBorders>
              <w:top w:val="nil"/>
              <w:left w:val="nil"/>
              <w:bottom w:val="nil"/>
              <w:right w:val="nil"/>
            </w:tcBorders>
            <w:shd w:val="clear" w:color="000000" w:fill="FFFFFF"/>
            <w:noWrap/>
            <w:vAlign w:val="bottom"/>
            <w:hideMark/>
          </w:tcPr>
          <w:p w14:paraId="54B166C4" w14:textId="77777777" w:rsidR="008F16FC" w:rsidRPr="008F16FC" w:rsidRDefault="008F16FC" w:rsidP="008F16FC">
            <w:pPr>
              <w:rPr>
                <w:b/>
                <w:bCs/>
                <w:i/>
                <w:iCs/>
                <w:sz w:val="20"/>
                <w:szCs w:val="20"/>
                <w:lang w:val="es-ES"/>
              </w:rPr>
            </w:pPr>
            <w:r w:rsidRPr="008F16FC">
              <w:rPr>
                <w:b/>
                <w:bCs/>
                <w:i/>
                <w:iCs/>
                <w:sz w:val="20"/>
                <w:szCs w:val="20"/>
                <w:lang w:val="es-ES"/>
              </w:rPr>
              <w:t>Efectivo al final del ejercicio</w:t>
            </w:r>
          </w:p>
        </w:tc>
        <w:tc>
          <w:tcPr>
            <w:tcW w:w="1540" w:type="dxa"/>
            <w:tcBorders>
              <w:top w:val="single" w:sz="4" w:space="0" w:color="auto"/>
              <w:left w:val="nil"/>
              <w:bottom w:val="double" w:sz="6" w:space="0" w:color="auto"/>
              <w:right w:val="nil"/>
            </w:tcBorders>
            <w:shd w:val="clear" w:color="000000" w:fill="FFFFFF"/>
            <w:noWrap/>
            <w:vAlign w:val="bottom"/>
            <w:hideMark/>
          </w:tcPr>
          <w:p w14:paraId="34C04CF6" w14:textId="77777777" w:rsidR="008F16FC" w:rsidRPr="008F16FC" w:rsidRDefault="008F16FC" w:rsidP="008F16FC">
            <w:pPr>
              <w:jc w:val="right"/>
              <w:rPr>
                <w:b/>
                <w:bCs/>
                <w:sz w:val="20"/>
                <w:szCs w:val="20"/>
              </w:rPr>
            </w:pPr>
            <w:r w:rsidRPr="008F16FC">
              <w:rPr>
                <w:b/>
                <w:bCs/>
                <w:sz w:val="20"/>
                <w:szCs w:val="20"/>
              </w:rPr>
              <w:t xml:space="preserve">1.371.553 </w:t>
            </w:r>
          </w:p>
        </w:tc>
        <w:tc>
          <w:tcPr>
            <w:tcW w:w="1540" w:type="dxa"/>
            <w:tcBorders>
              <w:top w:val="single" w:sz="4" w:space="0" w:color="auto"/>
              <w:left w:val="nil"/>
              <w:bottom w:val="double" w:sz="6" w:space="0" w:color="auto"/>
              <w:right w:val="nil"/>
            </w:tcBorders>
            <w:shd w:val="clear" w:color="000000" w:fill="FFFFFF"/>
            <w:noWrap/>
            <w:vAlign w:val="bottom"/>
            <w:hideMark/>
          </w:tcPr>
          <w:p w14:paraId="50555873" w14:textId="77777777" w:rsidR="008F16FC" w:rsidRPr="008F16FC" w:rsidRDefault="008F16FC" w:rsidP="008F16FC">
            <w:pPr>
              <w:jc w:val="right"/>
              <w:rPr>
                <w:b/>
                <w:bCs/>
                <w:sz w:val="20"/>
                <w:szCs w:val="20"/>
              </w:rPr>
            </w:pPr>
            <w:r w:rsidRPr="008F16FC">
              <w:rPr>
                <w:b/>
                <w:bCs/>
                <w:sz w:val="20"/>
                <w:szCs w:val="20"/>
              </w:rPr>
              <w:t xml:space="preserve">1.243.418 </w:t>
            </w:r>
          </w:p>
        </w:tc>
      </w:tr>
    </w:tbl>
    <w:p w14:paraId="2C0CF6D6" w14:textId="77777777" w:rsidR="008F16FC" w:rsidRPr="008F16FC" w:rsidRDefault="008F16FC" w:rsidP="008F16FC">
      <w:pPr>
        <w:jc w:val="both"/>
        <w:rPr>
          <w:rFonts w:eastAsia="Calibri"/>
          <w:sz w:val="20"/>
          <w:szCs w:val="20"/>
          <w:lang w:val="es-MX"/>
        </w:rPr>
      </w:pPr>
    </w:p>
    <w:p w14:paraId="086631E8" w14:textId="77777777" w:rsidR="008F16FC" w:rsidRPr="008F16FC" w:rsidRDefault="008F16FC" w:rsidP="008F16FC">
      <w:pPr>
        <w:jc w:val="both"/>
        <w:rPr>
          <w:rFonts w:eastAsia="Calibri"/>
          <w:sz w:val="20"/>
          <w:szCs w:val="20"/>
          <w:lang w:val="es-MX"/>
        </w:rPr>
      </w:pPr>
      <w:r w:rsidRPr="008F16FC">
        <w:rPr>
          <w:rFonts w:eastAsia="Calibri"/>
          <w:sz w:val="20"/>
          <w:szCs w:val="20"/>
          <w:lang w:val="es-MX"/>
        </w:rPr>
        <w:t>Se detalla a continuación un resumen de la generación o aplicación de fondos del ejercicio económico anual finalizado el 30 de junio de 2017 (expresados en miles de Pesos):</w:t>
      </w:r>
    </w:p>
    <w:p w14:paraId="539553AB" w14:textId="77777777" w:rsidR="008F16FC" w:rsidRPr="008F16FC" w:rsidRDefault="008F16FC" w:rsidP="008F16FC">
      <w:pPr>
        <w:jc w:val="both"/>
        <w:rPr>
          <w:rFonts w:eastAsia="Calibri"/>
          <w:sz w:val="20"/>
          <w:szCs w:val="20"/>
          <w:lang w:val="es-MX"/>
        </w:rPr>
      </w:pPr>
    </w:p>
    <w:p w14:paraId="22B79E6A" w14:textId="77777777" w:rsidR="008F16FC" w:rsidRPr="008F16FC" w:rsidRDefault="008F16FC" w:rsidP="008F16FC">
      <w:pPr>
        <w:jc w:val="both"/>
        <w:rPr>
          <w:rFonts w:eastAsia="Calibri"/>
          <w:b/>
          <w:bCs/>
          <w:sz w:val="20"/>
          <w:szCs w:val="20"/>
          <w:lang w:val="es-MX"/>
        </w:rPr>
      </w:pPr>
      <w:r w:rsidRPr="008F16FC">
        <w:rPr>
          <w:rFonts w:eastAsia="Calibri"/>
          <w:b/>
          <w:bCs/>
          <w:sz w:val="20"/>
          <w:szCs w:val="20"/>
          <w:lang w:val="es-MX"/>
        </w:rPr>
        <w:t>Generación o aplicación de fondos*</w:t>
      </w:r>
    </w:p>
    <w:p w14:paraId="7945136F" w14:textId="77777777" w:rsidR="008F16FC" w:rsidRPr="008F16FC" w:rsidRDefault="008F16FC" w:rsidP="008F16FC">
      <w:pPr>
        <w:tabs>
          <w:tab w:val="left" w:pos="7371"/>
        </w:tabs>
        <w:spacing w:line="240" w:lineRule="atLeast"/>
        <w:jc w:val="both"/>
        <w:outlineLvl w:val="0"/>
        <w:rPr>
          <w:rFonts w:eastAsia="Calibri"/>
          <w:sz w:val="20"/>
          <w:szCs w:val="20"/>
          <w:lang w:val="es-MX"/>
        </w:rPr>
      </w:pPr>
    </w:p>
    <w:tbl>
      <w:tblPr>
        <w:tblW w:w="8160" w:type="dxa"/>
        <w:tblInd w:w="55" w:type="dxa"/>
        <w:tblCellMar>
          <w:left w:w="70" w:type="dxa"/>
          <w:right w:w="70" w:type="dxa"/>
        </w:tblCellMar>
        <w:tblLook w:val="04A0" w:firstRow="1" w:lastRow="0" w:firstColumn="1" w:lastColumn="0" w:noHBand="0" w:noVBand="1"/>
      </w:tblPr>
      <w:tblGrid>
        <w:gridCol w:w="1200"/>
        <w:gridCol w:w="5120"/>
        <w:gridCol w:w="1840"/>
      </w:tblGrid>
      <w:tr w:rsidR="008F16FC" w:rsidRPr="008F16FC" w14:paraId="2267F6DC" w14:textId="77777777" w:rsidTr="00BA304B">
        <w:trPr>
          <w:trHeight w:val="300"/>
        </w:trPr>
        <w:tc>
          <w:tcPr>
            <w:tcW w:w="6320" w:type="dxa"/>
            <w:gridSpan w:val="2"/>
            <w:tcBorders>
              <w:top w:val="nil"/>
              <w:left w:val="nil"/>
              <w:bottom w:val="nil"/>
              <w:right w:val="nil"/>
            </w:tcBorders>
            <w:shd w:val="clear" w:color="auto" w:fill="auto"/>
            <w:noWrap/>
            <w:vAlign w:val="bottom"/>
            <w:hideMark/>
          </w:tcPr>
          <w:p w14:paraId="6A077BBD" w14:textId="77777777" w:rsidR="008F16FC" w:rsidRPr="008F16FC" w:rsidRDefault="008F16FC" w:rsidP="008F16FC">
            <w:pPr>
              <w:rPr>
                <w:b/>
                <w:bCs/>
                <w:sz w:val="20"/>
                <w:szCs w:val="20"/>
                <w:u w:val="single"/>
                <w:lang w:val="es-ES"/>
              </w:rPr>
            </w:pPr>
            <w:r w:rsidRPr="008F16FC">
              <w:rPr>
                <w:b/>
                <w:bCs/>
                <w:sz w:val="20"/>
                <w:szCs w:val="20"/>
                <w:u w:val="single"/>
                <w:lang w:val="es-ES"/>
              </w:rPr>
              <w:t>Flujo de efectivo por las actividades de operación</w:t>
            </w:r>
          </w:p>
        </w:tc>
        <w:tc>
          <w:tcPr>
            <w:tcW w:w="1840" w:type="dxa"/>
            <w:tcBorders>
              <w:top w:val="nil"/>
              <w:left w:val="nil"/>
              <w:bottom w:val="single" w:sz="4" w:space="0" w:color="auto"/>
              <w:right w:val="nil"/>
            </w:tcBorders>
            <w:shd w:val="clear" w:color="auto" w:fill="auto"/>
            <w:noWrap/>
            <w:vAlign w:val="bottom"/>
            <w:hideMark/>
          </w:tcPr>
          <w:p w14:paraId="3C22E996" w14:textId="77777777" w:rsidR="008F16FC" w:rsidRPr="008F16FC" w:rsidRDefault="008F16FC" w:rsidP="008F16FC">
            <w:pPr>
              <w:jc w:val="center"/>
              <w:rPr>
                <w:b/>
                <w:bCs/>
                <w:sz w:val="20"/>
                <w:szCs w:val="20"/>
              </w:rPr>
            </w:pPr>
            <w:r w:rsidRPr="008F16FC">
              <w:rPr>
                <w:b/>
                <w:bCs/>
                <w:sz w:val="20"/>
                <w:szCs w:val="20"/>
              </w:rPr>
              <w:t>30/06/2017</w:t>
            </w:r>
          </w:p>
        </w:tc>
      </w:tr>
      <w:tr w:rsidR="008F16FC" w:rsidRPr="008F16FC" w14:paraId="7EEC4CE9" w14:textId="77777777" w:rsidTr="00BA304B">
        <w:trPr>
          <w:trHeight w:val="300"/>
        </w:trPr>
        <w:tc>
          <w:tcPr>
            <w:tcW w:w="1200" w:type="dxa"/>
            <w:tcBorders>
              <w:top w:val="nil"/>
              <w:left w:val="nil"/>
              <w:bottom w:val="nil"/>
              <w:right w:val="nil"/>
            </w:tcBorders>
            <w:shd w:val="clear" w:color="auto" w:fill="auto"/>
            <w:noWrap/>
            <w:vAlign w:val="bottom"/>
            <w:hideMark/>
          </w:tcPr>
          <w:p w14:paraId="097627D2" w14:textId="77777777" w:rsidR="008F16FC" w:rsidRPr="008F16FC" w:rsidRDefault="008F16FC" w:rsidP="008F16FC">
            <w:pPr>
              <w:rPr>
                <w:sz w:val="20"/>
                <w:szCs w:val="20"/>
              </w:rPr>
            </w:pPr>
          </w:p>
        </w:tc>
        <w:tc>
          <w:tcPr>
            <w:tcW w:w="5120" w:type="dxa"/>
            <w:tcBorders>
              <w:top w:val="nil"/>
              <w:left w:val="nil"/>
              <w:bottom w:val="nil"/>
              <w:right w:val="nil"/>
            </w:tcBorders>
            <w:shd w:val="clear" w:color="auto" w:fill="auto"/>
            <w:noWrap/>
            <w:vAlign w:val="bottom"/>
            <w:hideMark/>
          </w:tcPr>
          <w:p w14:paraId="14E26B39" w14:textId="77777777" w:rsidR="008F16FC" w:rsidRPr="008F16FC" w:rsidRDefault="008F16FC" w:rsidP="008F16FC">
            <w:pPr>
              <w:rPr>
                <w:sz w:val="20"/>
                <w:szCs w:val="20"/>
              </w:rPr>
            </w:pPr>
            <w:r w:rsidRPr="008F16FC">
              <w:rPr>
                <w:sz w:val="20"/>
                <w:szCs w:val="20"/>
              </w:rPr>
              <w:t>Ganancia del ejercicio</w:t>
            </w:r>
          </w:p>
        </w:tc>
        <w:tc>
          <w:tcPr>
            <w:tcW w:w="1840" w:type="dxa"/>
            <w:tcBorders>
              <w:top w:val="nil"/>
              <w:left w:val="nil"/>
              <w:bottom w:val="nil"/>
              <w:right w:val="nil"/>
            </w:tcBorders>
            <w:shd w:val="clear" w:color="auto" w:fill="auto"/>
            <w:noWrap/>
            <w:vAlign w:val="bottom"/>
            <w:hideMark/>
          </w:tcPr>
          <w:p w14:paraId="4D382B92" w14:textId="77777777" w:rsidR="008F16FC" w:rsidRPr="008F16FC" w:rsidRDefault="008F16FC" w:rsidP="008F16FC">
            <w:pPr>
              <w:jc w:val="right"/>
              <w:rPr>
                <w:sz w:val="20"/>
                <w:szCs w:val="20"/>
              </w:rPr>
            </w:pPr>
            <w:r w:rsidRPr="008F16FC">
              <w:rPr>
                <w:sz w:val="20"/>
                <w:szCs w:val="20"/>
              </w:rPr>
              <w:t xml:space="preserve">25.038 </w:t>
            </w:r>
          </w:p>
        </w:tc>
      </w:tr>
      <w:tr w:rsidR="008F16FC" w:rsidRPr="008F16FC" w14:paraId="0FA81572" w14:textId="77777777" w:rsidTr="00BA304B">
        <w:trPr>
          <w:trHeight w:val="300"/>
        </w:trPr>
        <w:tc>
          <w:tcPr>
            <w:tcW w:w="1200" w:type="dxa"/>
            <w:tcBorders>
              <w:top w:val="nil"/>
              <w:left w:val="nil"/>
              <w:bottom w:val="nil"/>
              <w:right w:val="nil"/>
            </w:tcBorders>
            <w:shd w:val="clear" w:color="auto" w:fill="auto"/>
            <w:noWrap/>
            <w:vAlign w:val="bottom"/>
            <w:hideMark/>
          </w:tcPr>
          <w:p w14:paraId="4A4F94C8" w14:textId="77777777" w:rsidR="008F16FC" w:rsidRPr="008F16FC" w:rsidRDefault="008F16FC" w:rsidP="008F16FC">
            <w:pPr>
              <w:rPr>
                <w:sz w:val="20"/>
                <w:szCs w:val="20"/>
              </w:rPr>
            </w:pPr>
          </w:p>
        </w:tc>
        <w:tc>
          <w:tcPr>
            <w:tcW w:w="5120" w:type="dxa"/>
            <w:tcBorders>
              <w:top w:val="nil"/>
              <w:left w:val="nil"/>
              <w:bottom w:val="nil"/>
              <w:right w:val="nil"/>
            </w:tcBorders>
            <w:shd w:val="clear" w:color="auto" w:fill="auto"/>
            <w:noWrap/>
            <w:vAlign w:val="bottom"/>
            <w:hideMark/>
          </w:tcPr>
          <w:p w14:paraId="6A0BAC86" w14:textId="77777777" w:rsidR="008F16FC" w:rsidRPr="008F16FC" w:rsidRDefault="008F16FC" w:rsidP="008F16FC">
            <w:pPr>
              <w:rPr>
                <w:sz w:val="20"/>
                <w:szCs w:val="20"/>
              </w:rPr>
            </w:pPr>
            <w:r w:rsidRPr="008F16FC">
              <w:rPr>
                <w:sz w:val="20"/>
                <w:szCs w:val="20"/>
              </w:rPr>
              <w:t xml:space="preserve">Impuestos a las ganancias </w:t>
            </w:r>
          </w:p>
        </w:tc>
        <w:tc>
          <w:tcPr>
            <w:tcW w:w="1840" w:type="dxa"/>
            <w:tcBorders>
              <w:top w:val="nil"/>
              <w:left w:val="nil"/>
              <w:bottom w:val="nil"/>
              <w:right w:val="nil"/>
            </w:tcBorders>
            <w:shd w:val="clear" w:color="auto" w:fill="auto"/>
            <w:noWrap/>
            <w:vAlign w:val="bottom"/>
            <w:hideMark/>
          </w:tcPr>
          <w:p w14:paraId="5CE671C9" w14:textId="77777777" w:rsidR="008F16FC" w:rsidRPr="008F16FC" w:rsidRDefault="008F16FC" w:rsidP="008F16FC">
            <w:pPr>
              <w:jc w:val="right"/>
              <w:rPr>
                <w:sz w:val="20"/>
                <w:szCs w:val="20"/>
              </w:rPr>
            </w:pPr>
            <w:r w:rsidRPr="008F16FC">
              <w:rPr>
                <w:sz w:val="20"/>
                <w:szCs w:val="20"/>
              </w:rPr>
              <w:t xml:space="preserve">7.217 </w:t>
            </w:r>
          </w:p>
        </w:tc>
      </w:tr>
      <w:tr w:rsidR="008F16FC" w:rsidRPr="00512442" w14:paraId="3B5E6313" w14:textId="77777777" w:rsidTr="00BA304B">
        <w:trPr>
          <w:trHeight w:val="300"/>
        </w:trPr>
        <w:tc>
          <w:tcPr>
            <w:tcW w:w="6320" w:type="dxa"/>
            <w:gridSpan w:val="2"/>
            <w:tcBorders>
              <w:top w:val="nil"/>
              <w:left w:val="nil"/>
              <w:bottom w:val="nil"/>
              <w:right w:val="nil"/>
            </w:tcBorders>
            <w:shd w:val="clear" w:color="auto" w:fill="auto"/>
            <w:noWrap/>
            <w:vAlign w:val="bottom"/>
            <w:hideMark/>
          </w:tcPr>
          <w:p w14:paraId="3E4B7FB2" w14:textId="77777777" w:rsidR="008F16FC" w:rsidRPr="008F16FC" w:rsidRDefault="008F16FC" w:rsidP="008F16FC">
            <w:pPr>
              <w:rPr>
                <w:b/>
                <w:bCs/>
                <w:sz w:val="20"/>
                <w:szCs w:val="20"/>
                <w:lang w:val="es-ES"/>
              </w:rPr>
            </w:pPr>
            <w:r w:rsidRPr="008F16FC">
              <w:rPr>
                <w:b/>
                <w:bCs/>
                <w:sz w:val="20"/>
                <w:szCs w:val="20"/>
                <w:lang w:val="es-ES"/>
              </w:rPr>
              <w:t>Ajustes para conciliar el flujo de efectivo operativo</w:t>
            </w:r>
          </w:p>
        </w:tc>
        <w:tc>
          <w:tcPr>
            <w:tcW w:w="1840" w:type="dxa"/>
            <w:tcBorders>
              <w:top w:val="nil"/>
              <w:left w:val="nil"/>
              <w:bottom w:val="nil"/>
              <w:right w:val="nil"/>
            </w:tcBorders>
            <w:shd w:val="clear" w:color="auto" w:fill="auto"/>
            <w:noWrap/>
            <w:vAlign w:val="bottom"/>
            <w:hideMark/>
          </w:tcPr>
          <w:p w14:paraId="716E9BDD" w14:textId="77777777" w:rsidR="008F16FC" w:rsidRPr="008F16FC" w:rsidRDefault="008F16FC" w:rsidP="008F16FC">
            <w:pPr>
              <w:rPr>
                <w:sz w:val="20"/>
                <w:szCs w:val="20"/>
                <w:lang w:val="es-ES"/>
              </w:rPr>
            </w:pPr>
          </w:p>
        </w:tc>
      </w:tr>
      <w:tr w:rsidR="008F16FC" w:rsidRPr="008F16FC" w14:paraId="23440C89" w14:textId="77777777" w:rsidTr="00BA304B">
        <w:trPr>
          <w:trHeight w:val="300"/>
        </w:trPr>
        <w:tc>
          <w:tcPr>
            <w:tcW w:w="1200" w:type="dxa"/>
            <w:tcBorders>
              <w:top w:val="nil"/>
              <w:left w:val="nil"/>
              <w:bottom w:val="nil"/>
              <w:right w:val="nil"/>
            </w:tcBorders>
            <w:shd w:val="clear" w:color="auto" w:fill="auto"/>
            <w:noWrap/>
            <w:vAlign w:val="bottom"/>
            <w:hideMark/>
          </w:tcPr>
          <w:p w14:paraId="2F0B980F" w14:textId="77777777" w:rsidR="008F16FC" w:rsidRPr="008F16FC" w:rsidRDefault="008F16FC" w:rsidP="008F16FC">
            <w:pPr>
              <w:rPr>
                <w:sz w:val="20"/>
                <w:szCs w:val="20"/>
                <w:lang w:val="es-ES"/>
              </w:rPr>
            </w:pPr>
          </w:p>
        </w:tc>
        <w:tc>
          <w:tcPr>
            <w:tcW w:w="5120" w:type="dxa"/>
            <w:tcBorders>
              <w:top w:val="nil"/>
              <w:left w:val="nil"/>
              <w:bottom w:val="nil"/>
              <w:right w:val="nil"/>
            </w:tcBorders>
            <w:shd w:val="clear" w:color="auto" w:fill="auto"/>
            <w:noWrap/>
            <w:vAlign w:val="bottom"/>
            <w:hideMark/>
          </w:tcPr>
          <w:p w14:paraId="6AD54E37" w14:textId="77777777" w:rsidR="008F16FC" w:rsidRPr="008F16FC" w:rsidRDefault="008F16FC" w:rsidP="008F16FC">
            <w:pPr>
              <w:rPr>
                <w:sz w:val="20"/>
                <w:szCs w:val="20"/>
                <w:lang w:val="es-ES"/>
              </w:rPr>
            </w:pPr>
            <w:r w:rsidRPr="008F16FC">
              <w:rPr>
                <w:sz w:val="20"/>
                <w:szCs w:val="20"/>
                <w:lang w:val="es-ES"/>
              </w:rPr>
              <w:t>Depreciación de propiedades, planta y equipo</w:t>
            </w:r>
          </w:p>
        </w:tc>
        <w:tc>
          <w:tcPr>
            <w:tcW w:w="1840" w:type="dxa"/>
            <w:tcBorders>
              <w:top w:val="nil"/>
              <w:left w:val="nil"/>
              <w:bottom w:val="nil"/>
              <w:right w:val="nil"/>
            </w:tcBorders>
            <w:shd w:val="clear" w:color="auto" w:fill="auto"/>
            <w:noWrap/>
            <w:vAlign w:val="bottom"/>
            <w:hideMark/>
          </w:tcPr>
          <w:p w14:paraId="14267ADC" w14:textId="77777777" w:rsidR="008F16FC" w:rsidRPr="008F16FC" w:rsidRDefault="008F16FC" w:rsidP="008F16FC">
            <w:pPr>
              <w:jc w:val="right"/>
              <w:rPr>
                <w:sz w:val="20"/>
                <w:szCs w:val="20"/>
              </w:rPr>
            </w:pPr>
            <w:r w:rsidRPr="008F16FC">
              <w:rPr>
                <w:sz w:val="20"/>
                <w:szCs w:val="20"/>
              </w:rPr>
              <w:t xml:space="preserve">51.064 </w:t>
            </w:r>
          </w:p>
        </w:tc>
      </w:tr>
      <w:tr w:rsidR="008F16FC" w:rsidRPr="008F16FC" w14:paraId="70742981" w14:textId="77777777" w:rsidTr="00BA304B">
        <w:trPr>
          <w:trHeight w:val="300"/>
        </w:trPr>
        <w:tc>
          <w:tcPr>
            <w:tcW w:w="1200" w:type="dxa"/>
            <w:tcBorders>
              <w:top w:val="nil"/>
              <w:left w:val="nil"/>
              <w:bottom w:val="nil"/>
              <w:right w:val="nil"/>
            </w:tcBorders>
            <w:shd w:val="clear" w:color="auto" w:fill="auto"/>
            <w:noWrap/>
            <w:vAlign w:val="bottom"/>
            <w:hideMark/>
          </w:tcPr>
          <w:p w14:paraId="04A1A99B" w14:textId="77777777" w:rsidR="008F16FC" w:rsidRPr="008F16FC" w:rsidRDefault="008F16FC" w:rsidP="008F16FC">
            <w:pPr>
              <w:rPr>
                <w:sz w:val="20"/>
                <w:szCs w:val="20"/>
              </w:rPr>
            </w:pPr>
          </w:p>
        </w:tc>
        <w:tc>
          <w:tcPr>
            <w:tcW w:w="5120" w:type="dxa"/>
            <w:tcBorders>
              <w:top w:val="nil"/>
              <w:left w:val="nil"/>
              <w:bottom w:val="nil"/>
              <w:right w:val="nil"/>
            </w:tcBorders>
            <w:shd w:val="clear" w:color="auto" w:fill="auto"/>
            <w:noWrap/>
            <w:vAlign w:val="bottom"/>
            <w:hideMark/>
          </w:tcPr>
          <w:p w14:paraId="48F45DE0" w14:textId="77777777" w:rsidR="008F16FC" w:rsidRPr="008F16FC" w:rsidRDefault="008F16FC" w:rsidP="008F16FC">
            <w:pPr>
              <w:rPr>
                <w:sz w:val="20"/>
                <w:szCs w:val="20"/>
              </w:rPr>
            </w:pPr>
            <w:r w:rsidRPr="008F16FC">
              <w:rPr>
                <w:sz w:val="20"/>
                <w:szCs w:val="20"/>
              </w:rPr>
              <w:t>Depreciación propiedades de inversión</w:t>
            </w:r>
          </w:p>
        </w:tc>
        <w:tc>
          <w:tcPr>
            <w:tcW w:w="1840" w:type="dxa"/>
            <w:tcBorders>
              <w:top w:val="nil"/>
              <w:left w:val="nil"/>
              <w:bottom w:val="nil"/>
              <w:right w:val="nil"/>
            </w:tcBorders>
            <w:shd w:val="clear" w:color="auto" w:fill="auto"/>
            <w:noWrap/>
            <w:vAlign w:val="bottom"/>
            <w:hideMark/>
          </w:tcPr>
          <w:p w14:paraId="61C2278D" w14:textId="77777777" w:rsidR="008F16FC" w:rsidRPr="008F16FC" w:rsidRDefault="008F16FC" w:rsidP="008F16FC">
            <w:pPr>
              <w:jc w:val="right"/>
              <w:rPr>
                <w:sz w:val="20"/>
                <w:szCs w:val="20"/>
              </w:rPr>
            </w:pPr>
            <w:r w:rsidRPr="008F16FC">
              <w:rPr>
                <w:sz w:val="20"/>
                <w:szCs w:val="20"/>
              </w:rPr>
              <w:t xml:space="preserve">0 </w:t>
            </w:r>
          </w:p>
        </w:tc>
      </w:tr>
      <w:tr w:rsidR="008F16FC" w:rsidRPr="008F16FC" w14:paraId="255E84BC" w14:textId="77777777" w:rsidTr="00BA304B">
        <w:trPr>
          <w:trHeight w:val="300"/>
        </w:trPr>
        <w:tc>
          <w:tcPr>
            <w:tcW w:w="1200" w:type="dxa"/>
            <w:tcBorders>
              <w:top w:val="nil"/>
              <w:left w:val="nil"/>
              <w:bottom w:val="nil"/>
              <w:right w:val="nil"/>
            </w:tcBorders>
            <w:shd w:val="clear" w:color="auto" w:fill="auto"/>
            <w:noWrap/>
            <w:vAlign w:val="bottom"/>
            <w:hideMark/>
          </w:tcPr>
          <w:p w14:paraId="33693F89" w14:textId="77777777" w:rsidR="008F16FC" w:rsidRPr="008F16FC" w:rsidRDefault="008F16FC" w:rsidP="008F16FC">
            <w:pPr>
              <w:rPr>
                <w:sz w:val="20"/>
                <w:szCs w:val="20"/>
              </w:rPr>
            </w:pPr>
          </w:p>
        </w:tc>
        <w:tc>
          <w:tcPr>
            <w:tcW w:w="5120" w:type="dxa"/>
            <w:tcBorders>
              <w:top w:val="nil"/>
              <w:left w:val="nil"/>
              <w:bottom w:val="nil"/>
              <w:right w:val="nil"/>
            </w:tcBorders>
            <w:shd w:val="clear" w:color="auto" w:fill="auto"/>
            <w:noWrap/>
            <w:vAlign w:val="bottom"/>
            <w:hideMark/>
          </w:tcPr>
          <w:p w14:paraId="67B74668" w14:textId="77777777" w:rsidR="008F16FC" w:rsidRPr="008F16FC" w:rsidRDefault="008F16FC" w:rsidP="008F16FC">
            <w:pPr>
              <w:rPr>
                <w:sz w:val="20"/>
                <w:szCs w:val="20"/>
              </w:rPr>
            </w:pPr>
            <w:r w:rsidRPr="008F16FC">
              <w:rPr>
                <w:sz w:val="20"/>
                <w:szCs w:val="20"/>
              </w:rPr>
              <w:t>Amortización de activos intangibles</w:t>
            </w:r>
          </w:p>
        </w:tc>
        <w:tc>
          <w:tcPr>
            <w:tcW w:w="1840" w:type="dxa"/>
            <w:tcBorders>
              <w:top w:val="nil"/>
              <w:left w:val="nil"/>
              <w:bottom w:val="nil"/>
              <w:right w:val="nil"/>
            </w:tcBorders>
            <w:shd w:val="clear" w:color="auto" w:fill="auto"/>
            <w:noWrap/>
            <w:vAlign w:val="bottom"/>
            <w:hideMark/>
          </w:tcPr>
          <w:p w14:paraId="7D14E33D" w14:textId="77777777" w:rsidR="008F16FC" w:rsidRPr="008F16FC" w:rsidRDefault="008F16FC" w:rsidP="008F16FC">
            <w:pPr>
              <w:jc w:val="right"/>
              <w:rPr>
                <w:sz w:val="20"/>
                <w:szCs w:val="20"/>
              </w:rPr>
            </w:pPr>
            <w:r w:rsidRPr="008F16FC">
              <w:rPr>
                <w:sz w:val="20"/>
                <w:szCs w:val="20"/>
              </w:rPr>
              <w:t xml:space="preserve">25.146 </w:t>
            </w:r>
          </w:p>
        </w:tc>
      </w:tr>
      <w:tr w:rsidR="008F16FC" w:rsidRPr="008F16FC" w14:paraId="36C1CF64" w14:textId="77777777" w:rsidTr="00BA304B">
        <w:trPr>
          <w:trHeight w:val="300"/>
        </w:trPr>
        <w:tc>
          <w:tcPr>
            <w:tcW w:w="1200" w:type="dxa"/>
            <w:tcBorders>
              <w:top w:val="nil"/>
              <w:left w:val="nil"/>
              <w:bottom w:val="nil"/>
              <w:right w:val="nil"/>
            </w:tcBorders>
            <w:shd w:val="clear" w:color="auto" w:fill="auto"/>
            <w:noWrap/>
            <w:vAlign w:val="bottom"/>
            <w:hideMark/>
          </w:tcPr>
          <w:p w14:paraId="3616F797" w14:textId="77777777" w:rsidR="008F16FC" w:rsidRPr="008F16FC" w:rsidRDefault="008F16FC" w:rsidP="008F16FC">
            <w:pPr>
              <w:rPr>
                <w:sz w:val="20"/>
                <w:szCs w:val="20"/>
              </w:rPr>
            </w:pPr>
          </w:p>
        </w:tc>
        <w:tc>
          <w:tcPr>
            <w:tcW w:w="5120" w:type="dxa"/>
            <w:tcBorders>
              <w:top w:val="nil"/>
              <w:left w:val="nil"/>
              <w:bottom w:val="nil"/>
              <w:right w:val="nil"/>
            </w:tcBorders>
            <w:shd w:val="clear" w:color="auto" w:fill="auto"/>
            <w:noWrap/>
            <w:vAlign w:val="bottom"/>
            <w:hideMark/>
          </w:tcPr>
          <w:p w14:paraId="2A2526C9" w14:textId="77777777" w:rsidR="008F16FC" w:rsidRPr="008F16FC" w:rsidRDefault="008F16FC" w:rsidP="008F16FC">
            <w:pPr>
              <w:rPr>
                <w:sz w:val="20"/>
                <w:szCs w:val="20"/>
                <w:lang w:val="es-ES"/>
              </w:rPr>
            </w:pPr>
            <w:r w:rsidRPr="008F16FC">
              <w:rPr>
                <w:sz w:val="20"/>
                <w:szCs w:val="20"/>
                <w:lang w:val="es-ES"/>
              </w:rPr>
              <w:t>Resultado por participación en asociadas</w:t>
            </w:r>
          </w:p>
        </w:tc>
        <w:tc>
          <w:tcPr>
            <w:tcW w:w="1840" w:type="dxa"/>
            <w:tcBorders>
              <w:top w:val="nil"/>
              <w:left w:val="nil"/>
              <w:bottom w:val="nil"/>
              <w:right w:val="nil"/>
            </w:tcBorders>
            <w:shd w:val="clear" w:color="auto" w:fill="auto"/>
            <w:noWrap/>
            <w:vAlign w:val="bottom"/>
            <w:hideMark/>
          </w:tcPr>
          <w:p w14:paraId="6E4DB912" w14:textId="77777777" w:rsidR="008F16FC" w:rsidRPr="008F16FC" w:rsidRDefault="008F16FC" w:rsidP="008F16FC">
            <w:pPr>
              <w:jc w:val="right"/>
              <w:rPr>
                <w:sz w:val="20"/>
                <w:szCs w:val="20"/>
              </w:rPr>
            </w:pPr>
            <w:r w:rsidRPr="008F16FC">
              <w:rPr>
                <w:sz w:val="20"/>
                <w:szCs w:val="20"/>
              </w:rPr>
              <w:t xml:space="preserve">(7.857) </w:t>
            </w:r>
          </w:p>
        </w:tc>
      </w:tr>
      <w:tr w:rsidR="008F16FC" w:rsidRPr="008F16FC" w14:paraId="1C07284D" w14:textId="77777777" w:rsidTr="00BA304B">
        <w:trPr>
          <w:trHeight w:val="300"/>
        </w:trPr>
        <w:tc>
          <w:tcPr>
            <w:tcW w:w="1200" w:type="dxa"/>
            <w:tcBorders>
              <w:top w:val="nil"/>
              <w:left w:val="nil"/>
              <w:bottom w:val="nil"/>
              <w:right w:val="nil"/>
            </w:tcBorders>
            <w:shd w:val="clear" w:color="auto" w:fill="auto"/>
            <w:noWrap/>
            <w:vAlign w:val="bottom"/>
            <w:hideMark/>
          </w:tcPr>
          <w:p w14:paraId="443DFFE0" w14:textId="77777777" w:rsidR="008F16FC" w:rsidRPr="008F16FC" w:rsidRDefault="008F16FC" w:rsidP="008F16FC">
            <w:pPr>
              <w:rPr>
                <w:sz w:val="20"/>
                <w:szCs w:val="20"/>
              </w:rPr>
            </w:pPr>
          </w:p>
        </w:tc>
        <w:tc>
          <w:tcPr>
            <w:tcW w:w="5120" w:type="dxa"/>
            <w:tcBorders>
              <w:top w:val="nil"/>
              <w:left w:val="nil"/>
              <w:bottom w:val="nil"/>
              <w:right w:val="nil"/>
            </w:tcBorders>
            <w:shd w:val="clear" w:color="auto" w:fill="auto"/>
            <w:noWrap/>
            <w:vAlign w:val="bottom"/>
            <w:hideMark/>
          </w:tcPr>
          <w:p w14:paraId="198E1855" w14:textId="77777777" w:rsidR="008F16FC" w:rsidRPr="008F16FC" w:rsidRDefault="008F16FC" w:rsidP="008F16FC">
            <w:pPr>
              <w:rPr>
                <w:sz w:val="20"/>
                <w:szCs w:val="20"/>
              </w:rPr>
            </w:pPr>
            <w:r w:rsidRPr="008F16FC">
              <w:rPr>
                <w:sz w:val="20"/>
                <w:szCs w:val="20"/>
              </w:rPr>
              <w:t>Efecto diferencia de conversión</w:t>
            </w:r>
          </w:p>
        </w:tc>
        <w:tc>
          <w:tcPr>
            <w:tcW w:w="1840" w:type="dxa"/>
            <w:tcBorders>
              <w:top w:val="nil"/>
              <w:left w:val="nil"/>
              <w:bottom w:val="nil"/>
              <w:right w:val="nil"/>
            </w:tcBorders>
            <w:shd w:val="clear" w:color="auto" w:fill="auto"/>
            <w:noWrap/>
            <w:vAlign w:val="bottom"/>
            <w:hideMark/>
          </w:tcPr>
          <w:p w14:paraId="7B483431" w14:textId="77777777" w:rsidR="008F16FC" w:rsidRPr="008F16FC" w:rsidRDefault="008F16FC" w:rsidP="008F16FC">
            <w:pPr>
              <w:jc w:val="right"/>
              <w:rPr>
                <w:sz w:val="20"/>
                <w:szCs w:val="20"/>
              </w:rPr>
            </w:pPr>
            <w:r w:rsidRPr="008F16FC">
              <w:rPr>
                <w:sz w:val="20"/>
                <w:szCs w:val="20"/>
              </w:rPr>
              <w:t xml:space="preserve">(5.297) </w:t>
            </w:r>
          </w:p>
        </w:tc>
      </w:tr>
      <w:tr w:rsidR="008F16FC" w:rsidRPr="008F16FC" w14:paraId="34C37078" w14:textId="77777777" w:rsidTr="00BA304B">
        <w:trPr>
          <w:trHeight w:val="300"/>
        </w:trPr>
        <w:tc>
          <w:tcPr>
            <w:tcW w:w="1200" w:type="dxa"/>
            <w:tcBorders>
              <w:top w:val="nil"/>
              <w:left w:val="nil"/>
              <w:bottom w:val="nil"/>
              <w:right w:val="nil"/>
            </w:tcBorders>
            <w:shd w:val="clear" w:color="auto" w:fill="auto"/>
            <w:noWrap/>
            <w:vAlign w:val="bottom"/>
            <w:hideMark/>
          </w:tcPr>
          <w:p w14:paraId="59A1C60C" w14:textId="77777777" w:rsidR="008F16FC" w:rsidRPr="008F16FC" w:rsidRDefault="008F16FC" w:rsidP="008F16FC">
            <w:pPr>
              <w:rPr>
                <w:sz w:val="20"/>
                <w:szCs w:val="20"/>
              </w:rPr>
            </w:pPr>
          </w:p>
        </w:tc>
        <w:tc>
          <w:tcPr>
            <w:tcW w:w="5120" w:type="dxa"/>
            <w:tcBorders>
              <w:top w:val="nil"/>
              <w:left w:val="nil"/>
              <w:bottom w:val="nil"/>
              <w:right w:val="nil"/>
            </w:tcBorders>
            <w:shd w:val="clear" w:color="auto" w:fill="auto"/>
            <w:noWrap/>
            <w:vAlign w:val="bottom"/>
            <w:hideMark/>
          </w:tcPr>
          <w:p w14:paraId="2E379D6A" w14:textId="77777777" w:rsidR="008F16FC" w:rsidRPr="008F16FC" w:rsidRDefault="008F16FC" w:rsidP="008F16FC">
            <w:pPr>
              <w:rPr>
                <w:sz w:val="20"/>
                <w:szCs w:val="20"/>
              </w:rPr>
            </w:pPr>
            <w:r w:rsidRPr="008F16FC">
              <w:rPr>
                <w:sz w:val="20"/>
                <w:szCs w:val="20"/>
              </w:rPr>
              <w:t>Resultado por intereses devengados</w:t>
            </w:r>
          </w:p>
        </w:tc>
        <w:tc>
          <w:tcPr>
            <w:tcW w:w="1840" w:type="dxa"/>
            <w:tcBorders>
              <w:top w:val="nil"/>
              <w:left w:val="nil"/>
              <w:bottom w:val="nil"/>
              <w:right w:val="nil"/>
            </w:tcBorders>
            <w:shd w:val="clear" w:color="auto" w:fill="auto"/>
            <w:noWrap/>
            <w:vAlign w:val="bottom"/>
            <w:hideMark/>
          </w:tcPr>
          <w:p w14:paraId="269ECA4B" w14:textId="77777777" w:rsidR="008F16FC" w:rsidRPr="008F16FC" w:rsidRDefault="008F16FC" w:rsidP="008F16FC">
            <w:pPr>
              <w:jc w:val="right"/>
              <w:rPr>
                <w:sz w:val="20"/>
                <w:szCs w:val="20"/>
              </w:rPr>
            </w:pPr>
            <w:r w:rsidRPr="008F16FC">
              <w:rPr>
                <w:sz w:val="20"/>
                <w:szCs w:val="20"/>
              </w:rPr>
              <w:t xml:space="preserve">81.901 </w:t>
            </w:r>
          </w:p>
        </w:tc>
      </w:tr>
      <w:tr w:rsidR="008F16FC" w:rsidRPr="008F16FC" w14:paraId="1D21443A" w14:textId="77777777" w:rsidTr="00BA304B">
        <w:trPr>
          <w:trHeight w:val="300"/>
        </w:trPr>
        <w:tc>
          <w:tcPr>
            <w:tcW w:w="1200" w:type="dxa"/>
            <w:tcBorders>
              <w:top w:val="nil"/>
              <w:left w:val="nil"/>
              <w:bottom w:val="nil"/>
              <w:right w:val="nil"/>
            </w:tcBorders>
            <w:shd w:val="clear" w:color="auto" w:fill="auto"/>
            <w:noWrap/>
            <w:vAlign w:val="bottom"/>
            <w:hideMark/>
          </w:tcPr>
          <w:p w14:paraId="48BE8189" w14:textId="77777777" w:rsidR="008F16FC" w:rsidRPr="008F16FC" w:rsidRDefault="008F16FC" w:rsidP="008F16FC">
            <w:pPr>
              <w:rPr>
                <w:sz w:val="20"/>
                <w:szCs w:val="20"/>
              </w:rPr>
            </w:pPr>
          </w:p>
        </w:tc>
        <w:tc>
          <w:tcPr>
            <w:tcW w:w="5120" w:type="dxa"/>
            <w:tcBorders>
              <w:top w:val="nil"/>
              <w:left w:val="nil"/>
              <w:bottom w:val="nil"/>
              <w:right w:val="nil"/>
            </w:tcBorders>
            <w:shd w:val="clear" w:color="auto" w:fill="auto"/>
            <w:noWrap/>
            <w:vAlign w:val="bottom"/>
            <w:hideMark/>
          </w:tcPr>
          <w:p w14:paraId="4F7C4BB8" w14:textId="77777777" w:rsidR="008F16FC" w:rsidRPr="008F16FC" w:rsidRDefault="008F16FC" w:rsidP="008F16FC">
            <w:pPr>
              <w:rPr>
                <w:sz w:val="20"/>
                <w:szCs w:val="20"/>
                <w:lang w:val="es-ES"/>
              </w:rPr>
            </w:pPr>
            <w:r w:rsidRPr="008F16FC">
              <w:rPr>
                <w:sz w:val="20"/>
                <w:szCs w:val="20"/>
                <w:lang w:val="es-ES"/>
              </w:rPr>
              <w:t>Valor residual bajas de propiedades, planta y equipos</w:t>
            </w:r>
          </w:p>
        </w:tc>
        <w:tc>
          <w:tcPr>
            <w:tcW w:w="1840" w:type="dxa"/>
            <w:tcBorders>
              <w:top w:val="nil"/>
              <w:left w:val="nil"/>
              <w:bottom w:val="nil"/>
              <w:right w:val="nil"/>
            </w:tcBorders>
            <w:shd w:val="clear" w:color="auto" w:fill="auto"/>
            <w:noWrap/>
            <w:vAlign w:val="bottom"/>
            <w:hideMark/>
          </w:tcPr>
          <w:p w14:paraId="6E71C1B6" w14:textId="77777777" w:rsidR="008F16FC" w:rsidRPr="008F16FC" w:rsidRDefault="008F16FC" w:rsidP="008F16FC">
            <w:pPr>
              <w:jc w:val="right"/>
              <w:rPr>
                <w:sz w:val="20"/>
                <w:szCs w:val="20"/>
              </w:rPr>
            </w:pPr>
            <w:r w:rsidRPr="008F16FC">
              <w:rPr>
                <w:sz w:val="20"/>
                <w:szCs w:val="20"/>
              </w:rPr>
              <w:t xml:space="preserve">43.332 </w:t>
            </w:r>
          </w:p>
        </w:tc>
      </w:tr>
      <w:tr w:rsidR="008F16FC" w:rsidRPr="008F16FC" w14:paraId="5C0F4082" w14:textId="77777777" w:rsidTr="00BA304B">
        <w:trPr>
          <w:trHeight w:val="300"/>
        </w:trPr>
        <w:tc>
          <w:tcPr>
            <w:tcW w:w="1200" w:type="dxa"/>
            <w:tcBorders>
              <w:top w:val="nil"/>
              <w:left w:val="nil"/>
              <w:bottom w:val="nil"/>
              <w:right w:val="nil"/>
            </w:tcBorders>
            <w:shd w:val="clear" w:color="auto" w:fill="auto"/>
            <w:noWrap/>
            <w:vAlign w:val="bottom"/>
            <w:hideMark/>
          </w:tcPr>
          <w:p w14:paraId="20432822" w14:textId="77777777" w:rsidR="008F16FC" w:rsidRPr="008F16FC" w:rsidRDefault="008F16FC" w:rsidP="008F16FC">
            <w:pPr>
              <w:rPr>
                <w:sz w:val="20"/>
                <w:szCs w:val="20"/>
              </w:rPr>
            </w:pPr>
          </w:p>
        </w:tc>
        <w:tc>
          <w:tcPr>
            <w:tcW w:w="5120" w:type="dxa"/>
            <w:tcBorders>
              <w:top w:val="nil"/>
              <w:left w:val="nil"/>
              <w:bottom w:val="nil"/>
              <w:right w:val="nil"/>
            </w:tcBorders>
            <w:shd w:val="clear" w:color="auto" w:fill="auto"/>
            <w:noWrap/>
            <w:vAlign w:val="bottom"/>
            <w:hideMark/>
          </w:tcPr>
          <w:p w14:paraId="4B6769A2" w14:textId="77777777" w:rsidR="008F16FC" w:rsidRPr="008F16FC" w:rsidRDefault="008F16FC" w:rsidP="008F16FC">
            <w:pPr>
              <w:rPr>
                <w:sz w:val="20"/>
                <w:szCs w:val="20"/>
                <w:lang w:val="es-ES"/>
              </w:rPr>
            </w:pPr>
            <w:r w:rsidRPr="008F16FC">
              <w:rPr>
                <w:sz w:val="20"/>
                <w:szCs w:val="20"/>
                <w:lang w:val="es-ES"/>
              </w:rPr>
              <w:t>Efecto revalúo de propiedades de inversión</w:t>
            </w:r>
          </w:p>
        </w:tc>
        <w:tc>
          <w:tcPr>
            <w:tcW w:w="1840" w:type="dxa"/>
            <w:tcBorders>
              <w:top w:val="nil"/>
              <w:left w:val="nil"/>
              <w:bottom w:val="nil"/>
              <w:right w:val="nil"/>
            </w:tcBorders>
            <w:shd w:val="clear" w:color="auto" w:fill="auto"/>
            <w:noWrap/>
            <w:vAlign w:val="bottom"/>
            <w:hideMark/>
          </w:tcPr>
          <w:p w14:paraId="594C380D" w14:textId="77777777" w:rsidR="008F16FC" w:rsidRPr="008F16FC" w:rsidRDefault="008F16FC" w:rsidP="008F16FC">
            <w:pPr>
              <w:jc w:val="right"/>
              <w:rPr>
                <w:sz w:val="20"/>
                <w:szCs w:val="20"/>
              </w:rPr>
            </w:pPr>
            <w:r w:rsidRPr="008F16FC">
              <w:rPr>
                <w:sz w:val="20"/>
                <w:szCs w:val="20"/>
              </w:rPr>
              <w:t xml:space="preserve">0 </w:t>
            </w:r>
          </w:p>
        </w:tc>
      </w:tr>
      <w:tr w:rsidR="008F16FC" w:rsidRPr="008F16FC" w14:paraId="62C0E4E5" w14:textId="77777777" w:rsidTr="00BA304B">
        <w:trPr>
          <w:trHeight w:val="300"/>
        </w:trPr>
        <w:tc>
          <w:tcPr>
            <w:tcW w:w="1200" w:type="dxa"/>
            <w:tcBorders>
              <w:top w:val="nil"/>
              <w:left w:val="nil"/>
              <w:bottom w:val="nil"/>
              <w:right w:val="nil"/>
            </w:tcBorders>
            <w:shd w:val="clear" w:color="auto" w:fill="auto"/>
            <w:noWrap/>
            <w:vAlign w:val="bottom"/>
            <w:hideMark/>
          </w:tcPr>
          <w:p w14:paraId="502AA9BF" w14:textId="77777777" w:rsidR="008F16FC" w:rsidRPr="008F16FC" w:rsidRDefault="008F16FC" w:rsidP="008F16FC">
            <w:pPr>
              <w:rPr>
                <w:sz w:val="20"/>
                <w:szCs w:val="20"/>
              </w:rPr>
            </w:pPr>
          </w:p>
        </w:tc>
        <w:tc>
          <w:tcPr>
            <w:tcW w:w="5120" w:type="dxa"/>
            <w:tcBorders>
              <w:top w:val="nil"/>
              <w:left w:val="nil"/>
              <w:bottom w:val="nil"/>
              <w:right w:val="nil"/>
            </w:tcBorders>
            <w:shd w:val="clear" w:color="auto" w:fill="auto"/>
            <w:noWrap/>
            <w:vAlign w:val="bottom"/>
            <w:hideMark/>
          </w:tcPr>
          <w:p w14:paraId="0FBEDB28" w14:textId="77777777" w:rsidR="008F16FC" w:rsidRPr="008F16FC" w:rsidRDefault="008F16FC" w:rsidP="008F16FC">
            <w:pPr>
              <w:rPr>
                <w:sz w:val="20"/>
                <w:szCs w:val="20"/>
                <w:lang w:val="es-ES"/>
              </w:rPr>
            </w:pPr>
            <w:r w:rsidRPr="008F16FC">
              <w:rPr>
                <w:sz w:val="20"/>
                <w:szCs w:val="20"/>
                <w:lang w:val="es-ES"/>
              </w:rPr>
              <w:t>Efecto revalúo de propiedades, planta y equipos</w:t>
            </w:r>
          </w:p>
        </w:tc>
        <w:tc>
          <w:tcPr>
            <w:tcW w:w="1840" w:type="dxa"/>
            <w:tcBorders>
              <w:top w:val="nil"/>
              <w:left w:val="nil"/>
              <w:bottom w:val="nil"/>
              <w:right w:val="nil"/>
            </w:tcBorders>
            <w:shd w:val="clear" w:color="auto" w:fill="auto"/>
            <w:noWrap/>
            <w:vAlign w:val="bottom"/>
            <w:hideMark/>
          </w:tcPr>
          <w:p w14:paraId="27EA4E0C" w14:textId="77777777" w:rsidR="008F16FC" w:rsidRPr="008F16FC" w:rsidRDefault="008F16FC" w:rsidP="008F16FC">
            <w:pPr>
              <w:jc w:val="right"/>
              <w:rPr>
                <w:sz w:val="20"/>
                <w:szCs w:val="20"/>
              </w:rPr>
            </w:pPr>
            <w:r w:rsidRPr="008F16FC">
              <w:rPr>
                <w:sz w:val="20"/>
                <w:szCs w:val="20"/>
              </w:rPr>
              <w:t xml:space="preserve">0 </w:t>
            </w:r>
          </w:p>
        </w:tc>
      </w:tr>
      <w:tr w:rsidR="008F16FC" w:rsidRPr="00512442" w14:paraId="494D9189" w14:textId="77777777" w:rsidTr="00BA304B">
        <w:trPr>
          <w:trHeight w:val="300"/>
        </w:trPr>
        <w:tc>
          <w:tcPr>
            <w:tcW w:w="6320" w:type="dxa"/>
            <w:gridSpan w:val="2"/>
            <w:tcBorders>
              <w:top w:val="nil"/>
              <w:left w:val="nil"/>
              <w:bottom w:val="nil"/>
              <w:right w:val="nil"/>
            </w:tcBorders>
            <w:shd w:val="clear" w:color="auto" w:fill="auto"/>
            <w:noWrap/>
            <w:vAlign w:val="bottom"/>
            <w:hideMark/>
          </w:tcPr>
          <w:p w14:paraId="1D1A0A6C" w14:textId="77777777" w:rsidR="008F16FC" w:rsidRPr="008F16FC" w:rsidRDefault="008F16FC" w:rsidP="008F16FC">
            <w:pPr>
              <w:rPr>
                <w:b/>
                <w:bCs/>
                <w:i/>
                <w:iCs/>
                <w:sz w:val="20"/>
                <w:szCs w:val="20"/>
                <w:lang w:val="es-ES"/>
              </w:rPr>
            </w:pPr>
            <w:r w:rsidRPr="008F16FC">
              <w:rPr>
                <w:b/>
                <w:bCs/>
                <w:i/>
                <w:iCs/>
                <w:sz w:val="20"/>
                <w:szCs w:val="20"/>
                <w:lang w:val="es-ES"/>
              </w:rPr>
              <w:t>Cambios en activos y pasivos operativos</w:t>
            </w:r>
            <w:r w:rsidRPr="008F16FC">
              <w:rPr>
                <w:sz w:val="20"/>
                <w:szCs w:val="20"/>
                <w:lang w:val="es-ES"/>
              </w:rPr>
              <w:t>:</w:t>
            </w:r>
          </w:p>
        </w:tc>
        <w:tc>
          <w:tcPr>
            <w:tcW w:w="1840" w:type="dxa"/>
            <w:tcBorders>
              <w:top w:val="nil"/>
              <w:left w:val="nil"/>
              <w:bottom w:val="nil"/>
              <w:right w:val="nil"/>
            </w:tcBorders>
            <w:shd w:val="clear" w:color="auto" w:fill="auto"/>
            <w:noWrap/>
            <w:vAlign w:val="bottom"/>
            <w:hideMark/>
          </w:tcPr>
          <w:p w14:paraId="0B0E93ED" w14:textId="77777777" w:rsidR="008F16FC" w:rsidRPr="008F16FC" w:rsidRDefault="008F16FC" w:rsidP="008F16FC">
            <w:pPr>
              <w:rPr>
                <w:sz w:val="20"/>
                <w:szCs w:val="20"/>
                <w:u w:val="single"/>
                <w:lang w:val="es-ES"/>
              </w:rPr>
            </w:pPr>
          </w:p>
        </w:tc>
      </w:tr>
      <w:tr w:rsidR="008F16FC" w:rsidRPr="008F16FC" w14:paraId="160D87A8" w14:textId="77777777" w:rsidTr="00BA304B">
        <w:trPr>
          <w:trHeight w:val="300"/>
        </w:trPr>
        <w:tc>
          <w:tcPr>
            <w:tcW w:w="1200" w:type="dxa"/>
            <w:tcBorders>
              <w:top w:val="nil"/>
              <w:left w:val="nil"/>
              <w:bottom w:val="nil"/>
              <w:right w:val="nil"/>
            </w:tcBorders>
            <w:shd w:val="clear" w:color="auto" w:fill="auto"/>
            <w:noWrap/>
            <w:vAlign w:val="bottom"/>
            <w:hideMark/>
          </w:tcPr>
          <w:p w14:paraId="3FD51594" w14:textId="77777777" w:rsidR="008F16FC" w:rsidRPr="008F16FC" w:rsidRDefault="008F16FC" w:rsidP="008F16FC">
            <w:pPr>
              <w:rPr>
                <w:sz w:val="20"/>
                <w:szCs w:val="20"/>
                <w:u w:val="single"/>
                <w:lang w:val="es-ES"/>
              </w:rPr>
            </w:pPr>
          </w:p>
        </w:tc>
        <w:tc>
          <w:tcPr>
            <w:tcW w:w="5120" w:type="dxa"/>
            <w:tcBorders>
              <w:top w:val="nil"/>
              <w:left w:val="nil"/>
              <w:bottom w:val="nil"/>
              <w:right w:val="nil"/>
            </w:tcBorders>
            <w:shd w:val="clear" w:color="auto" w:fill="auto"/>
            <w:noWrap/>
            <w:vAlign w:val="bottom"/>
            <w:hideMark/>
          </w:tcPr>
          <w:p w14:paraId="6CA99C50" w14:textId="77777777" w:rsidR="008F16FC" w:rsidRPr="008F16FC" w:rsidRDefault="008F16FC" w:rsidP="008F16FC">
            <w:pPr>
              <w:rPr>
                <w:sz w:val="20"/>
                <w:szCs w:val="20"/>
                <w:lang w:val="es-ES"/>
              </w:rPr>
            </w:pPr>
            <w:r w:rsidRPr="008F16FC">
              <w:rPr>
                <w:sz w:val="20"/>
                <w:szCs w:val="20"/>
                <w:lang w:val="es-ES"/>
              </w:rPr>
              <w:t>(Aumento) en créditos por ventas</w:t>
            </w:r>
          </w:p>
        </w:tc>
        <w:tc>
          <w:tcPr>
            <w:tcW w:w="1840" w:type="dxa"/>
            <w:tcBorders>
              <w:top w:val="nil"/>
              <w:left w:val="nil"/>
              <w:bottom w:val="nil"/>
              <w:right w:val="nil"/>
            </w:tcBorders>
            <w:shd w:val="clear" w:color="auto" w:fill="auto"/>
            <w:noWrap/>
            <w:vAlign w:val="bottom"/>
            <w:hideMark/>
          </w:tcPr>
          <w:p w14:paraId="41DEA931" w14:textId="77777777" w:rsidR="008F16FC" w:rsidRPr="008F16FC" w:rsidRDefault="008F16FC" w:rsidP="008F16FC">
            <w:pPr>
              <w:jc w:val="right"/>
              <w:rPr>
                <w:sz w:val="20"/>
                <w:szCs w:val="20"/>
              </w:rPr>
            </w:pPr>
            <w:r w:rsidRPr="008F16FC">
              <w:rPr>
                <w:sz w:val="20"/>
                <w:szCs w:val="20"/>
              </w:rPr>
              <w:t xml:space="preserve">209.628 </w:t>
            </w:r>
          </w:p>
        </w:tc>
      </w:tr>
      <w:tr w:rsidR="008F16FC" w:rsidRPr="008F16FC" w14:paraId="71E004C9" w14:textId="77777777" w:rsidTr="00BA304B">
        <w:trPr>
          <w:trHeight w:val="300"/>
        </w:trPr>
        <w:tc>
          <w:tcPr>
            <w:tcW w:w="1200" w:type="dxa"/>
            <w:tcBorders>
              <w:top w:val="nil"/>
              <w:left w:val="nil"/>
              <w:bottom w:val="nil"/>
              <w:right w:val="nil"/>
            </w:tcBorders>
            <w:shd w:val="clear" w:color="auto" w:fill="auto"/>
            <w:noWrap/>
            <w:vAlign w:val="bottom"/>
            <w:hideMark/>
          </w:tcPr>
          <w:p w14:paraId="2019FD1E" w14:textId="77777777" w:rsidR="008F16FC" w:rsidRPr="008F16FC" w:rsidRDefault="008F16FC" w:rsidP="008F16FC">
            <w:pPr>
              <w:rPr>
                <w:sz w:val="20"/>
                <w:szCs w:val="20"/>
                <w:u w:val="single"/>
              </w:rPr>
            </w:pPr>
          </w:p>
        </w:tc>
        <w:tc>
          <w:tcPr>
            <w:tcW w:w="5120" w:type="dxa"/>
            <w:tcBorders>
              <w:top w:val="nil"/>
              <w:left w:val="nil"/>
              <w:bottom w:val="nil"/>
              <w:right w:val="nil"/>
            </w:tcBorders>
            <w:shd w:val="clear" w:color="auto" w:fill="auto"/>
            <w:noWrap/>
            <w:vAlign w:val="bottom"/>
            <w:hideMark/>
          </w:tcPr>
          <w:p w14:paraId="20102D82" w14:textId="77777777" w:rsidR="008F16FC" w:rsidRPr="008F16FC" w:rsidRDefault="008F16FC" w:rsidP="008F16FC">
            <w:pPr>
              <w:rPr>
                <w:sz w:val="20"/>
                <w:szCs w:val="20"/>
                <w:lang w:val="es-ES"/>
              </w:rPr>
            </w:pPr>
            <w:r w:rsidRPr="008F16FC">
              <w:rPr>
                <w:sz w:val="20"/>
                <w:szCs w:val="20"/>
                <w:lang w:val="es-ES"/>
              </w:rPr>
              <w:t>(Aumento) / Disminución en contratos de construcción</w:t>
            </w:r>
          </w:p>
        </w:tc>
        <w:tc>
          <w:tcPr>
            <w:tcW w:w="1840" w:type="dxa"/>
            <w:tcBorders>
              <w:top w:val="nil"/>
              <w:left w:val="nil"/>
              <w:bottom w:val="nil"/>
              <w:right w:val="nil"/>
            </w:tcBorders>
            <w:shd w:val="clear" w:color="auto" w:fill="auto"/>
            <w:noWrap/>
            <w:vAlign w:val="bottom"/>
            <w:hideMark/>
          </w:tcPr>
          <w:p w14:paraId="27AEA440" w14:textId="77777777" w:rsidR="008F16FC" w:rsidRPr="008F16FC" w:rsidRDefault="008F16FC" w:rsidP="008F16FC">
            <w:pPr>
              <w:jc w:val="right"/>
              <w:rPr>
                <w:sz w:val="20"/>
                <w:szCs w:val="20"/>
              </w:rPr>
            </w:pPr>
            <w:r w:rsidRPr="008F16FC">
              <w:rPr>
                <w:sz w:val="20"/>
                <w:szCs w:val="20"/>
              </w:rPr>
              <w:t xml:space="preserve">(666.816) </w:t>
            </w:r>
          </w:p>
        </w:tc>
      </w:tr>
      <w:tr w:rsidR="008F16FC" w:rsidRPr="008F16FC" w14:paraId="52AE2DC8" w14:textId="77777777" w:rsidTr="00BA304B">
        <w:trPr>
          <w:trHeight w:val="300"/>
        </w:trPr>
        <w:tc>
          <w:tcPr>
            <w:tcW w:w="1200" w:type="dxa"/>
            <w:tcBorders>
              <w:top w:val="nil"/>
              <w:left w:val="nil"/>
              <w:bottom w:val="nil"/>
              <w:right w:val="nil"/>
            </w:tcBorders>
            <w:shd w:val="clear" w:color="auto" w:fill="auto"/>
            <w:noWrap/>
            <w:vAlign w:val="bottom"/>
            <w:hideMark/>
          </w:tcPr>
          <w:p w14:paraId="3A24958C" w14:textId="77777777" w:rsidR="008F16FC" w:rsidRPr="008F16FC" w:rsidRDefault="008F16FC" w:rsidP="008F16FC">
            <w:pPr>
              <w:rPr>
                <w:sz w:val="20"/>
                <w:szCs w:val="20"/>
                <w:u w:val="single"/>
              </w:rPr>
            </w:pPr>
          </w:p>
        </w:tc>
        <w:tc>
          <w:tcPr>
            <w:tcW w:w="5120" w:type="dxa"/>
            <w:tcBorders>
              <w:top w:val="nil"/>
              <w:left w:val="nil"/>
              <w:bottom w:val="nil"/>
              <w:right w:val="nil"/>
            </w:tcBorders>
            <w:shd w:val="clear" w:color="auto" w:fill="auto"/>
            <w:noWrap/>
            <w:vAlign w:val="bottom"/>
            <w:hideMark/>
          </w:tcPr>
          <w:p w14:paraId="2889DF85" w14:textId="77777777" w:rsidR="008F16FC" w:rsidRPr="008F16FC" w:rsidRDefault="008F16FC" w:rsidP="008F16FC">
            <w:pPr>
              <w:rPr>
                <w:sz w:val="20"/>
                <w:szCs w:val="20"/>
                <w:lang w:val="es-ES"/>
              </w:rPr>
            </w:pPr>
            <w:r w:rsidRPr="008F16FC">
              <w:rPr>
                <w:sz w:val="20"/>
                <w:szCs w:val="20"/>
                <w:lang w:val="es-ES"/>
              </w:rPr>
              <w:t>(Aumento) / Disminución en créditos diversos</w:t>
            </w:r>
          </w:p>
        </w:tc>
        <w:tc>
          <w:tcPr>
            <w:tcW w:w="1840" w:type="dxa"/>
            <w:tcBorders>
              <w:top w:val="nil"/>
              <w:left w:val="nil"/>
              <w:bottom w:val="nil"/>
              <w:right w:val="nil"/>
            </w:tcBorders>
            <w:shd w:val="clear" w:color="auto" w:fill="auto"/>
            <w:noWrap/>
            <w:vAlign w:val="bottom"/>
            <w:hideMark/>
          </w:tcPr>
          <w:p w14:paraId="4C50CBFB" w14:textId="77777777" w:rsidR="008F16FC" w:rsidRPr="008F16FC" w:rsidRDefault="008F16FC" w:rsidP="008F16FC">
            <w:pPr>
              <w:jc w:val="right"/>
              <w:rPr>
                <w:sz w:val="20"/>
                <w:szCs w:val="20"/>
              </w:rPr>
            </w:pPr>
            <w:r w:rsidRPr="008F16FC">
              <w:rPr>
                <w:sz w:val="20"/>
                <w:szCs w:val="20"/>
              </w:rPr>
              <w:t xml:space="preserve">(352.077) </w:t>
            </w:r>
          </w:p>
        </w:tc>
      </w:tr>
      <w:tr w:rsidR="008F16FC" w:rsidRPr="008F16FC" w14:paraId="32F128E1" w14:textId="77777777" w:rsidTr="00BA304B">
        <w:trPr>
          <w:trHeight w:val="300"/>
        </w:trPr>
        <w:tc>
          <w:tcPr>
            <w:tcW w:w="1200" w:type="dxa"/>
            <w:tcBorders>
              <w:top w:val="nil"/>
              <w:left w:val="nil"/>
              <w:bottom w:val="nil"/>
              <w:right w:val="nil"/>
            </w:tcBorders>
            <w:shd w:val="clear" w:color="auto" w:fill="auto"/>
            <w:noWrap/>
            <w:vAlign w:val="bottom"/>
            <w:hideMark/>
          </w:tcPr>
          <w:p w14:paraId="7F1F2413" w14:textId="77777777" w:rsidR="008F16FC" w:rsidRPr="008F16FC" w:rsidRDefault="008F16FC" w:rsidP="008F16FC">
            <w:pPr>
              <w:rPr>
                <w:sz w:val="20"/>
                <w:szCs w:val="20"/>
                <w:u w:val="single"/>
              </w:rPr>
            </w:pPr>
          </w:p>
        </w:tc>
        <w:tc>
          <w:tcPr>
            <w:tcW w:w="5120" w:type="dxa"/>
            <w:tcBorders>
              <w:top w:val="nil"/>
              <w:left w:val="nil"/>
              <w:bottom w:val="nil"/>
              <w:right w:val="nil"/>
            </w:tcBorders>
            <w:shd w:val="clear" w:color="auto" w:fill="auto"/>
            <w:noWrap/>
            <w:vAlign w:val="bottom"/>
            <w:hideMark/>
          </w:tcPr>
          <w:p w14:paraId="68B7E59C" w14:textId="77777777" w:rsidR="008F16FC" w:rsidRPr="008F16FC" w:rsidRDefault="008F16FC" w:rsidP="008F16FC">
            <w:pPr>
              <w:rPr>
                <w:sz w:val="20"/>
                <w:szCs w:val="20"/>
              </w:rPr>
            </w:pPr>
            <w:r w:rsidRPr="008F16FC">
              <w:rPr>
                <w:sz w:val="20"/>
                <w:szCs w:val="20"/>
              </w:rPr>
              <w:t>(Aumento) en inventarios</w:t>
            </w:r>
          </w:p>
        </w:tc>
        <w:tc>
          <w:tcPr>
            <w:tcW w:w="1840" w:type="dxa"/>
            <w:tcBorders>
              <w:top w:val="nil"/>
              <w:left w:val="nil"/>
              <w:bottom w:val="nil"/>
              <w:right w:val="nil"/>
            </w:tcBorders>
            <w:shd w:val="clear" w:color="auto" w:fill="auto"/>
            <w:noWrap/>
            <w:vAlign w:val="bottom"/>
            <w:hideMark/>
          </w:tcPr>
          <w:p w14:paraId="71F0837C" w14:textId="77777777" w:rsidR="008F16FC" w:rsidRPr="008F16FC" w:rsidRDefault="008F16FC" w:rsidP="008F16FC">
            <w:pPr>
              <w:jc w:val="right"/>
              <w:rPr>
                <w:sz w:val="20"/>
                <w:szCs w:val="20"/>
              </w:rPr>
            </w:pPr>
            <w:r w:rsidRPr="008F16FC">
              <w:rPr>
                <w:sz w:val="20"/>
                <w:szCs w:val="20"/>
              </w:rPr>
              <w:t xml:space="preserve">3.554 </w:t>
            </w:r>
          </w:p>
        </w:tc>
      </w:tr>
      <w:tr w:rsidR="008F16FC" w:rsidRPr="008F16FC" w14:paraId="4459F3C0" w14:textId="77777777" w:rsidTr="00BA304B">
        <w:trPr>
          <w:trHeight w:val="300"/>
        </w:trPr>
        <w:tc>
          <w:tcPr>
            <w:tcW w:w="1200" w:type="dxa"/>
            <w:tcBorders>
              <w:top w:val="nil"/>
              <w:left w:val="nil"/>
              <w:bottom w:val="nil"/>
              <w:right w:val="nil"/>
            </w:tcBorders>
            <w:shd w:val="clear" w:color="auto" w:fill="auto"/>
            <w:noWrap/>
            <w:vAlign w:val="bottom"/>
            <w:hideMark/>
          </w:tcPr>
          <w:p w14:paraId="68BA0AE4" w14:textId="77777777" w:rsidR="008F16FC" w:rsidRPr="008F16FC" w:rsidRDefault="008F16FC" w:rsidP="008F16FC">
            <w:pPr>
              <w:rPr>
                <w:sz w:val="20"/>
                <w:szCs w:val="20"/>
                <w:u w:val="single"/>
              </w:rPr>
            </w:pPr>
          </w:p>
        </w:tc>
        <w:tc>
          <w:tcPr>
            <w:tcW w:w="5120" w:type="dxa"/>
            <w:tcBorders>
              <w:top w:val="nil"/>
              <w:left w:val="nil"/>
              <w:bottom w:val="nil"/>
              <w:right w:val="nil"/>
            </w:tcBorders>
            <w:shd w:val="clear" w:color="auto" w:fill="auto"/>
            <w:noWrap/>
            <w:vAlign w:val="bottom"/>
            <w:hideMark/>
          </w:tcPr>
          <w:p w14:paraId="4440ADC9" w14:textId="77777777" w:rsidR="008F16FC" w:rsidRPr="008F16FC" w:rsidRDefault="008F16FC" w:rsidP="008F16FC">
            <w:pPr>
              <w:rPr>
                <w:sz w:val="20"/>
                <w:szCs w:val="20"/>
                <w:lang w:val="es-ES"/>
              </w:rPr>
            </w:pPr>
            <w:r w:rsidRPr="008F16FC">
              <w:rPr>
                <w:sz w:val="20"/>
                <w:szCs w:val="20"/>
                <w:lang w:val="es-ES"/>
              </w:rPr>
              <w:t>Aumento / (Disminución) en acreedores comerciales</w:t>
            </w:r>
          </w:p>
        </w:tc>
        <w:tc>
          <w:tcPr>
            <w:tcW w:w="1840" w:type="dxa"/>
            <w:tcBorders>
              <w:top w:val="nil"/>
              <w:left w:val="nil"/>
              <w:bottom w:val="nil"/>
              <w:right w:val="nil"/>
            </w:tcBorders>
            <w:shd w:val="clear" w:color="auto" w:fill="auto"/>
            <w:noWrap/>
            <w:vAlign w:val="bottom"/>
            <w:hideMark/>
          </w:tcPr>
          <w:p w14:paraId="0057D383" w14:textId="77777777" w:rsidR="008F16FC" w:rsidRPr="008F16FC" w:rsidRDefault="008F16FC" w:rsidP="008F16FC">
            <w:pPr>
              <w:jc w:val="right"/>
              <w:rPr>
                <w:sz w:val="20"/>
                <w:szCs w:val="20"/>
              </w:rPr>
            </w:pPr>
            <w:r w:rsidRPr="008F16FC">
              <w:rPr>
                <w:sz w:val="20"/>
                <w:szCs w:val="20"/>
              </w:rPr>
              <w:t xml:space="preserve">21.302 </w:t>
            </w:r>
          </w:p>
        </w:tc>
      </w:tr>
      <w:tr w:rsidR="008F16FC" w:rsidRPr="008F16FC" w14:paraId="19E7F8A1" w14:textId="77777777" w:rsidTr="00BA304B">
        <w:trPr>
          <w:trHeight w:val="300"/>
        </w:trPr>
        <w:tc>
          <w:tcPr>
            <w:tcW w:w="1200" w:type="dxa"/>
            <w:tcBorders>
              <w:top w:val="nil"/>
              <w:left w:val="nil"/>
              <w:bottom w:val="nil"/>
              <w:right w:val="nil"/>
            </w:tcBorders>
            <w:shd w:val="clear" w:color="auto" w:fill="auto"/>
            <w:noWrap/>
            <w:vAlign w:val="bottom"/>
            <w:hideMark/>
          </w:tcPr>
          <w:p w14:paraId="49E8D834" w14:textId="77777777" w:rsidR="008F16FC" w:rsidRPr="008F16FC" w:rsidRDefault="008F16FC" w:rsidP="008F16FC">
            <w:pPr>
              <w:rPr>
                <w:sz w:val="20"/>
                <w:szCs w:val="20"/>
                <w:u w:val="single"/>
              </w:rPr>
            </w:pPr>
          </w:p>
        </w:tc>
        <w:tc>
          <w:tcPr>
            <w:tcW w:w="5120" w:type="dxa"/>
            <w:tcBorders>
              <w:top w:val="nil"/>
              <w:left w:val="nil"/>
              <w:bottom w:val="nil"/>
              <w:right w:val="nil"/>
            </w:tcBorders>
            <w:shd w:val="clear" w:color="auto" w:fill="auto"/>
            <w:noWrap/>
            <w:vAlign w:val="bottom"/>
            <w:hideMark/>
          </w:tcPr>
          <w:p w14:paraId="04BB27C0" w14:textId="77777777" w:rsidR="008F16FC" w:rsidRPr="008F16FC" w:rsidRDefault="008F16FC" w:rsidP="008F16FC">
            <w:pPr>
              <w:rPr>
                <w:sz w:val="20"/>
                <w:szCs w:val="20"/>
                <w:lang w:val="es-ES"/>
              </w:rPr>
            </w:pPr>
            <w:r w:rsidRPr="008F16FC">
              <w:rPr>
                <w:sz w:val="20"/>
                <w:szCs w:val="20"/>
                <w:lang w:val="es-ES"/>
              </w:rPr>
              <w:t>Aumento en anticipos de clientes</w:t>
            </w:r>
          </w:p>
        </w:tc>
        <w:tc>
          <w:tcPr>
            <w:tcW w:w="1840" w:type="dxa"/>
            <w:tcBorders>
              <w:top w:val="nil"/>
              <w:left w:val="nil"/>
              <w:bottom w:val="nil"/>
              <w:right w:val="nil"/>
            </w:tcBorders>
            <w:shd w:val="clear" w:color="auto" w:fill="auto"/>
            <w:noWrap/>
            <w:vAlign w:val="bottom"/>
            <w:hideMark/>
          </w:tcPr>
          <w:p w14:paraId="1AF09099" w14:textId="77777777" w:rsidR="008F16FC" w:rsidRPr="008F16FC" w:rsidRDefault="008F16FC" w:rsidP="008F16FC">
            <w:pPr>
              <w:jc w:val="right"/>
              <w:rPr>
                <w:sz w:val="20"/>
                <w:szCs w:val="20"/>
              </w:rPr>
            </w:pPr>
            <w:r w:rsidRPr="008F16FC">
              <w:rPr>
                <w:sz w:val="20"/>
                <w:szCs w:val="20"/>
              </w:rPr>
              <w:t xml:space="preserve">347.800 </w:t>
            </w:r>
          </w:p>
        </w:tc>
      </w:tr>
      <w:tr w:rsidR="008F16FC" w:rsidRPr="008F16FC" w14:paraId="4787DCF4" w14:textId="77777777" w:rsidTr="00BA304B">
        <w:trPr>
          <w:trHeight w:val="300"/>
        </w:trPr>
        <w:tc>
          <w:tcPr>
            <w:tcW w:w="1200" w:type="dxa"/>
            <w:tcBorders>
              <w:top w:val="nil"/>
              <w:left w:val="nil"/>
              <w:bottom w:val="nil"/>
              <w:right w:val="nil"/>
            </w:tcBorders>
            <w:shd w:val="clear" w:color="auto" w:fill="auto"/>
            <w:noWrap/>
            <w:vAlign w:val="bottom"/>
            <w:hideMark/>
          </w:tcPr>
          <w:p w14:paraId="7339F10E" w14:textId="77777777" w:rsidR="008F16FC" w:rsidRPr="008F16FC" w:rsidRDefault="008F16FC" w:rsidP="008F16FC">
            <w:pPr>
              <w:rPr>
                <w:sz w:val="20"/>
                <w:szCs w:val="20"/>
                <w:u w:val="single"/>
              </w:rPr>
            </w:pPr>
          </w:p>
        </w:tc>
        <w:tc>
          <w:tcPr>
            <w:tcW w:w="5120" w:type="dxa"/>
            <w:tcBorders>
              <w:top w:val="nil"/>
              <w:left w:val="nil"/>
              <w:bottom w:val="nil"/>
              <w:right w:val="nil"/>
            </w:tcBorders>
            <w:shd w:val="clear" w:color="auto" w:fill="auto"/>
            <w:noWrap/>
            <w:vAlign w:val="bottom"/>
            <w:hideMark/>
          </w:tcPr>
          <w:p w14:paraId="10E1AB9D" w14:textId="77777777" w:rsidR="008F16FC" w:rsidRPr="008F16FC" w:rsidRDefault="008F16FC" w:rsidP="008F16FC">
            <w:pPr>
              <w:rPr>
                <w:sz w:val="20"/>
                <w:szCs w:val="20"/>
                <w:lang w:val="es-ES"/>
              </w:rPr>
            </w:pPr>
            <w:r w:rsidRPr="008F16FC">
              <w:rPr>
                <w:sz w:val="20"/>
                <w:szCs w:val="20"/>
                <w:lang w:val="es-ES"/>
              </w:rPr>
              <w:t>Aumento en beneficios al personal</w:t>
            </w:r>
          </w:p>
        </w:tc>
        <w:tc>
          <w:tcPr>
            <w:tcW w:w="1840" w:type="dxa"/>
            <w:tcBorders>
              <w:top w:val="nil"/>
              <w:left w:val="nil"/>
              <w:bottom w:val="nil"/>
              <w:right w:val="nil"/>
            </w:tcBorders>
            <w:shd w:val="clear" w:color="auto" w:fill="auto"/>
            <w:noWrap/>
            <w:vAlign w:val="bottom"/>
            <w:hideMark/>
          </w:tcPr>
          <w:p w14:paraId="3C814D86" w14:textId="77777777" w:rsidR="008F16FC" w:rsidRPr="008F16FC" w:rsidRDefault="008F16FC" w:rsidP="008F16FC">
            <w:pPr>
              <w:jc w:val="right"/>
              <w:rPr>
                <w:sz w:val="20"/>
                <w:szCs w:val="20"/>
              </w:rPr>
            </w:pPr>
            <w:r w:rsidRPr="008F16FC">
              <w:rPr>
                <w:sz w:val="20"/>
                <w:szCs w:val="20"/>
              </w:rPr>
              <w:t xml:space="preserve">84.073 </w:t>
            </w:r>
          </w:p>
        </w:tc>
      </w:tr>
      <w:tr w:rsidR="008F16FC" w:rsidRPr="008F16FC" w14:paraId="38F83654" w14:textId="77777777" w:rsidTr="00BA304B">
        <w:trPr>
          <w:trHeight w:val="300"/>
        </w:trPr>
        <w:tc>
          <w:tcPr>
            <w:tcW w:w="1200" w:type="dxa"/>
            <w:tcBorders>
              <w:top w:val="nil"/>
              <w:left w:val="nil"/>
              <w:bottom w:val="nil"/>
              <w:right w:val="nil"/>
            </w:tcBorders>
            <w:shd w:val="clear" w:color="auto" w:fill="auto"/>
            <w:noWrap/>
            <w:vAlign w:val="bottom"/>
            <w:hideMark/>
          </w:tcPr>
          <w:p w14:paraId="42345D39" w14:textId="77777777" w:rsidR="008F16FC" w:rsidRPr="008F16FC" w:rsidRDefault="008F16FC" w:rsidP="008F16FC">
            <w:pPr>
              <w:rPr>
                <w:sz w:val="20"/>
                <w:szCs w:val="20"/>
              </w:rPr>
            </w:pPr>
          </w:p>
        </w:tc>
        <w:tc>
          <w:tcPr>
            <w:tcW w:w="5120" w:type="dxa"/>
            <w:tcBorders>
              <w:top w:val="nil"/>
              <w:left w:val="nil"/>
              <w:bottom w:val="nil"/>
              <w:right w:val="nil"/>
            </w:tcBorders>
            <w:shd w:val="clear" w:color="auto" w:fill="auto"/>
            <w:noWrap/>
            <w:vAlign w:val="bottom"/>
            <w:hideMark/>
          </w:tcPr>
          <w:p w14:paraId="6DE932B7" w14:textId="77777777" w:rsidR="008F16FC" w:rsidRPr="008F16FC" w:rsidRDefault="008F16FC" w:rsidP="008F16FC">
            <w:pPr>
              <w:rPr>
                <w:sz w:val="20"/>
                <w:szCs w:val="20"/>
                <w:lang w:val="es-ES"/>
              </w:rPr>
            </w:pPr>
            <w:r w:rsidRPr="008F16FC">
              <w:rPr>
                <w:sz w:val="20"/>
                <w:szCs w:val="20"/>
                <w:lang w:val="es-ES"/>
              </w:rPr>
              <w:t>(Disminución) en impuestos y otros gravámenes</w:t>
            </w:r>
          </w:p>
        </w:tc>
        <w:tc>
          <w:tcPr>
            <w:tcW w:w="1840" w:type="dxa"/>
            <w:tcBorders>
              <w:top w:val="nil"/>
              <w:left w:val="nil"/>
              <w:bottom w:val="nil"/>
              <w:right w:val="nil"/>
            </w:tcBorders>
            <w:shd w:val="clear" w:color="auto" w:fill="auto"/>
            <w:noWrap/>
            <w:vAlign w:val="bottom"/>
            <w:hideMark/>
          </w:tcPr>
          <w:p w14:paraId="264B7C9C" w14:textId="77777777" w:rsidR="008F16FC" w:rsidRPr="008F16FC" w:rsidRDefault="008F16FC" w:rsidP="008F16FC">
            <w:pPr>
              <w:jc w:val="right"/>
              <w:rPr>
                <w:sz w:val="20"/>
                <w:szCs w:val="20"/>
              </w:rPr>
            </w:pPr>
            <w:r w:rsidRPr="008F16FC">
              <w:rPr>
                <w:sz w:val="20"/>
                <w:szCs w:val="20"/>
              </w:rPr>
              <w:t xml:space="preserve">8.153 </w:t>
            </w:r>
          </w:p>
        </w:tc>
      </w:tr>
      <w:tr w:rsidR="008F16FC" w:rsidRPr="008F16FC" w14:paraId="498EDCF2" w14:textId="77777777" w:rsidTr="00BA304B">
        <w:trPr>
          <w:trHeight w:val="300"/>
        </w:trPr>
        <w:tc>
          <w:tcPr>
            <w:tcW w:w="1200" w:type="dxa"/>
            <w:tcBorders>
              <w:top w:val="nil"/>
              <w:left w:val="nil"/>
              <w:bottom w:val="nil"/>
              <w:right w:val="nil"/>
            </w:tcBorders>
            <w:shd w:val="clear" w:color="auto" w:fill="auto"/>
            <w:noWrap/>
            <w:vAlign w:val="bottom"/>
            <w:hideMark/>
          </w:tcPr>
          <w:p w14:paraId="2548FD33" w14:textId="77777777" w:rsidR="008F16FC" w:rsidRPr="008F16FC" w:rsidRDefault="008F16FC" w:rsidP="008F16FC">
            <w:pPr>
              <w:rPr>
                <w:sz w:val="20"/>
                <w:szCs w:val="20"/>
              </w:rPr>
            </w:pPr>
          </w:p>
        </w:tc>
        <w:tc>
          <w:tcPr>
            <w:tcW w:w="5120" w:type="dxa"/>
            <w:tcBorders>
              <w:top w:val="nil"/>
              <w:left w:val="nil"/>
              <w:bottom w:val="nil"/>
              <w:right w:val="nil"/>
            </w:tcBorders>
            <w:shd w:val="clear" w:color="auto" w:fill="auto"/>
            <w:noWrap/>
            <w:vAlign w:val="bottom"/>
            <w:hideMark/>
          </w:tcPr>
          <w:p w14:paraId="7C264858" w14:textId="77777777" w:rsidR="008F16FC" w:rsidRPr="008F16FC" w:rsidRDefault="008F16FC" w:rsidP="008F16FC">
            <w:pPr>
              <w:rPr>
                <w:sz w:val="20"/>
                <w:szCs w:val="20"/>
                <w:lang w:val="es-ES"/>
              </w:rPr>
            </w:pPr>
            <w:r w:rsidRPr="008F16FC">
              <w:rPr>
                <w:sz w:val="20"/>
                <w:szCs w:val="20"/>
                <w:lang w:val="es-ES"/>
              </w:rPr>
              <w:t>(Disminución) en impuesto a las ganancias a pagar</w:t>
            </w:r>
          </w:p>
        </w:tc>
        <w:tc>
          <w:tcPr>
            <w:tcW w:w="1840" w:type="dxa"/>
            <w:tcBorders>
              <w:top w:val="nil"/>
              <w:left w:val="nil"/>
              <w:bottom w:val="nil"/>
              <w:right w:val="nil"/>
            </w:tcBorders>
            <w:shd w:val="clear" w:color="auto" w:fill="auto"/>
            <w:noWrap/>
            <w:vAlign w:val="bottom"/>
            <w:hideMark/>
          </w:tcPr>
          <w:p w14:paraId="63B2485C" w14:textId="77777777" w:rsidR="008F16FC" w:rsidRPr="008F16FC" w:rsidRDefault="008F16FC" w:rsidP="008F16FC">
            <w:pPr>
              <w:jc w:val="right"/>
              <w:rPr>
                <w:sz w:val="20"/>
                <w:szCs w:val="20"/>
              </w:rPr>
            </w:pPr>
            <w:r w:rsidRPr="008F16FC">
              <w:rPr>
                <w:sz w:val="20"/>
                <w:szCs w:val="20"/>
              </w:rPr>
              <w:t xml:space="preserve">(7.025) </w:t>
            </w:r>
          </w:p>
        </w:tc>
      </w:tr>
      <w:tr w:rsidR="008F16FC" w:rsidRPr="008F16FC" w14:paraId="0FD6C07C" w14:textId="77777777" w:rsidTr="00BA304B">
        <w:trPr>
          <w:trHeight w:val="300"/>
        </w:trPr>
        <w:tc>
          <w:tcPr>
            <w:tcW w:w="1200" w:type="dxa"/>
            <w:tcBorders>
              <w:top w:val="nil"/>
              <w:left w:val="nil"/>
              <w:bottom w:val="nil"/>
              <w:right w:val="nil"/>
            </w:tcBorders>
            <w:shd w:val="clear" w:color="auto" w:fill="auto"/>
            <w:noWrap/>
            <w:vAlign w:val="bottom"/>
            <w:hideMark/>
          </w:tcPr>
          <w:p w14:paraId="08BEFC7F" w14:textId="77777777" w:rsidR="008F16FC" w:rsidRPr="008F16FC" w:rsidRDefault="008F16FC" w:rsidP="008F16FC">
            <w:pPr>
              <w:rPr>
                <w:sz w:val="20"/>
                <w:szCs w:val="20"/>
              </w:rPr>
            </w:pPr>
          </w:p>
        </w:tc>
        <w:tc>
          <w:tcPr>
            <w:tcW w:w="5120" w:type="dxa"/>
            <w:tcBorders>
              <w:top w:val="nil"/>
              <w:left w:val="nil"/>
              <w:bottom w:val="nil"/>
              <w:right w:val="nil"/>
            </w:tcBorders>
            <w:shd w:val="clear" w:color="auto" w:fill="auto"/>
            <w:noWrap/>
            <w:vAlign w:val="bottom"/>
            <w:hideMark/>
          </w:tcPr>
          <w:p w14:paraId="21E939AE" w14:textId="77777777" w:rsidR="008F16FC" w:rsidRPr="008F16FC" w:rsidRDefault="008F16FC" w:rsidP="008F16FC">
            <w:pPr>
              <w:rPr>
                <w:sz w:val="20"/>
                <w:szCs w:val="20"/>
              </w:rPr>
            </w:pPr>
            <w:r w:rsidRPr="008F16FC">
              <w:rPr>
                <w:sz w:val="20"/>
                <w:szCs w:val="20"/>
              </w:rPr>
              <w:t>Aumento / (Disminución) en provisiones</w:t>
            </w:r>
          </w:p>
        </w:tc>
        <w:tc>
          <w:tcPr>
            <w:tcW w:w="1840" w:type="dxa"/>
            <w:tcBorders>
              <w:top w:val="nil"/>
              <w:left w:val="nil"/>
              <w:bottom w:val="nil"/>
              <w:right w:val="nil"/>
            </w:tcBorders>
            <w:shd w:val="clear" w:color="auto" w:fill="auto"/>
            <w:noWrap/>
            <w:vAlign w:val="bottom"/>
            <w:hideMark/>
          </w:tcPr>
          <w:p w14:paraId="0B567BC4" w14:textId="77777777" w:rsidR="008F16FC" w:rsidRPr="008F16FC" w:rsidRDefault="008F16FC" w:rsidP="008F16FC">
            <w:pPr>
              <w:jc w:val="right"/>
              <w:rPr>
                <w:sz w:val="20"/>
                <w:szCs w:val="20"/>
              </w:rPr>
            </w:pPr>
            <w:r w:rsidRPr="008F16FC">
              <w:rPr>
                <w:sz w:val="20"/>
                <w:szCs w:val="20"/>
              </w:rPr>
              <w:t xml:space="preserve">124.573 </w:t>
            </w:r>
          </w:p>
        </w:tc>
      </w:tr>
      <w:tr w:rsidR="008F16FC" w:rsidRPr="008F16FC" w14:paraId="6947F9D9" w14:textId="77777777" w:rsidTr="00BA304B">
        <w:trPr>
          <w:trHeight w:val="300"/>
        </w:trPr>
        <w:tc>
          <w:tcPr>
            <w:tcW w:w="1200" w:type="dxa"/>
            <w:tcBorders>
              <w:top w:val="nil"/>
              <w:left w:val="nil"/>
              <w:bottom w:val="nil"/>
              <w:right w:val="nil"/>
            </w:tcBorders>
            <w:shd w:val="clear" w:color="auto" w:fill="auto"/>
            <w:noWrap/>
            <w:vAlign w:val="bottom"/>
            <w:hideMark/>
          </w:tcPr>
          <w:p w14:paraId="3CA303F4" w14:textId="77777777" w:rsidR="008F16FC" w:rsidRPr="008F16FC" w:rsidRDefault="008F16FC" w:rsidP="008F16FC">
            <w:pPr>
              <w:rPr>
                <w:sz w:val="20"/>
                <w:szCs w:val="20"/>
              </w:rPr>
            </w:pPr>
          </w:p>
        </w:tc>
        <w:tc>
          <w:tcPr>
            <w:tcW w:w="5120" w:type="dxa"/>
            <w:tcBorders>
              <w:top w:val="nil"/>
              <w:left w:val="nil"/>
              <w:bottom w:val="nil"/>
              <w:right w:val="nil"/>
            </w:tcBorders>
            <w:shd w:val="clear" w:color="auto" w:fill="auto"/>
            <w:noWrap/>
            <w:vAlign w:val="bottom"/>
            <w:hideMark/>
          </w:tcPr>
          <w:p w14:paraId="54DB763D" w14:textId="77777777" w:rsidR="008F16FC" w:rsidRPr="008F16FC" w:rsidRDefault="008F16FC" w:rsidP="008F16FC">
            <w:pPr>
              <w:rPr>
                <w:sz w:val="20"/>
                <w:szCs w:val="20"/>
                <w:lang w:val="es-ES"/>
              </w:rPr>
            </w:pPr>
            <w:r w:rsidRPr="008F16FC">
              <w:rPr>
                <w:sz w:val="20"/>
                <w:szCs w:val="20"/>
                <w:lang w:val="es-ES"/>
              </w:rPr>
              <w:t>Aumento / (Dismunición) en pasivos por impuestos diferidos</w:t>
            </w:r>
          </w:p>
        </w:tc>
        <w:tc>
          <w:tcPr>
            <w:tcW w:w="1840" w:type="dxa"/>
            <w:tcBorders>
              <w:top w:val="nil"/>
              <w:left w:val="nil"/>
              <w:bottom w:val="nil"/>
              <w:right w:val="nil"/>
            </w:tcBorders>
            <w:shd w:val="clear" w:color="auto" w:fill="auto"/>
            <w:noWrap/>
            <w:vAlign w:val="bottom"/>
            <w:hideMark/>
          </w:tcPr>
          <w:p w14:paraId="0253F0C2" w14:textId="77777777" w:rsidR="008F16FC" w:rsidRPr="008F16FC" w:rsidRDefault="008F16FC" w:rsidP="008F16FC">
            <w:pPr>
              <w:jc w:val="right"/>
              <w:rPr>
                <w:sz w:val="20"/>
                <w:szCs w:val="20"/>
              </w:rPr>
            </w:pPr>
            <w:r w:rsidRPr="008F16FC">
              <w:rPr>
                <w:sz w:val="20"/>
                <w:szCs w:val="20"/>
              </w:rPr>
              <w:t xml:space="preserve">(19.821) </w:t>
            </w:r>
          </w:p>
        </w:tc>
      </w:tr>
      <w:tr w:rsidR="008F16FC" w:rsidRPr="008F16FC" w14:paraId="73CA6C34" w14:textId="77777777" w:rsidTr="00BA304B">
        <w:trPr>
          <w:trHeight w:val="300"/>
        </w:trPr>
        <w:tc>
          <w:tcPr>
            <w:tcW w:w="6320" w:type="dxa"/>
            <w:gridSpan w:val="2"/>
            <w:tcBorders>
              <w:top w:val="nil"/>
              <w:left w:val="nil"/>
              <w:bottom w:val="nil"/>
              <w:right w:val="nil"/>
            </w:tcBorders>
            <w:shd w:val="clear" w:color="auto" w:fill="auto"/>
            <w:vAlign w:val="bottom"/>
            <w:hideMark/>
          </w:tcPr>
          <w:p w14:paraId="0948DC98" w14:textId="77777777" w:rsidR="008F16FC" w:rsidRPr="008F16FC" w:rsidRDefault="008F16FC" w:rsidP="008F16FC">
            <w:pPr>
              <w:rPr>
                <w:b/>
                <w:bCs/>
                <w:i/>
                <w:iCs/>
                <w:sz w:val="20"/>
                <w:szCs w:val="20"/>
                <w:lang w:val="es-ES"/>
              </w:rPr>
            </w:pPr>
            <w:r w:rsidRPr="008F16FC">
              <w:rPr>
                <w:b/>
                <w:bCs/>
                <w:i/>
                <w:iCs/>
                <w:sz w:val="20"/>
                <w:szCs w:val="20"/>
                <w:lang w:val="es-ES"/>
              </w:rPr>
              <w:t>Flujo neto de efectivo utilizado por las actividades operativas</w:t>
            </w:r>
          </w:p>
        </w:tc>
        <w:tc>
          <w:tcPr>
            <w:tcW w:w="1840" w:type="dxa"/>
            <w:tcBorders>
              <w:top w:val="single" w:sz="4" w:space="0" w:color="auto"/>
              <w:left w:val="nil"/>
              <w:bottom w:val="dotted" w:sz="4" w:space="0" w:color="auto"/>
              <w:right w:val="nil"/>
            </w:tcBorders>
            <w:shd w:val="clear" w:color="auto" w:fill="auto"/>
            <w:noWrap/>
            <w:vAlign w:val="bottom"/>
            <w:hideMark/>
          </w:tcPr>
          <w:p w14:paraId="4B4366C5" w14:textId="77777777" w:rsidR="008F16FC" w:rsidRPr="008F16FC" w:rsidRDefault="008F16FC" w:rsidP="008F16FC">
            <w:pPr>
              <w:jc w:val="right"/>
              <w:rPr>
                <w:b/>
                <w:bCs/>
                <w:sz w:val="20"/>
                <w:szCs w:val="20"/>
              </w:rPr>
            </w:pPr>
            <w:r w:rsidRPr="008F16FC">
              <w:rPr>
                <w:b/>
                <w:bCs/>
                <w:sz w:val="20"/>
                <w:szCs w:val="20"/>
              </w:rPr>
              <w:t xml:space="preserve">(26.112) </w:t>
            </w:r>
          </w:p>
        </w:tc>
      </w:tr>
      <w:tr w:rsidR="008F16FC" w:rsidRPr="00512442" w14:paraId="16935B22" w14:textId="77777777" w:rsidTr="00BA304B">
        <w:trPr>
          <w:trHeight w:val="300"/>
        </w:trPr>
        <w:tc>
          <w:tcPr>
            <w:tcW w:w="6320" w:type="dxa"/>
            <w:gridSpan w:val="2"/>
            <w:tcBorders>
              <w:top w:val="nil"/>
              <w:left w:val="nil"/>
              <w:bottom w:val="nil"/>
              <w:right w:val="nil"/>
            </w:tcBorders>
            <w:shd w:val="clear" w:color="auto" w:fill="auto"/>
            <w:noWrap/>
            <w:vAlign w:val="bottom"/>
            <w:hideMark/>
          </w:tcPr>
          <w:p w14:paraId="37A60286" w14:textId="77777777" w:rsidR="008F16FC" w:rsidRPr="008F16FC" w:rsidRDefault="008F16FC" w:rsidP="008F16FC">
            <w:pPr>
              <w:rPr>
                <w:b/>
                <w:bCs/>
                <w:sz w:val="20"/>
                <w:szCs w:val="20"/>
                <w:u w:val="single"/>
                <w:lang w:val="es-ES"/>
              </w:rPr>
            </w:pPr>
            <w:r w:rsidRPr="008F16FC">
              <w:rPr>
                <w:b/>
                <w:bCs/>
                <w:sz w:val="20"/>
                <w:szCs w:val="20"/>
                <w:u w:val="single"/>
                <w:lang w:val="es-ES"/>
              </w:rPr>
              <w:t>Flujo de efectivo por las actividades de inversión</w:t>
            </w:r>
          </w:p>
        </w:tc>
        <w:tc>
          <w:tcPr>
            <w:tcW w:w="1840" w:type="dxa"/>
            <w:tcBorders>
              <w:top w:val="nil"/>
              <w:left w:val="nil"/>
              <w:bottom w:val="nil"/>
              <w:right w:val="nil"/>
            </w:tcBorders>
            <w:shd w:val="clear" w:color="auto" w:fill="auto"/>
            <w:noWrap/>
            <w:vAlign w:val="bottom"/>
            <w:hideMark/>
          </w:tcPr>
          <w:p w14:paraId="76BB9D6D" w14:textId="77777777" w:rsidR="008F16FC" w:rsidRPr="008F16FC" w:rsidRDefault="008F16FC" w:rsidP="008F16FC">
            <w:pPr>
              <w:rPr>
                <w:sz w:val="20"/>
                <w:szCs w:val="20"/>
                <w:lang w:val="es-ES"/>
              </w:rPr>
            </w:pPr>
          </w:p>
        </w:tc>
      </w:tr>
      <w:tr w:rsidR="008F16FC" w:rsidRPr="008F16FC" w14:paraId="13B89677" w14:textId="77777777" w:rsidTr="00BA304B">
        <w:trPr>
          <w:trHeight w:val="300"/>
        </w:trPr>
        <w:tc>
          <w:tcPr>
            <w:tcW w:w="1200" w:type="dxa"/>
            <w:tcBorders>
              <w:top w:val="nil"/>
              <w:left w:val="nil"/>
              <w:bottom w:val="nil"/>
              <w:right w:val="nil"/>
            </w:tcBorders>
            <w:shd w:val="clear" w:color="auto" w:fill="auto"/>
            <w:noWrap/>
            <w:vAlign w:val="bottom"/>
            <w:hideMark/>
          </w:tcPr>
          <w:p w14:paraId="2E1BD6A2" w14:textId="77777777" w:rsidR="008F16FC" w:rsidRPr="008F16FC" w:rsidRDefault="008F16FC" w:rsidP="008F16FC">
            <w:pPr>
              <w:rPr>
                <w:sz w:val="20"/>
                <w:szCs w:val="20"/>
                <w:u w:val="single"/>
                <w:lang w:val="es-ES"/>
              </w:rPr>
            </w:pPr>
          </w:p>
        </w:tc>
        <w:tc>
          <w:tcPr>
            <w:tcW w:w="5120" w:type="dxa"/>
            <w:tcBorders>
              <w:top w:val="nil"/>
              <w:left w:val="nil"/>
              <w:bottom w:val="nil"/>
              <w:right w:val="nil"/>
            </w:tcBorders>
            <w:shd w:val="clear" w:color="auto" w:fill="auto"/>
            <w:noWrap/>
            <w:vAlign w:val="bottom"/>
            <w:hideMark/>
          </w:tcPr>
          <w:p w14:paraId="7D05CFED" w14:textId="77777777" w:rsidR="008F16FC" w:rsidRPr="008F16FC" w:rsidRDefault="008F16FC" w:rsidP="008F16FC">
            <w:pPr>
              <w:rPr>
                <w:sz w:val="20"/>
                <w:szCs w:val="20"/>
              </w:rPr>
            </w:pPr>
            <w:r w:rsidRPr="008F16FC">
              <w:rPr>
                <w:sz w:val="20"/>
                <w:szCs w:val="20"/>
              </w:rPr>
              <w:t>(Disminución) en activos financieros</w:t>
            </w:r>
          </w:p>
        </w:tc>
        <w:tc>
          <w:tcPr>
            <w:tcW w:w="1840" w:type="dxa"/>
            <w:tcBorders>
              <w:top w:val="nil"/>
              <w:left w:val="nil"/>
              <w:bottom w:val="nil"/>
              <w:right w:val="nil"/>
            </w:tcBorders>
            <w:shd w:val="clear" w:color="auto" w:fill="auto"/>
            <w:noWrap/>
            <w:vAlign w:val="bottom"/>
            <w:hideMark/>
          </w:tcPr>
          <w:p w14:paraId="6306B773" w14:textId="77777777" w:rsidR="008F16FC" w:rsidRPr="008F16FC" w:rsidRDefault="008F16FC" w:rsidP="008F16FC">
            <w:pPr>
              <w:jc w:val="right"/>
              <w:rPr>
                <w:sz w:val="20"/>
                <w:szCs w:val="20"/>
              </w:rPr>
            </w:pPr>
            <w:r w:rsidRPr="008F16FC">
              <w:rPr>
                <w:sz w:val="20"/>
                <w:szCs w:val="20"/>
              </w:rPr>
              <w:t xml:space="preserve">9.334 </w:t>
            </w:r>
          </w:p>
        </w:tc>
      </w:tr>
      <w:tr w:rsidR="008F16FC" w:rsidRPr="008F16FC" w14:paraId="33F39079" w14:textId="77777777" w:rsidTr="00BA304B">
        <w:trPr>
          <w:trHeight w:val="300"/>
        </w:trPr>
        <w:tc>
          <w:tcPr>
            <w:tcW w:w="1200" w:type="dxa"/>
            <w:tcBorders>
              <w:top w:val="nil"/>
              <w:left w:val="nil"/>
              <w:bottom w:val="nil"/>
              <w:right w:val="nil"/>
            </w:tcBorders>
            <w:shd w:val="clear" w:color="auto" w:fill="auto"/>
            <w:noWrap/>
            <w:vAlign w:val="bottom"/>
            <w:hideMark/>
          </w:tcPr>
          <w:p w14:paraId="2B7104FC" w14:textId="77777777" w:rsidR="008F16FC" w:rsidRPr="008F16FC" w:rsidRDefault="008F16FC" w:rsidP="008F16FC">
            <w:pPr>
              <w:rPr>
                <w:sz w:val="20"/>
                <w:szCs w:val="20"/>
                <w:u w:val="single"/>
              </w:rPr>
            </w:pPr>
          </w:p>
        </w:tc>
        <w:tc>
          <w:tcPr>
            <w:tcW w:w="5120" w:type="dxa"/>
            <w:tcBorders>
              <w:top w:val="nil"/>
              <w:left w:val="nil"/>
              <w:bottom w:val="nil"/>
              <w:right w:val="nil"/>
            </w:tcBorders>
            <w:shd w:val="clear" w:color="auto" w:fill="auto"/>
            <w:noWrap/>
            <w:vAlign w:val="bottom"/>
            <w:hideMark/>
          </w:tcPr>
          <w:p w14:paraId="29D90267" w14:textId="77777777" w:rsidR="008F16FC" w:rsidRPr="008F16FC" w:rsidRDefault="008F16FC" w:rsidP="008F16FC">
            <w:pPr>
              <w:rPr>
                <w:sz w:val="20"/>
                <w:szCs w:val="20"/>
                <w:lang w:val="es-ES"/>
              </w:rPr>
            </w:pPr>
            <w:r w:rsidRPr="008F16FC">
              <w:rPr>
                <w:sz w:val="20"/>
                <w:szCs w:val="20"/>
                <w:lang w:val="es-ES"/>
              </w:rPr>
              <w:t>Pagos por compras de propiedades de inversión</w:t>
            </w:r>
          </w:p>
        </w:tc>
        <w:tc>
          <w:tcPr>
            <w:tcW w:w="1840" w:type="dxa"/>
            <w:tcBorders>
              <w:top w:val="nil"/>
              <w:left w:val="nil"/>
              <w:bottom w:val="nil"/>
              <w:right w:val="nil"/>
            </w:tcBorders>
            <w:shd w:val="clear" w:color="auto" w:fill="auto"/>
            <w:noWrap/>
            <w:vAlign w:val="bottom"/>
            <w:hideMark/>
          </w:tcPr>
          <w:p w14:paraId="053DEE81" w14:textId="77777777" w:rsidR="008F16FC" w:rsidRPr="008F16FC" w:rsidRDefault="008F16FC" w:rsidP="008F16FC">
            <w:pPr>
              <w:jc w:val="right"/>
              <w:rPr>
                <w:sz w:val="20"/>
                <w:szCs w:val="20"/>
              </w:rPr>
            </w:pPr>
            <w:r w:rsidRPr="008F16FC">
              <w:rPr>
                <w:sz w:val="20"/>
                <w:szCs w:val="20"/>
              </w:rPr>
              <w:t xml:space="preserve">0 </w:t>
            </w:r>
          </w:p>
        </w:tc>
      </w:tr>
      <w:tr w:rsidR="008F16FC" w:rsidRPr="008F16FC" w14:paraId="645F0C05" w14:textId="77777777" w:rsidTr="00BA304B">
        <w:trPr>
          <w:trHeight w:val="300"/>
        </w:trPr>
        <w:tc>
          <w:tcPr>
            <w:tcW w:w="1200" w:type="dxa"/>
            <w:tcBorders>
              <w:top w:val="nil"/>
              <w:left w:val="nil"/>
              <w:bottom w:val="nil"/>
              <w:right w:val="nil"/>
            </w:tcBorders>
            <w:shd w:val="clear" w:color="auto" w:fill="auto"/>
            <w:noWrap/>
            <w:vAlign w:val="bottom"/>
            <w:hideMark/>
          </w:tcPr>
          <w:p w14:paraId="21FA41FC" w14:textId="77777777" w:rsidR="008F16FC" w:rsidRPr="008F16FC" w:rsidRDefault="008F16FC" w:rsidP="008F16FC">
            <w:pPr>
              <w:rPr>
                <w:sz w:val="20"/>
                <w:szCs w:val="20"/>
                <w:u w:val="single"/>
              </w:rPr>
            </w:pPr>
          </w:p>
        </w:tc>
        <w:tc>
          <w:tcPr>
            <w:tcW w:w="5120" w:type="dxa"/>
            <w:tcBorders>
              <w:top w:val="nil"/>
              <w:left w:val="nil"/>
              <w:bottom w:val="nil"/>
              <w:right w:val="nil"/>
            </w:tcBorders>
            <w:shd w:val="clear" w:color="auto" w:fill="auto"/>
            <w:noWrap/>
            <w:vAlign w:val="bottom"/>
            <w:hideMark/>
          </w:tcPr>
          <w:p w14:paraId="18C213BA" w14:textId="77777777" w:rsidR="008F16FC" w:rsidRPr="008F16FC" w:rsidRDefault="008F16FC" w:rsidP="008F16FC">
            <w:pPr>
              <w:rPr>
                <w:sz w:val="20"/>
                <w:szCs w:val="20"/>
                <w:lang w:val="es-ES"/>
              </w:rPr>
            </w:pPr>
            <w:r w:rsidRPr="008F16FC">
              <w:rPr>
                <w:sz w:val="20"/>
                <w:szCs w:val="20"/>
                <w:lang w:val="es-ES"/>
              </w:rPr>
              <w:t>Cobro por ventas de propiedades, planta y equipo</w:t>
            </w:r>
          </w:p>
        </w:tc>
        <w:tc>
          <w:tcPr>
            <w:tcW w:w="1840" w:type="dxa"/>
            <w:tcBorders>
              <w:top w:val="nil"/>
              <w:left w:val="nil"/>
              <w:bottom w:val="nil"/>
              <w:right w:val="nil"/>
            </w:tcBorders>
            <w:shd w:val="clear" w:color="auto" w:fill="auto"/>
            <w:noWrap/>
            <w:vAlign w:val="bottom"/>
            <w:hideMark/>
          </w:tcPr>
          <w:p w14:paraId="687B7C5E" w14:textId="77777777" w:rsidR="008F16FC" w:rsidRPr="008F16FC" w:rsidRDefault="008F16FC" w:rsidP="008F16FC">
            <w:pPr>
              <w:jc w:val="right"/>
              <w:rPr>
                <w:sz w:val="20"/>
                <w:szCs w:val="20"/>
              </w:rPr>
            </w:pPr>
            <w:r w:rsidRPr="008F16FC">
              <w:rPr>
                <w:sz w:val="20"/>
                <w:szCs w:val="20"/>
              </w:rPr>
              <w:t xml:space="preserve">0 </w:t>
            </w:r>
          </w:p>
        </w:tc>
      </w:tr>
      <w:tr w:rsidR="008F16FC" w:rsidRPr="008F16FC" w14:paraId="09D6DC38" w14:textId="77777777" w:rsidTr="00BA304B">
        <w:trPr>
          <w:trHeight w:val="300"/>
        </w:trPr>
        <w:tc>
          <w:tcPr>
            <w:tcW w:w="1200" w:type="dxa"/>
            <w:tcBorders>
              <w:top w:val="nil"/>
              <w:left w:val="nil"/>
              <w:bottom w:val="nil"/>
              <w:right w:val="nil"/>
            </w:tcBorders>
            <w:shd w:val="clear" w:color="auto" w:fill="auto"/>
            <w:noWrap/>
            <w:vAlign w:val="bottom"/>
            <w:hideMark/>
          </w:tcPr>
          <w:p w14:paraId="2D5D0EE8" w14:textId="77777777" w:rsidR="008F16FC" w:rsidRPr="008F16FC" w:rsidRDefault="008F16FC" w:rsidP="008F16FC">
            <w:pPr>
              <w:rPr>
                <w:sz w:val="20"/>
                <w:szCs w:val="20"/>
                <w:u w:val="single"/>
              </w:rPr>
            </w:pPr>
          </w:p>
        </w:tc>
        <w:tc>
          <w:tcPr>
            <w:tcW w:w="5120" w:type="dxa"/>
            <w:tcBorders>
              <w:top w:val="nil"/>
              <w:left w:val="nil"/>
              <w:bottom w:val="nil"/>
              <w:right w:val="nil"/>
            </w:tcBorders>
            <w:shd w:val="clear" w:color="auto" w:fill="auto"/>
            <w:noWrap/>
            <w:vAlign w:val="bottom"/>
            <w:hideMark/>
          </w:tcPr>
          <w:p w14:paraId="6611B41E" w14:textId="77777777" w:rsidR="008F16FC" w:rsidRPr="008F16FC" w:rsidRDefault="008F16FC" w:rsidP="008F16FC">
            <w:pPr>
              <w:rPr>
                <w:sz w:val="20"/>
                <w:szCs w:val="20"/>
                <w:lang w:val="es-ES"/>
              </w:rPr>
            </w:pPr>
            <w:r w:rsidRPr="008F16FC">
              <w:rPr>
                <w:sz w:val="20"/>
                <w:szCs w:val="20"/>
                <w:lang w:val="es-ES"/>
              </w:rPr>
              <w:t>Pago por compras de propiedades, planta y equipo</w:t>
            </w:r>
          </w:p>
        </w:tc>
        <w:tc>
          <w:tcPr>
            <w:tcW w:w="1840" w:type="dxa"/>
            <w:tcBorders>
              <w:top w:val="nil"/>
              <w:left w:val="nil"/>
              <w:bottom w:val="nil"/>
              <w:right w:val="nil"/>
            </w:tcBorders>
            <w:shd w:val="clear" w:color="auto" w:fill="auto"/>
            <w:noWrap/>
            <w:vAlign w:val="bottom"/>
            <w:hideMark/>
          </w:tcPr>
          <w:p w14:paraId="5037DAEF" w14:textId="77777777" w:rsidR="008F16FC" w:rsidRPr="008F16FC" w:rsidRDefault="008F16FC" w:rsidP="008F16FC">
            <w:pPr>
              <w:jc w:val="right"/>
              <w:rPr>
                <w:sz w:val="20"/>
                <w:szCs w:val="20"/>
              </w:rPr>
            </w:pPr>
            <w:r w:rsidRPr="008F16FC">
              <w:rPr>
                <w:sz w:val="20"/>
                <w:szCs w:val="20"/>
              </w:rPr>
              <w:t xml:space="preserve">(107.320) </w:t>
            </w:r>
          </w:p>
        </w:tc>
      </w:tr>
      <w:tr w:rsidR="008F16FC" w:rsidRPr="008F16FC" w14:paraId="4E01CF46" w14:textId="77777777" w:rsidTr="00BA304B">
        <w:trPr>
          <w:trHeight w:val="300"/>
        </w:trPr>
        <w:tc>
          <w:tcPr>
            <w:tcW w:w="1200" w:type="dxa"/>
            <w:tcBorders>
              <w:top w:val="nil"/>
              <w:left w:val="nil"/>
              <w:bottom w:val="nil"/>
              <w:right w:val="nil"/>
            </w:tcBorders>
            <w:shd w:val="clear" w:color="auto" w:fill="auto"/>
            <w:noWrap/>
            <w:vAlign w:val="bottom"/>
            <w:hideMark/>
          </w:tcPr>
          <w:p w14:paraId="12CAF835" w14:textId="77777777" w:rsidR="008F16FC" w:rsidRPr="008F16FC" w:rsidRDefault="008F16FC" w:rsidP="008F16FC">
            <w:pPr>
              <w:rPr>
                <w:sz w:val="20"/>
                <w:szCs w:val="20"/>
                <w:u w:val="single"/>
              </w:rPr>
            </w:pPr>
          </w:p>
        </w:tc>
        <w:tc>
          <w:tcPr>
            <w:tcW w:w="5120" w:type="dxa"/>
            <w:tcBorders>
              <w:top w:val="nil"/>
              <w:left w:val="nil"/>
              <w:bottom w:val="nil"/>
              <w:right w:val="nil"/>
            </w:tcBorders>
            <w:shd w:val="clear" w:color="auto" w:fill="auto"/>
            <w:noWrap/>
            <w:vAlign w:val="bottom"/>
            <w:hideMark/>
          </w:tcPr>
          <w:p w14:paraId="0FA0D502" w14:textId="77777777" w:rsidR="008F16FC" w:rsidRPr="008F16FC" w:rsidRDefault="008F16FC" w:rsidP="008F16FC">
            <w:pPr>
              <w:rPr>
                <w:sz w:val="20"/>
                <w:szCs w:val="20"/>
                <w:lang w:val="es-ES"/>
              </w:rPr>
            </w:pPr>
            <w:r w:rsidRPr="008F16FC">
              <w:rPr>
                <w:sz w:val="20"/>
                <w:szCs w:val="20"/>
                <w:lang w:val="es-ES"/>
              </w:rPr>
              <w:t>Pago por compras de activos intangibles</w:t>
            </w:r>
          </w:p>
        </w:tc>
        <w:tc>
          <w:tcPr>
            <w:tcW w:w="1840" w:type="dxa"/>
            <w:tcBorders>
              <w:top w:val="nil"/>
              <w:left w:val="nil"/>
              <w:bottom w:val="nil"/>
              <w:right w:val="nil"/>
            </w:tcBorders>
            <w:shd w:val="clear" w:color="auto" w:fill="auto"/>
            <w:noWrap/>
            <w:vAlign w:val="bottom"/>
            <w:hideMark/>
          </w:tcPr>
          <w:p w14:paraId="281879B5" w14:textId="77777777" w:rsidR="008F16FC" w:rsidRPr="008F16FC" w:rsidRDefault="008F16FC" w:rsidP="008F16FC">
            <w:pPr>
              <w:jc w:val="right"/>
              <w:rPr>
                <w:sz w:val="20"/>
                <w:szCs w:val="20"/>
              </w:rPr>
            </w:pPr>
            <w:r w:rsidRPr="008F16FC">
              <w:rPr>
                <w:sz w:val="20"/>
                <w:szCs w:val="20"/>
              </w:rPr>
              <w:t xml:space="preserve">(127.737) </w:t>
            </w:r>
          </w:p>
        </w:tc>
      </w:tr>
      <w:tr w:rsidR="008F16FC" w:rsidRPr="008F16FC" w14:paraId="234798B4" w14:textId="77777777" w:rsidTr="00BA304B">
        <w:trPr>
          <w:trHeight w:val="300"/>
        </w:trPr>
        <w:tc>
          <w:tcPr>
            <w:tcW w:w="1200" w:type="dxa"/>
            <w:tcBorders>
              <w:top w:val="nil"/>
              <w:left w:val="nil"/>
              <w:bottom w:val="nil"/>
              <w:right w:val="nil"/>
            </w:tcBorders>
            <w:shd w:val="clear" w:color="auto" w:fill="auto"/>
            <w:noWrap/>
            <w:vAlign w:val="bottom"/>
            <w:hideMark/>
          </w:tcPr>
          <w:p w14:paraId="367984F3" w14:textId="77777777" w:rsidR="008F16FC" w:rsidRPr="008F16FC" w:rsidRDefault="008F16FC" w:rsidP="008F16FC">
            <w:pPr>
              <w:rPr>
                <w:sz w:val="20"/>
                <w:szCs w:val="20"/>
                <w:u w:val="single"/>
              </w:rPr>
            </w:pPr>
          </w:p>
        </w:tc>
        <w:tc>
          <w:tcPr>
            <w:tcW w:w="5120" w:type="dxa"/>
            <w:tcBorders>
              <w:top w:val="nil"/>
              <w:left w:val="nil"/>
              <w:bottom w:val="nil"/>
              <w:right w:val="nil"/>
            </w:tcBorders>
            <w:shd w:val="clear" w:color="auto" w:fill="auto"/>
            <w:noWrap/>
            <w:vAlign w:val="bottom"/>
            <w:hideMark/>
          </w:tcPr>
          <w:p w14:paraId="6EEE33EB" w14:textId="77777777" w:rsidR="008F16FC" w:rsidRPr="008F16FC" w:rsidRDefault="008F16FC" w:rsidP="008F16FC">
            <w:pPr>
              <w:rPr>
                <w:sz w:val="20"/>
                <w:szCs w:val="20"/>
              </w:rPr>
            </w:pPr>
            <w:r w:rsidRPr="008F16FC">
              <w:rPr>
                <w:sz w:val="20"/>
                <w:szCs w:val="20"/>
              </w:rPr>
              <w:t>Bajas de activos intangibles</w:t>
            </w:r>
          </w:p>
        </w:tc>
        <w:tc>
          <w:tcPr>
            <w:tcW w:w="1840" w:type="dxa"/>
            <w:tcBorders>
              <w:top w:val="nil"/>
              <w:left w:val="nil"/>
              <w:bottom w:val="nil"/>
              <w:right w:val="nil"/>
            </w:tcBorders>
            <w:shd w:val="clear" w:color="auto" w:fill="auto"/>
            <w:noWrap/>
            <w:vAlign w:val="bottom"/>
            <w:hideMark/>
          </w:tcPr>
          <w:p w14:paraId="434AAFD0" w14:textId="77777777" w:rsidR="008F16FC" w:rsidRPr="008F16FC" w:rsidRDefault="008F16FC" w:rsidP="008F16FC">
            <w:pPr>
              <w:jc w:val="right"/>
              <w:rPr>
                <w:sz w:val="20"/>
                <w:szCs w:val="20"/>
              </w:rPr>
            </w:pPr>
            <w:r w:rsidRPr="008F16FC">
              <w:rPr>
                <w:sz w:val="20"/>
                <w:szCs w:val="20"/>
              </w:rPr>
              <w:t xml:space="preserve">8.090 </w:t>
            </w:r>
          </w:p>
        </w:tc>
      </w:tr>
      <w:tr w:rsidR="008F16FC" w:rsidRPr="008F16FC" w14:paraId="73B9EE6C" w14:textId="77777777" w:rsidTr="00BA304B">
        <w:trPr>
          <w:trHeight w:val="300"/>
        </w:trPr>
        <w:tc>
          <w:tcPr>
            <w:tcW w:w="6320" w:type="dxa"/>
            <w:gridSpan w:val="2"/>
            <w:tcBorders>
              <w:top w:val="nil"/>
              <w:left w:val="nil"/>
              <w:bottom w:val="nil"/>
              <w:right w:val="nil"/>
            </w:tcBorders>
            <w:shd w:val="clear" w:color="auto" w:fill="auto"/>
            <w:vAlign w:val="bottom"/>
            <w:hideMark/>
          </w:tcPr>
          <w:p w14:paraId="0CB9F893" w14:textId="77777777" w:rsidR="008F16FC" w:rsidRPr="008F16FC" w:rsidRDefault="008F16FC" w:rsidP="008F16FC">
            <w:pPr>
              <w:rPr>
                <w:b/>
                <w:bCs/>
                <w:i/>
                <w:iCs/>
                <w:sz w:val="20"/>
                <w:szCs w:val="20"/>
                <w:lang w:val="es-ES"/>
              </w:rPr>
            </w:pPr>
            <w:r w:rsidRPr="008F16FC">
              <w:rPr>
                <w:b/>
                <w:bCs/>
                <w:i/>
                <w:iCs/>
                <w:sz w:val="20"/>
                <w:szCs w:val="20"/>
                <w:lang w:val="es-ES"/>
              </w:rPr>
              <w:t>Flujo neto de efectivo utilizado en las actividades de inversión</w:t>
            </w:r>
          </w:p>
        </w:tc>
        <w:tc>
          <w:tcPr>
            <w:tcW w:w="1840" w:type="dxa"/>
            <w:tcBorders>
              <w:top w:val="single" w:sz="4" w:space="0" w:color="auto"/>
              <w:left w:val="nil"/>
              <w:bottom w:val="dotted" w:sz="4" w:space="0" w:color="auto"/>
              <w:right w:val="nil"/>
            </w:tcBorders>
            <w:shd w:val="clear" w:color="auto" w:fill="auto"/>
            <w:noWrap/>
            <w:vAlign w:val="bottom"/>
            <w:hideMark/>
          </w:tcPr>
          <w:p w14:paraId="5581E84E" w14:textId="77777777" w:rsidR="008F16FC" w:rsidRPr="008F16FC" w:rsidRDefault="008F16FC" w:rsidP="008F16FC">
            <w:pPr>
              <w:jc w:val="right"/>
              <w:rPr>
                <w:b/>
                <w:bCs/>
                <w:sz w:val="20"/>
                <w:szCs w:val="20"/>
              </w:rPr>
            </w:pPr>
            <w:r w:rsidRPr="008F16FC">
              <w:rPr>
                <w:b/>
                <w:bCs/>
                <w:sz w:val="20"/>
                <w:szCs w:val="20"/>
              </w:rPr>
              <w:t xml:space="preserve">(217.633) </w:t>
            </w:r>
          </w:p>
        </w:tc>
      </w:tr>
      <w:tr w:rsidR="008F16FC" w:rsidRPr="00512442" w14:paraId="777D7ACA" w14:textId="77777777" w:rsidTr="00BA304B">
        <w:trPr>
          <w:trHeight w:val="300"/>
        </w:trPr>
        <w:tc>
          <w:tcPr>
            <w:tcW w:w="6320" w:type="dxa"/>
            <w:gridSpan w:val="2"/>
            <w:tcBorders>
              <w:top w:val="nil"/>
              <w:left w:val="nil"/>
              <w:bottom w:val="nil"/>
              <w:right w:val="nil"/>
            </w:tcBorders>
            <w:shd w:val="clear" w:color="auto" w:fill="auto"/>
            <w:noWrap/>
            <w:vAlign w:val="bottom"/>
            <w:hideMark/>
          </w:tcPr>
          <w:p w14:paraId="3EFC8944" w14:textId="77777777" w:rsidR="008F16FC" w:rsidRPr="008F16FC" w:rsidRDefault="008F16FC" w:rsidP="008F16FC">
            <w:pPr>
              <w:rPr>
                <w:b/>
                <w:bCs/>
                <w:sz w:val="20"/>
                <w:szCs w:val="20"/>
                <w:u w:val="single"/>
                <w:lang w:val="es-ES"/>
              </w:rPr>
            </w:pPr>
            <w:r w:rsidRPr="008F16FC">
              <w:rPr>
                <w:b/>
                <w:bCs/>
                <w:sz w:val="20"/>
                <w:szCs w:val="20"/>
                <w:u w:val="single"/>
                <w:lang w:val="es-ES"/>
              </w:rPr>
              <w:t>Flujo de efectivo por las actividades de financiación</w:t>
            </w:r>
          </w:p>
        </w:tc>
        <w:tc>
          <w:tcPr>
            <w:tcW w:w="1840" w:type="dxa"/>
            <w:tcBorders>
              <w:top w:val="nil"/>
              <w:left w:val="nil"/>
              <w:bottom w:val="nil"/>
              <w:right w:val="nil"/>
            </w:tcBorders>
            <w:shd w:val="clear" w:color="auto" w:fill="auto"/>
            <w:noWrap/>
            <w:vAlign w:val="bottom"/>
            <w:hideMark/>
          </w:tcPr>
          <w:p w14:paraId="792ABC0F" w14:textId="77777777" w:rsidR="008F16FC" w:rsidRPr="008F16FC" w:rsidRDefault="008F16FC" w:rsidP="008F16FC">
            <w:pPr>
              <w:rPr>
                <w:sz w:val="20"/>
                <w:szCs w:val="20"/>
                <w:lang w:val="es-ES"/>
              </w:rPr>
            </w:pPr>
          </w:p>
        </w:tc>
      </w:tr>
      <w:tr w:rsidR="008F16FC" w:rsidRPr="008F16FC" w14:paraId="42E5434F" w14:textId="77777777" w:rsidTr="00BA304B">
        <w:trPr>
          <w:trHeight w:val="300"/>
        </w:trPr>
        <w:tc>
          <w:tcPr>
            <w:tcW w:w="1200" w:type="dxa"/>
            <w:tcBorders>
              <w:top w:val="nil"/>
              <w:left w:val="nil"/>
              <w:bottom w:val="nil"/>
              <w:right w:val="nil"/>
            </w:tcBorders>
            <w:shd w:val="clear" w:color="auto" w:fill="auto"/>
            <w:noWrap/>
            <w:vAlign w:val="bottom"/>
            <w:hideMark/>
          </w:tcPr>
          <w:p w14:paraId="23DC9497" w14:textId="77777777" w:rsidR="008F16FC" w:rsidRPr="008F16FC" w:rsidRDefault="008F16FC" w:rsidP="008F16FC">
            <w:pPr>
              <w:rPr>
                <w:b/>
                <w:bCs/>
                <w:sz w:val="20"/>
                <w:szCs w:val="20"/>
                <w:lang w:val="es-ES"/>
              </w:rPr>
            </w:pPr>
          </w:p>
        </w:tc>
        <w:tc>
          <w:tcPr>
            <w:tcW w:w="5120" w:type="dxa"/>
            <w:tcBorders>
              <w:top w:val="nil"/>
              <w:left w:val="nil"/>
              <w:bottom w:val="nil"/>
              <w:right w:val="nil"/>
            </w:tcBorders>
            <w:shd w:val="clear" w:color="auto" w:fill="auto"/>
            <w:noWrap/>
            <w:vAlign w:val="bottom"/>
            <w:hideMark/>
          </w:tcPr>
          <w:p w14:paraId="603D2C69" w14:textId="77777777" w:rsidR="008F16FC" w:rsidRPr="008F16FC" w:rsidRDefault="008F16FC" w:rsidP="008F16FC">
            <w:pPr>
              <w:rPr>
                <w:sz w:val="20"/>
                <w:szCs w:val="20"/>
                <w:lang w:val="es-ES"/>
              </w:rPr>
            </w:pPr>
            <w:r w:rsidRPr="008F16FC">
              <w:rPr>
                <w:sz w:val="20"/>
                <w:szCs w:val="20"/>
                <w:lang w:val="es-ES"/>
              </w:rPr>
              <w:t>Préstamos bancarios y otros pasivos</w:t>
            </w:r>
          </w:p>
        </w:tc>
        <w:tc>
          <w:tcPr>
            <w:tcW w:w="1840" w:type="dxa"/>
            <w:tcBorders>
              <w:top w:val="nil"/>
              <w:left w:val="nil"/>
              <w:bottom w:val="nil"/>
              <w:right w:val="nil"/>
            </w:tcBorders>
            <w:shd w:val="clear" w:color="auto" w:fill="auto"/>
            <w:noWrap/>
            <w:vAlign w:val="bottom"/>
            <w:hideMark/>
          </w:tcPr>
          <w:p w14:paraId="25DDA3E5" w14:textId="77777777" w:rsidR="008F16FC" w:rsidRPr="008F16FC" w:rsidRDefault="008F16FC" w:rsidP="008F16FC">
            <w:pPr>
              <w:jc w:val="right"/>
              <w:rPr>
                <w:sz w:val="20"/>
                <w:szCs w:val="20"/>
              </w:rPr>
            </w:pPr>
            <w:r w:rsidRPr="008F16FC">
              <w:rPr>
                <w:sz w:val="20"/>
                <w:szCs w:val="20"/>
              </w:rPr>
              <w:t xml:space="preserve">(127.909) </w:t>
            </w:r>
          </w:p>
        </w:tc>
      </w:tr>
      <w:tr w:rsidR="008F16FC" w:rsidRPr="008F16FC" w14:paraId="6F7481CF" w14:textId="77777777" w:rsidTr="00BA304B">
        <w:trPr>
          <w:trHeight w:val="300"/>
        </w:trPr>
        <w:tc>
          <w:tcPr>
            <w:tcW w:w="1200" w:type="dxa"/>
            <w:tcBorders>
              <w:top w:val="nil"/>
              <w:left w:val="nil"/>
              <w:bottom w:val="nil"/>
              <w:right w:val="nil"/>
            </w:tcBorders>
            <w:shd w:val="clear" w:color="auto" w:fill="auto"/>
            <w:noWrap/>
            <w:vAlign w:val="bottom"/>
            <w:hideMark/>
          </w:tcPr>
          <w:p w14:paraId="70541399" w14:textId="77777777" w:rsidR="008F16FC" w:rsidRPr="008F16FC" w:rsidRDefault="008F16FC" w:rsidP="008F16FC">
            <w:pPr>
              <w:rPr>
                <w:b/>
                <w:bCs/>
                <w:sz w:val="20"/>
                <w:szCs w:val="20"/>
              </w:rPr>
            </w:pPr>
          </w:p>
        </w:tc>
        <w:tc>
          <w:tcPr>
            <w:tcW w:w="5120" w:type="dxa"/>
            <w:tcBorders>
              <w:top w:val="nil"/>
              <w:left w:val="nil"/>
              <w:bottom w:val="nil"/>
              <w:right w:val="nil"/>
            </w:tcBorders>
            <w:shd w:val="clear" w:color="auto" w:fill="auto"/>
            <w:noWrap/>
            <w:vAlign w:val="bottom"/>
            <w:hideMark/>
          </w:tcPr>
          <w:p w14:paraId="6480D5FB" w14:textId="77777777" w:rsidR="008F16FC" w:rsidRPr="008F16FC" w:rsidRDefault="008F16FC" w:rsidP="008F16FC">
            <w:pPr>
              <w:rPr>
                <w:sz w:val="20"/>
                <w:szCs w:val="20"/>
              </w:rPr>
            </w:pPr>
            <w:r w:rsidRPr="008F16FC">
              <w:rPr>
                <w:sz w:val="20"/>
                <w:szCs w:val="20"/>
              </w:rPr>
              <w:t>Cancelacion prestamos bancarios</w:t>
            </w:r>
          </w:p>
        </w:tc>
        <w:tc>
          <w:tcPr>
            <w:tcW w:w="1840" w:type="dxa"/>
            <w:tcBorders>
              <w:top w:val="nil"/>
              <w:left w:val="nil"/>
              <w:bottom w:val="nil"/>
              <w:right w:val="nil"/>
            </w:tcBorders>
            <w:shd w:val="clear" w:color="auto" w:fill="auto"/>
            <w:noWrap/>
            <w:vAlign w:val="bottom"/>
            <w:hideMark/>
          </w:tcPr>
          <w:p w14:paraId="3D9DF2B3" w14:textId="77777777" w:rsidR="008F16FC" w:rsidRPr="008F16FC" w:rsidRDefault="008F16FC" w:rsidP="008F16FC">
            <w:pPr>
              <w:rPr>
                <w:sz w:val="20"/>
                <w:szCs w:val="20"/>
              </w:rPr>
            </w:pPr>
          </w:p>
        </w:tc>
      </w:tr>
      <w:tr w:rsidR="008F16FC" w:rsidRPr="008F16FC" w14:paraId="3B8A74D4" w14:textId="77777777" w:rsidTr="00BA304B">
        <w:trPr>
          <w:trHeight w:val="300"/>
        </w:trPr>
        <w:tc>
          <w:tcPr>
            <w:tcW w:w="6320" w:type="dxa"/>
            <w:gridSpan w:val="2"/>
            <w:tcBorders>
              <w:top w:val="nil"/>
              <w:left w:val="nil"/>
              <w:bottom w:val="nil"/>
              <w:right w:val="nil"/>
            </w:tcBorders>
            <w:shd w:val="clear" w:color="auto" w:fill="auto"/>
            <w:vAlign w:val="bottom"/>
            <w:hideMark/>
          </w:tcPr>
          <w:p w14:paraId="63A4D8A9" w14:textId="77777777" w:rsidR="008F16FC" w:rsidRPr="008F16FC" w:rsidRDefault="008F16FC" w:rsidP="008F16FC">
            <w:pPr>
              <w:rPr>
                <w:b/>
                <w:bCs/>
                <w:i/>
                <w:iCs/>
                <w:sz w:val="20"/>
                <w:szCs w:val="20"/>
                <w:lang w:val="es-ES"/>
              </w:rPr>
            </w:pPr>
            <w:r w:rsidRPr="008F16FC">
              <w:rPr>
                <w:b/>
                <w:bCs/>
                <w:i/>
                <w:iCs/>
                <w:sz w:val="20"/>
                <w:szCs w:val="20"/>
                <w:lang w:val="es-ES"/>
              </w:rPr>
              <w:t>Flujo de efectivo procedente de las actividades de financiación</w:t>
            </w:r>
          </w:p>
        </w:tc>
        <w:tc>
          <w:tcPr>
            <w:tcW w:w="1840" w:type="dxa"/>
            <w:tcBorders>
              <w:top w:val="single" w:sz="4" w:space="0" w:color="auto"/>
              <w:left w:val="nil"/>
              <w:bottom w:val="single" w:sz="4" w:space="0" w:color="auto"/>
              <w:right w:val="nil"/>
            </w:tcBorders>
            <w:shd w:val="clear" w:color="auto" w:fill="auto"/>
            <w:noWrap/>
            <w:vAlign w:val="bottom"/>
            <w:hideMark/>
          </w:tcPr>
          <w:p w14:paraId="4618ABFA" w14:textId="77777777" w:rsidR="008F16FC" w:rsidRPr="008F16FC" w:rsidRDefault="008F16FC" w:rsidP="008F16FC">
            <w:pPr>
              <w:jc w:val="right"/>
              <w:rPr>
                <w:b/>
                <w:bCs/>
                <w:sz w:val="20"/>
                <w:szCs w:val="20"/>
              </w:rPr>
            </w:pPr>
            <w:r w:rsidRPr="008F16FC">
              <w:rPr>
                <w:b/>
                <w:bCs/>
                <w:sz w:val="20"/>
                <w:szCs w:val="20"/>
              </w:rPr>
              <w:t xml:space="preserve">(127.909) </w:t>
            </w:r>
          </w:p>
        </w:tc>
      </w:tr>
      <w:tr w:rsidR="008F16FC" w:rsidRPr="008F16FC" w14:paraId="7EFA0FE3" w14:textId="77777777" w:rsidTr="00BA304B">
        <w:trPr>
          <w:trHeight w:val="300"/>
        </w:trPr>
        <w:tc>
          <w:tcPr>
            <w:tcW w:w="6320" w:type="dxa"/>
            <w:gridSpan w:val="2"/>
            <w:tcBorders>
              <w:top w:val="nil"/>
              <w:left w:val="nil"/>
              <w:bottom w:val="nil"/>
              <w:right w:val="nil"/>
            </w:tcBorders>
            <w:shd w:val="clear" w:color="auto" w:fill="auto"/>
            <w:vAlign w:val="bottom"/>
            <w:hideMark/>
          </w:tcPr>
          <w:p w14:paraId="49B0CF25" w14:textId="77777777" w:rsidR="008F16FC" w:rsidRPr="008F16FC" w:rsidRDefault="008F16FC" w:rsidP="008F16FC">
            <w:pPr>
              <w:rPr>
                <w:b/>
                <w:bCs/>
                <w:sz w:val="20"/>
                <w:szCs w:val="20"/>
                <w:lang w:val="es-ES"/>
              </w:rPr>
            </w:pPr>
            <w:r w:rsidRPr="008F16FC">
              <w:rPr>
                <w:b/>
                <w:bCs/>
                <w:sz w:val="20"/>
                <w:szCs w:val="20"/>
                <w:lang w:val="es-ES"/>
              </w:rPr>
              <w:t>Flujo neto del efectivo del ejercicio</w:t>
            </w:r>
          </w:p>
        </w:tc>
        <w:tc>
          <w:tcPr>
            <w:tcW w:w="1840" w:type="dxa"/>
            <w:tcBorders>
              <w:top w:val="nil"/>
              <w:left w:val="nil"/>
              <w:bottom w:val="nil"/>
              <w:right w:val="nil"/>
            </w:tcBorders>
            <w:shd w:val="clear" w:color="auto" w:fill="auto"/>
            <w:noWrap/>
            <w:vAlign w:val="bottom"/>
            <w:hideMark/>
          </w:tcPr>
          <w:p w14:paraId="1F078806" w14:textId="77777777" w:rsidR="008F16FC" w:rsidRPr="008F16FC" w:rsidRDefault="008F16FC" w:rsidP="008F16FC">
            <w:pPr>
              <w:jc w:val="right"/>
              <w:rPr>
                <w:b/>
                <w:bCs/>
                <w:sz w:val="20"/>
                <w:szCs w:val="20"/>
              </w:rPr>
            </w:pPr>
            <w:r w:rsidRPr="008F16FC">
              <w:rPr>
                <w:b/>
                <w:bCs/>
                <w:sz w:val="20"/>
                <w:szCs w:val="20"/>
              </w:rPr>
              <w:t xml:space="preserve">(371.654) </w:t>
            </w:r>
          </w:p>
        </w:tc>
      </w:tr>
      <w:tr w:rsidR="008F16FC" w:rsidRPr="008F16FC" w14:paraId="157A191E" w14:textId="77777777" w:rsidTr="00BA304B">
        <w:trPr>
          <w:trHeight w:val="300"/>
        </w:trPr>
        <w:tc>
          <w:tcPr>
            <w:tcW w:w="1200" w:type="dxa"/>
            <w:tcBorders>
              <w:top w:val="nil"/>
              <w:left w:val="nil"/>
              <w:bottom w:val="nil"/>
              <w:right w:val="nil"/>
            </w:tcBorders>
            <w:shd w:val="clear" w:color="auto" w:fill="auto"/>
            <w:vAlign w:val="bottom"/>
            <w:hideMark/>
          </w:tcPr>
          <w:p w14:paraId="5A408321" w14:textId="77777777" w:rsidR="008F16FC" w:rsidRPr="008F16FC" w:rsidRDefault="008F16FC" w:rsidP="008F16FC">
            <w:pPr>
              <w:rPr>
                <w:sz w:val="20"/>
                <w:szCs w:val="20"/>
              </w:rPr>
            </w:pPr>
          </w:p>
        </w:tc>
        <w:tc>
          <w:tcPr>
            <w:tcW w:w="5120" w:type="dxa"/>
            <w:tcBorders>
              <w:top w:val="nil"/>
              <w:left w:val="nil"/>
              <w:bottom w:val="nil"/>
              <w:right w:val="nil"/>
            </w:tcBorders>
            <w:shd w:val="clear" w:color="auto" w:fill="auto"/>
            <w:vAlign w:val="bottom"/>
            <w:hideMark/>
          </w:tcPr>
          <w:p w14:paraId="77F37901" w14:textId="77777777" w:rsidR="008F16FC" w:rsidRPr="008F16FC" w:rsidRDefault="008F16FC" w:rsidP="008F16FC">
            <w:pPr>
              <w:rPr>
                <w:sz w:val="20"/>
                <w:szCs w:val="20"/>
                <w:lang w:val="es-ES"/>
              </w:rPr>
            </w:pPr>
            <w:r w:rsidRPr="008F16FC">
              <w:rPr>
                <w:sz w:val="20"/>
                <w:szCs w:val="20"/>
                <w:lang w:val="es-ES"/>
              </w:rPr>
              <w:t>Efectivo al inicio del ejercicio</w:t>
            </w:r>
          </w:p>
        </w:tc>
        <w:tc>
          <w:tcPr>
            <w:tcW w:w="1840" w:type="dxa"/>
            <w:tcBorders>
              <w:top w:val="nil"/>
              <w:left w:val="nil"/>
              <w:bottom w:val="nil"/>
              <w:right w:val="nil"/>
            </w:tcBorders>
            <w:shd w:val="clear" w:color="auto" w:fill="auto"/>
            <w:noWrap/>
            <w:vAlign w:val="bottom"/>
            <w:hideMark/>
          </w:tcPr>
          <w:p w14:paraId="52760A68" w14:textId="77777777" w:rsidR="008F16FC" w:rsidRPr="008F16FC" w:rsidRDefault="008F16FC" w:rsidP="008F16FC">
            <w:pPr>
              <w:jc w:val="right"/>
              <w:rPr>
                <w:sz w:val="20"/>
                <w:szCs w:val="20"/>
              </w:rPr>
            </w:pPr>
            <w:r w:rsidRPr="008F16FC">
              <w:rPr>
                <w:sz w:val="20"/>
                <w:szCs w:val="20"/>
              </w:rPr>
              <w:t xml:space="preserve">490.265 </w:t>
            </w:r>
          </w:p>
        </w:tc>
      </w:tr>
      <w:tr w:rsidR="008F16FC" w:rsidRPr="008F16FC" w14:paraId="63301FFB" w14:textId="77777777" w:rsidTr="00BA304B">
        <w:trPr>
          <w:trHeight w:val="315"/>
        </w:trPr>
        <w:tc>
          <w:tcPr>
            <w:tcW w:w="6320" w:type="dxa"/>
            <w:gridSpan w:val="2"/>
            <w:tcBorders>
              <w:top w:val="nil"/>
              <w:left w:val="nil"/>
              <w:bottom w:val="nil"/>
              <w:right w:val="nil"/>
            </w:tcBorders>
            <w:shd w:val="clear" w:color="auto" w:fill="auto"/>
            <w:noWrap/>
            <w:vAlign w:val="bottom"/>
            <w:hideMark/>
          </w:tcPr>
          <w:p w14:paraId="08224581" w14:textId="77777777" w:rsidR="008F16FC" w:rsidRPr="008F16FC" w:rsidRDefault="008F16FC" w:rsidP="008F16FC">
            <w:pPr>
              <w:rPr>
                <w:b/>
                <w:bCs/>
                <w:i/>
                <w:iCs/>
                <w:sz w:val="20"/>
                <w:szCs w:val="20"/>
                <w:lang w:val="es-ES"/>
              </w:rPr>
            </w:pPr>
            <w:r w:rsidRPr="008F16FC">
              <w:rPr>
                <w:b/>
                <w:bCs/>
                <w:i/>
                <w:iCs/>
                <w:sz w:val="20"/>
                <w:szCs w:val="20"/>
                <w:lang w:val="es-ES"/>
              </w:rPr>
              <w:t>Efectivo al final del ejercicio</w:t>
            </w:r>
          </w:p>
        </w:tc>
        <w:tc>
          <w:tcPr>
            <w:tcW w:w="1840" w:type="dxa"/>
            <w:tcBorders>
              <w:top w:val="single" w:sz="4" w:space="0" w:color="auto"/>
              <w:left w:val="nil"/>
              <w:bottom w:val="double" w:sz="6" w:space="0" w:color="auto"/>
              <w:right w:val="nil"/>
            </w:tcBorders>
            <w:shd w:val="clear" w:color="auto" w:fill="auto"/>
            <w:noWrap/>
            <w:vAlign w:val="bottom"/>
            <w:hideMark/>
          </w:tcPr>
          <w:p w14:paraId="25D122C8" w14:textId="77777777" w:rsidR="008F16FC" w:rsidRPr="008F16FC" w:rsidRDefault="008F16FC" w:rsidP="008F16FC">
            <w:pPr>
              <w:jc w:val="right"/>
              <w:rPr>
                <w:b/>
                <w:bCs/>
                <w:sz w:val="20"/>
                <w:szCs w:val="20"/>
              </w:rPr>
            </w:pPr>
            <w:r w:rsidRPr="008F16FC">
              <w:rPr>
                <w:b/>
                <w:bCs/>
                <w:sz w:val="20"/>
                <w:szCs w:val="20"/>
              </w:rPr>
              <w:t xml:space="preserve">118.611 </w:t>
            </w:r>
          </w:p>
        </w:tc>
      </w:tr>
    </w:tbl>
    <w:p w14:paraId="4847CB68" w14:textId="77777777" w:rsidR="008F16FC" w:rsidRPr="008F16FC" w:rsidRDefault="008F16FC" w:rsidP="008F16FC">
      <w:pPr>
        <w:tabs>
          <w:tab w:val="left" w:pos="7371"/>
        </w:tabs>
        <w:spacing w:line="240" w:lineRule="atLeast"/>
        <w:jc w:val="both"/>
        <w:outlineLvl w:val="0"/>
        <w:rPr>
          <w:rFonts w:eastAsia="Calibri"/>
          <w:sz w:val="20"/>
          <w:szCs w:val="20"/>
          <w:lang w:val="es-MX"/>
        </w:rPr>
      </w:pPr>
    </w:p>
    <w:p w14:paraId="05532BDA" w14:textId="77777777" w:rsidR="008F16FC" w:rsidRPr="008F16FC" w:rsidRDefault="008F16FC" w:rsidP="008F16FC">
      <w:pPr>
        <w:jc w:val="both"/>
        <w:rPr>
          <w:rFonts w:eastAsia="Calibri"/>
          <w:sz w:val="20"/>
          <w:szCs w:val="20"/>
          <w:lang w:val="es-MX"/>
        </w:rPr>
      </w:pPr>
      <w:r w:rsidRPr="008F16FC">
        <w:rPr>
          <w:rFonts w:eastAsia="Calibri"/>
          <w:sz w:val="20"/>
          <w:szCs w:val="20"/>
          <w:lang w:val="es-MX"/>
        </w:rPr>
        <w:t>Se detalla a continuación un resumen de la generación o aplicación de fondos del período intermedio de tres meses finalizado el 30 de septiembre de 2019, en forma comparativa con el ejercicio económico finalizado el 30 de junio de 2019 (expresados en miles de Pesos):</w:t>
      </w:r>
    </w:p>
    <w:p w14:paraId="62C60038" w14:textId="77777777" w:rsidR="008F16FC" w:rsidRPr="008F16FC" w:rsidRDefault="008F16FC" w:rsidP="008F16FC">
      <w:pPr>
        <w:jc w:val="both"/>
        <w:rPr>
          <w:rFonts w:eastAsia="Calibri"/>
          <w:sz w:val="20"/>
          <w:szCs w:val="20"/>
          <w:lang w:val="es-MX"/>
        </w:rPr>
      </w:pPr>
    </w:p>
    <w:p w14:paraId="61033CC2" w14:textId="77777777" w:rsidR="008F16FC" w:rsidRPr="008F16FC" w:rsidRDefault="008F16FC" w:rsidP="008F16FC">
      <w:pPr>
        <w:jc w:val="both"/>
        <w:rPr>
          <w:rFonts w:eastAsia="Calibri"/>
          <w:b/>
          <w:bCs/>
          <w:sz w:val="20"/>
          <w:szCs w:val="20"/>
          <w:lang w:val="es-MX"/>
        </w:rPr>
      </w:pPr>
      <w:r w:rsidRPr="008F16FC">
        <w:rPr>
          <w:rFonts w:eastAsia="Calibri"/>
          <w:b/>
          <w:bCs/>
          <w:sz w:val="20"/>
          <w:szCs w:val="20"/>
          <w:lang w:val="es-MX"/>
        </w:rPr>
        <w:t>Generación o aplicación de fondos*</w:t>
      </w:r>
    </w:p>
    <w:p w14:paraId="543EC534" w14:textId="77777777" w:rsidR="008F16FC" w:rsidRPr="008F16FC" w:rsidRDefault="008F16FC" w:rsidP="008F16FC">
      <w:pPr>
        <w:tabs>
          <w:tab w:val="left" w:pos="7371"/>
        </w:tabs>
        <w:spacing w:line="240" w:lineRule="atLeast"/>
        <w:jc w:val="both"/>
        <w:outlineLvl w:val="0"/>
        <w:rPr>
          <w:rFonts w:eastAsia="Calibri"/>
          <w:sz w:val="20"/>
          <w:szCs w:val="20"/>
          <w:lang w:val="es-MX"/>
        </w:rPr>
      </w:pPr>
    </w:p>
    <w:tbl>
      <w:tblPr>
        <w:tblW w:w="11140" w:type="dxa"/>
        <w:tblInd w:w="55" w:type="dxa"/>
        <w:tblCellMar>
          <w:left w:w="70" w:type="dxa"/>
          <w:right w:w="70" w:type="dxa"/>
        </w:tblCellMar>
        <w:tblLook w:val="04A0" w:firstRow="1" w:lastRow="0" w:firstColumn="1" w:lastColumn="0" w:noHBand="0" w:noVBand="1"/>
      </w:tblPr>
      <w:tblGrid>
        <w:gridCol w:w="1200"/>
        <w:gridCol w:w="5320"/>
        <w:gridCol w:w="1540"/>
        <w:gridCol w:w="1540"/>
        <w:gridCol w:w="1540"/>
      </w:tblGrid>
      <w:tr w:rsidR="008F16FC" w:rsidRPr="008F16FC" w14:paraId="6262134B" w14:textId="77777777" w:rsidTr="008F16FC">
        <w:trPr>
          <w:gridAfter w:val="1"/>
          <w:wAfter w:w="1540" w:type="dxa"/>
          <w:trHeight w:val="255"/>
        </w:trPr>
        <w:tc>
          <w:tcPr>
            <w:tcW w:w="6520" w:type="dxa"/>
            <w:gridSpan w:val="2"/>
            <w:tcBorders>
              <w:top w:val="nil"/>
              <w:left w:val="nil"/>
              <w:bottom w:val="nil"/>
              <w:right w:val="nil"/>
            </w:tcBorders>
            <w:shd w:val="clear" w:color="000000" w:fill="FFFFFF"/>
            <w:noWrap/>
            <w:vAlign w:val="bottom"/>
            <w:hideMark/>
          </w:tcPr>
          <w:p w14:paraId="072036DB" w14:textId="77777777" w:rsidR="008F16FC" w:rsidRPr="008F16FC" w:rsidRDefault="008F16FC" w:rsidP="008F16FC">
            <w:pPr>
              <w:rPr>
                <w:b/>
                <w:bCs/>
                <w:sz w:val="20"/>
                <w:szCs w:val="20"/>
                <w:u w:val="single"/>
                <w:lang w:val="es-ES"/>
              </w:rPr>
            </w:pPr>
            <w:r w:rsidRPr="008F16FC">
              <w:rPr>
                <w:b/>
                <w:bCs/>
                <w:sz w:val="20"/>
                <w:szCs w:val="20"/>
                <w:u w:val="single"/>
                <w:lang w:val="es-ES"/>
              </w:rPr>
              <w:t>Flujo de efectivo por las actividades de operación</w:t>
            </w:r>
          </w:p>
        </w:tc>
        <w:tc>
          <w:tcPr>
            <w:tcW w:w="1540" w:type="dxa"/>
            <w:tcBorders>
              <w:top w:val="nil"/>
              <w:left w:val="nil"/>
              <w:bottom w:val="single" w:sz="4" w:space="0" w:color="auto"/>
              <w:right w:val="nil"/>
            </w:tcBorders>
            <w:shd w:val="clear" w:color="000000" w:fill="FFFFFF"/>
            <w:noWrap/>
            <w:vAlign w:val="bottom"/>
            <w:hideMark/>
          </w:tcPr>
          <w:p w14:paraId="79E536AA" w14:textId="77777777" w:rsidR="008F16FC" w:rsidRPr="008F16FC" w:rsidRDefault="008F16FC" w:rsidP="008F16FC">
            <w:pPr>
              <w:jc w:val="center"/>
              <w:rPr>
                <w:b/>
                <w:bCs/>
                <w:sz w:val="20"/>
                <w:szCs w:val="20"/>
              </w:rPr>
            </w:pPr>
            <w:r w:rsidRPr="008F16FC">
              <w:rPr>
                <w:b/>
                <w:bCs/>
                <w:sz w:val="20"/>
                <w:szCs w:val="20"/>
              </w:rPr>
              <w:t>30/09/2019</w:t>
            </w:r>
          </w:p>
        </w:tc>
        <w:tc>
          <w:tcPr>
            <w:tcW w:w="1540" w:type="dxa"/>
            <w:tcBorders>
              <w:top w:val="nil"/>
              <w:left w:val="nil"/>
              <w:bottom w:val="single" w:sz="4" w:space="0" w:color="auto"/>
              <w:right w:val="nil"/>
            </w:tcBorders>
            <w:shd w:val="clear" w:color="000000" w:fill="FFFFFF"/>
            <w:vAlign w:val="bottom"/>
          </w:tcPr>
          <w:p w14:paraId="696F000E" w14:textId="77777777" w:rsidR="008F16FC" w:rsidRPr="008F16FC" w:rsidRDefault="008F16FC" w:rsidP="008F16FC">
            <w:pPr>
              <w:jc w:val="center"/>
              <w:rPr>
                <w:b/>
                <w:bCs/>
                <w:sz w:val="20"/>
                <w:szCs w:val="20"/>
              </w:rPr>
            </w:pPr>
            <w:r w:rsidRPr="008F16FC">
              <w:rPr>
                <w:b/>
                <w:bCs/>
                <w:sz w:val="20"/>
                <w:szCs w:val="20"/>
              </w:rPr>
              <w:t xml:space="preserve">         30/06/2019 </w:t>
            </w:r>
          </w:p>
        </w:tc>
      </w:tr>
      <w:tr w:rsidR="008F16FC" w:rsidRPr="008F16FC" w14:paraId="5716CDFF"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678B07E6" w14:textId="77777777" w:rsidR="008F16FC" w:rsidRPr="008F16FC" w:rsidRDefault="008F16FC" w:rsidP="008F16FC">
            <w:pPr>
              <w:rPr>
                <w:sz w:val="20"/>
                <w:szCs w:val="20"/>
              </w:rPr>
            </w:pPr>
            <w:r w:rsidRPr="008F16FC">
              <w:rPr>
                <w:sz w:val="20"/>
                <w:szCs w:val="20"/>
              </w:rPr>
              <w:t> </w:t>
            </w:r>
          </w:p>
        </w:tc>
        <w:tc>
          <w:tcPr>
            <w:tcW w:w="5320" w:type="dxa"/>
            <w:tcBorders>
              <w:top w:val="nil"/>
              <w:left w:val="nil"/>
              <w:bottom w:val="nil"/>
              <w:right w:val="nil"/>
            </w:tcBorders>
            <w:shd w:val="clear" w:color="000000" w:fill="FFFFFF"/>
            <w:noWrap/>
            <w:vAlign w:val="bottom"/>
            <w:hideMark/>
          </w:tcPr>
          <w:p w14:paraId="5BBAF2B9" w14:textId="77777777" w:rsidR="008F16FC" w:rsidRPr="008F16FC" w:rsidRDefault="008F16FC" w:rsidP="008F16FC">
            <w:pPr>
              <w:rPr>
                <w:sz w:val="20"/>
                <w:szCs w:val="20"/>
              </w:rPr>
            </w:pPr>
            <w:r w:rsidRPr="008F16FC">
              <w:rPr>
                <w:sz w:val="20"/>
                <w:szCs w:val="20"/>
              </w:rPr>
              <w:t>Ganancia / (Pérdida) del ejercicio</w:t>
            </w:r>
          </w:p>
        </w:tc>
        <w:tc>
          <w:tcPr>
            <w:tcW w:w="1540" w:type="dxa"/>
            <w:tcBorders>
              <w:top w:val="nil"/>
              <w:left w:val="nil"/>
              <w:bottom w:val="nil"/>
              <w:right w:val="nil"/>
            </w:tcBorders>
            <w:shd w:val="clear" w:color="000000" w:fill="FFFFFF"/>
            <w:vAlign w:val="bottom"/>
          </w:tcPr>
          <w:p w14:paraId="2DFE79D3" w14:textId="77777777" w:rsidR="008F16FC" w:rsidRPr="008F16FC" w:rsidRDefault="008F16FC" w:rsidP="008F16FC">
            <w:pPr>
              <w:jc w:val="right"/>
              <w:rPr>
                <w:sz w:val="20"/>
                <w:szCs w:val="20"/>
              </w:rPr>
            </w:pPr>
            <w:r w:rsidRPr="008F16FC">
              <w:rPr>
                <w:sz w:val="20"/>
                <w:szCs w:val="20"/>
              </w:rPr>
              <w:t>77.399</w:t>
            </w:r>
          </w:p>
        </w:tc>
        <w:tc>
          <w:tcPr>
            <w:tcW w:w="1540" w:type="dxa"/>
            <w:tcBorders>
              <w:top w:val="nil"/>
              <w:left w:val="nil"/>
              <w:bottom w:val="nil"/>
              <w:right w:val="nil"/>
            </w:tcBorders>
            <w:shd w:val="clear" w:color="000000" w:fill="FFFFFF"/>
            <w:noWrap/>
            <w:vAlign w:val="bottom"/>
          </w:tcPr>
          <w:p w14:paraId="16946C98" w14:textId="77777777" w:rsidR="008F16FC" w:rsidRPr="008F16FC" w:rsidRDefault="008F16FC" w:rsidP="008F16FC">
            <w:pPr>
              <w:jc w:val="right"/>
              <w:rPr>
                <w:sz w:val="20"/>
                <w:szCs w:val="20"/>
                <w:lang w:val="es-AR"/>
              </w:rPr>
            </w:pPr>
            <w:r w:rsidRPr="008F16FC">
              <w:rPr>
                <w:sz w:val="20"/>
                <w:szCs w:val="20"/>
                <w:lang w:val="es-AR"/>
              </w:rPr>
              <w:t xml:space="preserve">301.743 </w:t>
            </w:r>
          </w:p>
        </w:tc>
      </w:tr>
      <w:tr w:rsidR="008F16FC" w:rsidRPr="008F16FC" w14:paraId="7EC517B1"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20E9941E" w14:textId="77777777" w:rsidR="008F16FC" w:rsidRPr="008F16FC" w:rsidRDefault="008F16FC" w:rsidP="008F16FC">
            <w:pPr>
              <w:rPr>
                <w:sz w:val="20"/>
                <w:szCs w:val="20"/>
                <w:lang w:val="es-AR"/>
              </w:rPr>
            </w:pPr>
            <w:r w:rsidRPr="008F16FC">
              <w:rPr>
                <w:sz w:val="20"/>
                <w:szCs w:val="20"/>
                <w:lang w:val="es-AR"/>
              </w:rPr>
              <w:t> </w:t>
            </w:r>
          </w:p>
        </w:tc>
        <w:tc>
          <w:tcPr>
            <w:tcW w:w="5320" w:type="dxa"/>
            <w:tcBorders>
              <w:top w:val="nil"/>
              <w:left w:val="nil"/>
              <w:bottom w:val="nil"/>
              <w:right w:val="nil"/>
            </w:tcBorders>
            <w:shd w:val="clear" w:color="000000" w:fill="FFFFFF"/>
            <w:noWrap/>
            <w:vAlign w:val="bottom"/>
            <w:hideMark/>
          </w:tcPr>
          <w:p w14:paraId="3BE40CA1" w14:textId="77777777" w:rsidR="008F16FC" w:rsidRPr="008F16FC" w:rsidRDefault="008F16FC" w:rsidP="008F16FC">
            <w:pPr>
              <w:rPr>
                <w:sz w:val="20"/>
                <w:szCs w:val="20"/>
                <w:lang w:val="es-AR"/>
              </w:rPr>
            </w:pPr>
            <w:r w:rsidRPr="008F16FC">
              <w:rPr>
                <w:sz w:val="20"/>
                <w:szCs w:val="20"/>
                <w:lang w:val="es-AR"/>
              </w:rPr>
              <w:t xml:space="preserve">Impuestos a las ganancias </w:t>
            </w:r>
          </w:p>
        </w:tc>
        <w:tc>
          <w:tcPr>
            <w:tcW w:w="1540" w:type="dxa"/>
            <w:tcBorders>
              <w:top w:val="nil"/>
              <w:left w:val="nil"/>
              <w:bottom w:val="nil"/>
              <w:right w:val="nil"/>
            </w:tcBorders>
            <w:shd w:val="clear" w:color="000000" w:fill="FFFFFF"/>
            <w:vAlign w:val="bottom"/>
          </w:tcPr>
          <w:p w14:paraId="36C54C23" w14:textId="77777777" w:rsidR="008F16FC" w:rsidRPr="008F16FC" w:rsidRDefault="008F16FC" w:rsidP="008F16FC">
            <w:pPr>
              <w:jc w:val="right"/>
              <w:rPr>
                <w:sz w:val="20"/>
                <w:szCs w:val="20"/>
                <w:lang w:val="es-AR"/>
              </w:rPr>
            </w:pPr>
            <w:r w:rsidRPr="008F16FC">
              <w:rPr>
                <w:sz w:val="20"/>
                <w:szCs w:val="20"/>
                <w:lang w:val="es-AR"/>
              </w:rPr>
              <w:t>309.733</w:t>
            </w:r>
          </w:p>
        </w:tc>
        <w:tc>
          <w:tcPr>
            <w:tcW w:w="1540" w:type="dxa"/>
            <w:tcBorders>
              <w:top w:val="nil"/>
              <w:left w:val="nil"/>
              <w:bottom w:val="nil"/>
              <w:right w:val="nil"/>
            </w:tcBorders>
            <w:shd w:val="clear" w:color="000000" w:fill="FFFFFF"/>
            <w:noWrap/>
            <w:vAlign w:val="bottom"/>
          </w:tcPr>
          <w:p w14:paraId="4A06B7C7" w14:textId="77777777" w:rsidR="008F16FC" w:rsidRPr="008F16FC" w:rsidRDefault="008F16FC" w:rsidP="008F16FC">
            <w:pPr>
              <w:jc w:val="right"/>
              <w:rPr>
                <w:sz w:val="20"/>
                <w:szCs w:val="20"/>
                <w:lang w:val="es-AR"/>
              </w:rPr>
            </w:pPr>
            <w:r w:rsidRPr="008F16FC">
              <w:rPr>
                <w:sz w:val="20"/>
                <w:szCs w:val="20"/>
                <w:lang w:val="es-AR"/>
              </w:rPr>
              <w:t xml:space="preserve">338.211 </w:t>
            </w:r>
          </w:p>
        </w:tc>
      </w:tr>
      <w:tr w:rsidR="008F16FC" w:rsidRPr="00512442" w14:paraId="7B7050C0" w14:textId="77777777" w:rsidTr="008F16FC">
        <w:trPr>
          <w:trHeight w:val="255"/>
        </w:trPr>
        <w:tc>
          <w:tcPr>
            <w:tcW w:w="6520" w:type="dxa"/>
            <w:gridSpan w:val="2"/>
            <w:tcBorders>
              <w:top w:val="nil"/>
              <w:left w:val="nil"/>
              <w:bottom w:val="nil"/>
              <w:right w:val="nil"/>
            </w:tcBorders>
            <w:shd w:val="clear" w:color="000000" w:fill="FFFFFF"/>
            <w:noWrap/>
            <w:vAlign w:val="bottom"/>
            <w:hideMark/>
          </w:tcPr>
          <w:p w14:paraId="6A2AEFAA" w14:textId="77777777" w:rsidR="008F16FC" w:rsidRPr="008F16FC" w:rsidRDefault="008F16FC" w:rsidP="008F16FC">
            <w:pPr>
              <w:rPr>
                <w:b/>
                <w:bCs/>
                <w:sz w:val="20"/>
                <w:szCs w:val="20"/>
                <w:lang w:val="es-ES"/>
              </w:rPr>
            </w:pPr>
            <w:r w:rsidRPr="008F16FC">
              <w:rPr>
                <w:b/>
                <w:bCs/>
                <w:sz w:val="20"/>
                <w:szCs w:val="20"/>
                <w:lang w:val="es-ES"/>
              </w:rPr>
              <w:t>Ajustes para conciliar el flujo de efectivo operativo</w:t>
            </w:r>
          </w:p>
        </w:tc>
        <w:tc>
          <w:tcPr>
            <w:tcW w:w="1540" w:type="dxa"/>
            <w:tcBorders>
              <w:top w:val="nil"/>
              <w:left w:val="nil"/>
              <w:bottom w:val="nil"/>
              <w:right w:val="nil"/>
            </w:tcBorders>
            <w:shd w:val="clear" w:color="000000" w:fill="FFFFFF"/>
            <w:noWrap/>
            <w:vAlign w:val="bottom"/>
          </w:tcPr>
          <w:p w14:paraId="0C392B19" w14:textId="77777777" w:rsidR="008F16FC" w:rsidRPr="008F16FC" w:rsidRDefault="008F16FC" w:rsidP="008F16FC">
            <w:pPr>
              <w:rPr>
                <w:sz w:val="20"/>
                <w:szCs w:val="20"/>
                <w:lang w:val="es-ES"/>
              </w:rPr>
            </w:pPr>
          </w:p>
        </w:tc>
        <w:tc>
          <w:tcPr>
            <w:tcW w:w="1540" w:type="dxa"/>
            <w:tcBorders>
              <w:top w:val="nil"/>
              <w:left w:val="nil"/>
              <w:bottom w:val="nil"/>
              <w:right w:val="nil"/>
            </w:tcBorders>
            <w:shd w:val="clear" w:color="000000" w:fill="FFFFFF"/>
            <w:vAlign w:val="bottom"/>
          </w:tcPr>
          <w:p w14:paraId="08370580" w14:textId="77777777" w:rsidR="008F16FC" w:rsidRPr="008F16FC" w:rsidRDefault="008F16FC" w:rsidP="008F16FC">
            <w:pPr>
              <w:rPr>
                <w:sz w:val="20"/>
                <w:szCs w:val="20"/>
                <w:lang w:val="es-ES"/>
              </w:rPr>
            </w:pPr>
          </w:p>
        </w:tc>
        <w:tc>
          <w:tcPr>
            <w:tcW w:w="1540" w:type="dxa"/>
            <w:vAlign w:val="bottom"/>
          </w:tcPr>
          <w:p w14:paraId="41DAA171" w14:textId="77777777" w:rsidR="008F16FC" w:rsidRPr="008F16FC" w:rsidRDefault="008F16FC" w:rsidP="008F16FC">
            <w:pPr>
              <w:rPr>
                <w:rFonts w:eastAsia="Calibri"/>
                <w:sz w:val="22"/>
                <w:szCs w:val="22"/>
                <w:lang w:val="es-MX"/>
              </w:rPr>
            </w:pPr>
            <w:r w:rsidRPr="008F16FC">
              <w:rPr>
                <w:sz w:val="20"/>
                <w:szCs w:val="20"/>
                <w:lang w:val="es-ES"/>
              </w:rPr>
              <w:t> </w:t>
            </w:r>
          </w:p>
        </w:tc>
      </w:tr>
      <w:tr w:rsidR="008F16FC" w:rsidRPr="008F16FC" w14:paraId="01D04EB9"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1ED6DAC0" w14:textId="77777777" w:rsidR="008F16FC" w:rsidRPr="008F16FC" w:rsidRDefault="008F16FC" w:rsidP="008F16FC">
            <w:pPr>
              <w:rPr>
                <w:sz w:val="20"/>
                <w:szCs w:val="20"/>
                <w:lang w:val="es-ES"/>
              </w:rPr>
            </w:pPr>
            <w:r w:rsidRPr="008F16FC">
              <w:rPr>
                <w:sz w:val="20"/>
                <w:szCs w:val="20"/>
                <w:lang w:val="es-ES"/>
              </w:rPr>
              <w:t> </w:t>
            </w:r>
          </w:p>
        </w:tc>
        <w:tc>
          <w:tcPr>
            <w:tcW w:w="5320" w:type="dxa"/>
            <w:tcBorders>
              <w:top w:val="nil"/>
              <w:left w:val="nil"/>
              <w:bottom w:val="nil"/>
              <w:right w:val="nil"/>
            </w:tcBorders>
            <w:shd w:val="clear" w:color="000000" w:fill="FFFFFF"/>
            <w:noWrap/>
            <w:vAlign w:val="bottom"/>
            <w:hideMark/>
          </w:tcPr>
          <w:p w14:paraId="3392BB1D" w14:textId="77777777" w:rsidR="008F16FC" w:rsidRPr="008F16FC" w:rsidRDefault="008F16FC" w:rsidP="008F16FC">
            <w:pPr>
              <w:rPr>
                <w:sz w:val="20"/>
                <w:szCs w:val="20"/>
                <w:lang w:val="es-ES"/>
              </w:rPr>
            </w:pPr>
            <w:r w:rsidRPr="008F16FC">
              <w:rPr>
                <w:sz w:val="20"/>
                <w:szCs w:val="20"/>
                <w:lang w:val="es-ES"/>
              </w:rPr>
              <w:t>Depreciación de propiedades, planta y equipo</w:t>
            </w:r>
          </w:p>
        </w:tc>
        <w:tc>
          <w:tcPr>
            <w:tcW w:w="1540" w:type="dxa"/>
            <w:tcBorders>
              <w:top w:val="nil"/>
              <w:left w:val="nil"/>
              <w:bottom w:val="nil"/>
              <w:right w:val="nil"/>
            </w:tcBorders>
            <w:shd w:val="clear" w:color="000000" w:fill="FFFFFF"/>
            <w:vAlign w:val="bottom"/>
          </w:tcPr>
          <w:p w14:paraId="1F210654" w14:textId="77777777" w:rsidR="008F16FC" w:rsidRPr="008F16FC" w:rsidRDefault="008F16FC" w:rsidP="008F16FC">
            <w:pPr>
              <w:jc w:val="right"/>
              <w:rPr>
                <w:sz w:val="20"/>
                <w:szCs w:val="20"/>
                <w:lang w:val="es-MX"/>
              </w:rPr>
            </w:pPr>
            <w:r w:rsidRPr="008F16FC">
              <w:rPr>
                <w:sz w:val="20"/>
                <w:szCs w:val="20"/>
                <w:lang w:val="es-MX"/>
              </w:rPr>
              <w:t>33.548</w:t>
            </w:r>
          </w:p>
        </w:tc>
        <w:tc>
          <w:tcPr>
            <w:tcW w:w="1540" w:type="dxa"/>
            <w:tcBorders>
              <w:top w:val="nil"/>
              <w:left w:val="nil"/>
              <w:bottom w:val="nil"/>
              <w:right w:val="nil"/>
            </w:tcBorders>
            <w:shd w:val="clear" w:color="000000" w:fill="FFFFFF"/>
            <w:noWrap/>
            <w:vAlign w:val="bottom"/>
          </w:tcPr>
          <w:p w14:paraId="50FC803C" w14:textId="77777777" w:rsidR="008F16FC" w:rsidRPr="008F16FC" w:rsidRDefault="008F16FC" w:rsidP="008F16FC">
            <w:pPr>
              <w:jc w:val="right"/>
              <w:rPr>
                <w:sz w:val="20"/>
                <w:szCs w:val="20"/>
                <w:lang w:val="es-MX"/>
              </w:rPr>
            </w:pPr>
            <w:r w:rsidRPr="008F16FC">
              <w:rPr>
                <w:sz w:val="20"/>
                <w:szCs w:val="20"/>
                <w:lang w:val="es-AR"/>
              </w:rPr>
              <w:t xml:space="preserve">154.601 </w:t>
            </w:r>
          </w:p>
        </w:tc>
      </w:tr>
      <w:tr w:rsidR="008F16FC" w:rsidRPr="008F16FC" w14:paraId="164AAD8D"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2F68C947" w14:textId="77777777" w:rsidR="008F16FC" w:rsidRPr="008F16FC" w:rsidRDefault="008F16FC" w:rsidP="008F16FC">
            <w:pPr>
              <w:rPr>
                <w:sz w:val="20"/>
                <w:szCs w:val="20"/>
                <w:lang w:val="es-MX"/>
              </w:rPr>
            </w:pPr>
            <w:r w:rsidRPr="008F16FC">
              <w:rPr>
                <w:sz w:val="20"/>
                <w:szCs w:val="20"/>
                <w:lang w:val="es-MX"/>
              </w:rPr>
              <w:t> </w:t>
            </w:r>
          </w:p>
        </w:tc>
        <w:tc>
          <w:tcPr>
            <w:tcW w:w="5320" w:type="dxa"/>
            <w:tcBorders>
              <w:top w:val="nil"/>
              <w:left w:val="nil"/>
              <w:bottom w:val="nil"/>
              <w:right w:val="nil"/>
            </w:tcBorders>
            <w:shd w:val="clear" w:color="000000" w:fill="FFFFFF"/>
            <w:noWrap/>
            <w:vAlign w:val="bottom"/>
            <w:hideMark/>
          </w:tcPr>
          <w:p w14:paraId="61FE79DE" w14:textId="77777777" w:rsidR="008F16FC" w:rsidRPr="008F16FC" w:rsidRDefault="008F16FC" w:rsidP="008F16FC">
            <w:pPr>
              <w:rPr>
                <w:sz w:val="20"/>
                <w:szCs w:val="20"/>
                <w:lang w:val="es-AR"/>
              </w:rPr>
            </w:pPr>
            <w:r w:rsidRPr="008F16FC">
              <w:rPr>
                <w:sz w:val="20"/>
                <w:szCs w:val="20"/>
                <w:lang w:val="es-AR"/>
              </w:rPr>
              <w:t>Amortización de activos intangibles</w:t>
            </w:r>
          </w:p>
        </w:tc>
        <w:tc>
          <w:tcPr>
            <w:tcW w:w="1540" w:type="dxa"/>
            <w:tcBorders>
              <w:top w:val="nil"/>
              <w:left w:val="nil"/>
              <w:bottom w:val="nil"/>
              <w:right w:val="nil"/>
            </w:tcBorders>
            <w:shd w:val="clear" w:color="000000" w:fill="FFFFFF"/>
            <w:vAlign w:val="bottom"/>
          </w:tcPr>
          <w:p w14:paraId="7A9618A7" w14:textId="77777777" w:rsidR="008F16FC" w:rsidRPr="008F16FC" w:rsidRDefault="008F16FC" w:rsidP="008F16FC">
            <w:pPr>
              <w:jc w:val="right"/>
              <w:rPr>
                <w:sz w:val="20"/>
                <w:szCs w:val="20"/>
                <w:lang w:val="es-AR"/>
              </w:rPr>
            </w:pPr>
            <w:r w:rsidRPr="008F16FC">
              <w:rPr>
                <w:sz w:val="20"/>
                <w:szCs w:val="20"/>
                <w:lang w:val="es-AR"/>
              </w:rPr>
              <w:t>15.457</w:t>
            </w:r>
          </w:p>
        </w:tc>
        <w:tc>
          <w:tcPr>
            <w:tcW w:w="1540" w:type="dxa"/>
            <w:tcBorders>
              <w:top w:val="nil"/>
              <w:left w:val="nil"/>
              <w:bottom w:val="nil"/>
              <w:right w:val="nil"/>
            </w:tcBorders>
            <w:shd w:val="clear" w:color="000000" w:fill="FFFFFF"/>
            <w:noWrap/>
            <w:vAlign w:val="bottom"/>
          </w:tcPr>
          <w:p w14:paraId="6B3CCB28" w14:textId="77777777" w:rsidR="008F16FC" w:rsidRPr="008F16FC" w:rsidRDefault="008F16FC" w:rsidP="008F16FC">
            <w:pPr>
              <w:jc w:val="right"/>
              <w:rPr>
                <w:sz w:val="20"/>
                <w:szCs w:val="20"/>
                <w:lang w:val="es-AR"/>
              </w:rPr>
            </w:pPr>
            <w:r w:rsidRPr="008F16FC">
              <w:rPr>
                <w:sz w:val="20"/>
                <w:szCs w:val="20"/>
                <w:lang w:val="es-AR"/>
              </w:rPr>
              <w:t xml:space="preserve">59.923 </w:t>
            </w:r>
          </w:p>
        </w:tc>
      </w:tr>
      <w:tr w:rsidR="008F16FC" w:rsidRPr="008F16FC" w14:paraId="06040FA3"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49F0C2FA" w14:textId="77777777" w:rsidR="008F16FC" w:rsidRPr="008F16FC" w:rsidRDefault="008F16FC" w:rsidP="008F16FC">
            <w:pPr>
              <w:rPr>
                <w:sz w:val="20"/>
                <w:szCs w:val="20"/>
                <w:lang w:val="es-AR"/>
              </w:rPr>
            </w:pPr>
            <w:r w:rsidRPr="008F16FC">
              <w:rPr>
                <w:sz w:val="20"/>
                <w:szCs w:val="20"/>
                <w:lang w:val="es-AR"/>
              </w:rPr>
              <w:t> </w:t>
            </w:r>
          </w:p>
        </w:tc>
        <w:tc>
          <w:tcPr>
            <w:tcW w:w="5320" w:type="dxa"/>
            <w:tcBorders>
              <w:top w:val="nil"/>
              <w:left w:val="nil"/>
              <w:bottom w:val="nil"/>
              <w:right w:val="nil"/>
            </w:tcBorders>
            <w:shd w:val="clear" w:color="000000" w:fill="FFFFFF"/>
            <w:noWrap/>
            <w:vAlign w:val="bottom"/>
            <w:hideMark/>
          </w:tcPr>
          <w:p w14:paraId="3474D8F9" w14:textId="77777777" w:rsidR="008F16FC" w:rsidRPr="008F16FC" w:rsidRDefault="008F16FC" w:rsidP="008F16FC">
            <w:pPr>
              <w:rPr>
                <w:sz w:val="20"/>
                <w:szCs w:val="20"/>
                <w:lang w:val="es-ES"/>
              </w:rPr>
            </w:pPr>
            <w:r w:rsidRPr="008F16FC">
              <w:rPr>
                <w:sz w:val="20"/>
                <w:szCs w:val="20"/>
                <w:lang w:val="es-ES"/>
              </w:rPr>
              <w:t>Resultado por participación en asociadas</w:t>
            </w:r>
          </w:p>
        </w:tc>
        <w:tc>
          <w:tcPr>
            <w:tcW w:w="1540" w:type="dxa"/>
            <w:tcBorders>
              <w:top w:val="nil"/>
              <w:left w:val="nil"/>
              <w:bottom w:val="nil"/>
              <w:right w:val="nil"/>
            </w:tcBorders>
            <w:shd w:val="clear" w:color="000000" w:fill="FFFFFF"/>
            <w:vAlign w:val="bottom"/>
          </w:tcPr>
          <w:p w14:paraId="01B48E5F" w14:textId="77777777" w:rsidR="008F16FC" w:rsidRPr="008F16FC" w:rsidRDefault="008F16FC" w:rsidP="008F16FC">
            <w:pPr>
              <w:jc w:val="right"/>
              <w:rPr>
                <w:sz w:val="20"/>
                <w:szCs w:val="20"/>
                <w:lang w:val="es-MX"/>
              </w:rPr>
            </w:pPr>
            <w:r w:rsidRPr="008F16FC">
              <w:rPr>
                <w:sz w:val="20"/>
                <w:szCs w:val="20"/>
                <w:lang w:val="es-MX"/>
              </w:rPr>
              <w:t>(13.696)</w:t>
            </w:r>
          </w:p>
        </w:tc>
        <w:tc>
          <w:tcPr>
            <w:tcW w:w="1540" w:type="dxa"/>
            <w:tcBorders>
              <w:top w:val="nil"/>
              <w:left w:val="nil"/>
              <w:bottom w:val="nil"/>
              <w:right w:val="nil"/>
            </w:tcBorders>
            <w:shd w:val="clear" w:color="000000" w:fill="FFFFFF"/>
            <w:noWrap/>
            <w:vAlign w:val="bottom"/>
          </w:tcPr>
          <w:p w14:paraId="06C671B0" w14:textId="77777777" w:rsidR="008F16FC" w:rsidRPr="008F16FC" w:rsidRDefault="008F16FC" w:rsidP="008F16FC">
            <w:pPr>
              <w:jc w:val="right"/>
              <w:rPr>
                <w:sz w:val="20"/>
                <w:szCs w:val="20"/>
                <w:lang w:val="es-MX"/>
              </w:rPr>
            </w:pPr>
            <w:r w:rsidRPr="008F16FC">
              <w:rPr>
                <w:sz w:val="20"/>
                <w:szCs w:val="20"/>
                <w:lang w:val="es-AR"/>
              </w:rPr>
              <w:t xml:space="preserve">(4.219) </w:t>
            </w:r>
          </w:p>
        </w:tc>
      </w:tr>
      <w:tr w:rsidR="008F16FC" w:rsidRPr="008F16FC" w14:paraId="2F643CB1"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64D88824" w14:textId="77777777" w:rsidR="008F16FC" w:rsidRPr="008F16FC" w:rsidRDefault="008F16FC" w:rsidP="008F16FC">
            <w:pPr>
              <w:rPr>
                <w:sz w:val="20"/>
                <w:szCs w:val="20"/>
                <w:lang w:val="es-MX"/>
              </w:rPr>
            </w:pPr>
            <w:r w:rsidRPr="008F16FC">
              <w:rPr>
                <w:sz w:val="20"/>
                <w:szCs w:val="20"/>
                <w:lang w:val="es-MX"/>
              </w:rPr>
              <w:t> </w:t>
            </w:r>
          </w:p>
        </w:tc>
        <w:tc>
          <w:tcPr>
            <w:tcW w:w="5320" w:type="dxa"/>
            <w:tcBorders>
              <w:top w:val="nil"/>
              <w:left w:val="nil"/>
              <w:bottom w:val="nil"/>
              <w:right w:val="nil"/>
            </w:tcBorders>
            <w:shd w:val="clear" w:color="000000" w:fill="FFFFFF"/>
            <w:noWrap/>
            <w:vAlign w:val="bottom"/>
            <w:hideMark/>
          </w:tcPr>
          <w:p w14:paraId="61EBB6E7" w14:textId="77777777" w:rsidR="008F16FC" w:rsidRPr="008F16FC" w:rsidRDefault="008F16FC" w:rsidP="008F16FC">
            <w:pPr>
              <w:rPr>
                <w:sz w:val="20"/>
                <w:szCs w:val="20"/>
              </w:rPr>
            </w:pPr>
            <w:r w:rsidRPr="008F16FC">
              <w:rPr>
                <w:sz w:val="20"/>
                <w:szCs w:val="20"/>
                <w:lang w:val="es-AR"/>
              </w:rPr>
              <w:t xml:space="preserve">Efecto </w:t>
            </w:r>
            <w:r w:rsidRPr="008F16FC">
              <w:rPr>
                <w:sz w:val="20"/>
                <w:szCs w:val="20"/>
              </w:rPr>
              <w:t>diferencia de conversión</w:t>
            </w:r>
          </w:p>
        </w:tc>
        <w:tc>
          <w:tcPr>
            <w:tcW w:w="1540" w:type="dxa"/>
            <w:tcBorders>
              <w:top w:val="nil"/>
              <w:left w:val="nil"/>
              <w:bottom w:val="nil"/>
              <w:right w:val="nil"/>
            </w:tcBorders>
            <w:shd w:val="clear" w:color="000000" w:fill="FFFFFF"/>
            <w:vAlign w:val="bottom"/>
          </w:tcPr>
          <w:p w14:paraId="2AD4AF76" w14:textId="77777777" w:rsidR="008F16FC" w:rsidRPr="008F16FC" w:rsidRDefault="008F16FC" w:rsidP="008F16FC">
            <w:pPr>
              <w:jc w:val="right"/>
              <w:rPr>
                <w:sz w:val="20"/>
                <w:szCs w:val="20"/>
              </w:rPr>
            </w:pPr>
            <w:r w:rsidRPr="008F16FC">
              <w:rPr>
                <w:sz w:val="20"/>
                <w:szCs w:val="20"/>
              </w:rPr>
              <w:t>(9.777)</w:t>
            </w:r>
          </w:p>
        </w:tc>
        <w:tc>
          <w:tcPr>
            <w:tcW w:w="1540" w:type="dxa"/>
            <w:tcBorders>
              <w:top w:val="nil"/>
              <w:left w:val="nil"/>
              <w:bottom w:val="nil"/>
              <w:right w:val="nil"/>
            </w:tcBorders>
            <w:shd w:val="clear" w:color="000000" w:fill="FFFFFF"/>
            <w:noWrap/>
            <w:vAlign w:val="bottom"/>
          </w:tcPr>
          <w:p w14:paraId="3C5BF8CA" w14:textId="77777777" w:rsidR="008F16FC" w:rsidRPr="008F16FC" w:rsidRDefault="008F16FC" w:rsidP="008F16FC">
            <w:pPr>
              <w:jc w:val="right"/>
              <w:rPr>
                <w:sz w:val="20"/>
                <w:szCs w:val="20"/>
                <w:lang w:val="es-AR"/>
              </w:rPr>
            </w:pPr>
            <w:r w:rsidRPr="008F16FC">
              <w:rPr>
                <w:sz w:val="20"/>
                <w:szCs w:val="20"/>
                <w:lang w:val="es-AR"/>
              </w:rPr>
              <w:t xml:space="preserve">(55.169) </w:t>
            </w:r>
          </w:p>
        </w:tc>
      </w:tr>
      <w:tr w:rsidR="008F16FC" w:rsidRPr="008F16FC" w14:paraId="7C9804F1"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33792DF0" w14:textId="77777777" w:rsidR="008F16FC" w:rsidRPr="008F16FC" w:rsidRDefault="008F16FC" w:rsidP="008F16FC">
            <w:pPr>
              <w:rPr>
                <w:sz w:val="20"/>
                <w:szCs w:val="20"/>
                <w:lang w:val="es-AR"/>
              </w:rPr>
            </w:pPr>
            <w:r w:rsidRPr="008F16FC">
              <w:rPr>
                <w:sz w:val="20"/>
                <w:szCs w:val="20"/>
                <w:lang w:val="es-AR"/>
              </w:rPr>
              <w:t> </w:t>
            </w:r>
          </w:p>
        </w:tc>
        <w:tc>
          <w:tcPr>
            <w:tcW w:w="5320" w:type="dxa"/>
            <w:tcBorders>
              <w:top w:val="nil"/>
              <w:left w:val="nil"/>
              <w:bottom w:val="nil"/>
              <w:right w:val="nil"/>
            </w:tcBorders>
            <w:shd w:val="clear" w:color="000000" w:fill="FFFFFF"/>
            <w:noWrap/>
            <w:vAlign w:val="bottom"/>
            <w:hideMark/>
          </w:tcPr>
          <w:p w14:paraId="4AE42FA5" w14:textId="77777777" w:rsidR="008F16FC" w:rsidRPr="008F16FC" w:rsidRDefault="008F16FC" w:rsidP="008F16FC">
            <w:pPr>
              <w:rPr>
                <w:sz w:val="20"/>
                <w:szCs w:val="20"/>
                <w:lang w:val="es-AR"/>
              </w:rPr>
            </w:pPr>
            <w:r w:rsidRPr="008F16FC">
              <w:rPr>
                <w:sz w:val="20"/>
                <w:szCs w:val="20"/>
                <w:lang w:val="es-AR"/>
              </w:rPr>
              <w:t>Resultado por intereses devengados</w:t>
            </w:r>
          </w:p>
        </w:tc>
        <w:tc>
          <w:tcPr>
            <w:tcW w:w="1540" w:type="dxa"/>
            <w:tcBorders>
              <w:top w:val="nil"/>
              <w:left w:val="nil"/>
              <w:bottom w:val="nil"/>
              <w:right w:val="nil"/>
            </w:tcBorders>
            <w:shd w:val="clear" w:color="000000" w:fill="FFFFFF"/>
            <w:vAlign w:val="bottom"/>
          </w:tcPr>
          <w:p w14:paraId="2F04B684" w14:textId="77777777" w:rsidR="008F16FC" w:rsidRPr="008F16FC" w:rsidRDefault="008F16FC" w:rsidP="008F16FC">
            <w:pPr>
              <w:jc w:val="right"/>
              <w:rPr>
                <w:sz w:val="20"/>
                <w:szCs w:val="20"/>
                <w:lang w:val="es-AR"/>
              </w:rPr>
            </w:pPr>
            <w:r w:rsidRPr="008F16FC">
              <w:rPr>
                <w:sz w:val="20"/>
                <w:szCs w:val="20"/>
                <w:lang w:val="es-AR"/>
              </w:rPr>
              <w:t>252.160</w:t>
            </w:r>
          </w:p>
        </w:tc>
        <w:tc>
          <w:tcPr>
            <w:tcW w:w="1540" w:type="dxa"/>
            <w:tcBorders>
              <w:top w:val="nil"/>
              <w:left w:val="nil"/>
              <w:bottom w:val="nil"/>
              <w:right w:val="nil"/>
            </w:tcBorders>
            <w:shd w:val="clear" w:color="000000" w:fill="FFFFFF"/>
            <w:noWrap/>
            <w:vAlign w:val="bottom"/>
          </w:tcPr>
          <w:p w14:paraId="62DABD2B" w14:textId="77777777" w:rsidR="008F16FC" w:rsidRPr="008F16FC" w:rsidRDefault="008F16FC" w:rsidP="008F16FC">
            <w:pPr>
              <w:jc w:val="right"/>
              <w:rPr>
                <w:sz w:val="20"/>
                <w:szCs w:val="20"/>
                <w:lang w:val="es-AR"/>
              </w:rPr>
            </w:pPr>
            <w:r w:rsidRPr="008F16FC">
              <w:rPr>
                <w:sz w:val="20"/>
                <w:szCs w:val="20"/>
                <w:lang w:val="es-AR"/>
              </w:rPr>
              <w:t xml:space="preserve">655.735 </w:t>
            </w:r>
          </w:p>
        </w:tc>
      </w:tr>
      <w:tr w:rsidR="008F16FC" w:rsidRPr="008F16FC" w14:paraId="188477F6"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6F028816" w14:textId="77777777" w:rsidR="008F16FC" w:rsidRPr="008F16FC" w:rsidRDefault="008F16FC" w:rsidP="008F16FC">
            <w:pPr>
              <w:rPr>
                <w:sz w:val="20"/>
                <w:szCs w:val="20"/>
                <w:lang w:val="es-AR"/>
              </w:rPr>
            </w:pPr>
            <w:r w:rsidRPr="008F16FC">
              <w:rPr>
                <w:sz w:val="20"/>
                <w:szCs w:val="20"/>
                <w:lang w:val="es-AR"/>
              </w:rPr>
              <w:t> </w:t>
            </w:r>
          </w:p>
        </w:tc>
        <w:tc>
          <w:tcPr>
            <w:tcW w:w="5320" w:type="dxa"/>
            <w:tcBorders>
              <w:top w:val="nil"/>
              <w:left w:val="nil"/>
              <w:bottom w:val="nil"/>
              <w:right w:val="nil"/>
            </w:tcBorders>
            <w:shd w:val="clear" w:color="000000" w:fill="FFFFFF"/>
            <w:noWrap/>
            <w:vAlign w:val="bottom"/>
            <w:hideMark/>
          </w:tcPr>
          <w:p w14:paraId="4F2B9B9E" w14:textId="77777777" w:rsidR="008F16FC" w:rsidRPr="008F16FC" w:rsidRDefault="008F16FC" w:rsidP="008F16FC">
            <w:pPr>
              <w:rPr>
                <w:sz w:val="20"/>
                <w:szCs w:val="20"/>
                <w:lang w:val="es-ES"/>
              </w:rPr>
            </w:pPr>
            <w:r w:rsidRPr="008F16FC">
              <w:rPr>
                <w:sz w:val="20"/>
                <w:szCs w:val="20"/>
                <w:lang w:val="es-ES"/>
              </w:rPr>
              <w:t>Valor residual bajas de propiedades, planta y equipos</w:t>
            </w:r>
          </w:p>
        </w:tc>
        <w:tc>
          <w:tcPr>
            <w:tcW w:w="1540" w:type="dxa"/>
            <w:tcBorders>
              <w:top w:val="nil"/>
              <w:left w:val="nil"/>
              <w:bottom w:val="nil"/>
              <w:right w:val="nil"/>
            </w:tcBorders>
            <w:shd w:val="clear" w:color="000000" w:fill="FFFFFF"/>
            <w:vAlign w:val="bottom"/>
          </w:tcPr>
          <w:p w14:paraId="56FDDE54" w14:textId="77777777" w:rsidR="008F16FC" w:rsidRPr="008F16FC" w:rsidRDefault="008F16FC" w:rsidP="008F16FC">
            <w:pPr>
              <w:jc w:val="right"/>
              <w:rPr>
                <w:sz w:val="20"/>
                <w:szCs w:val="20"/>
                <w:lang w:val="es-MX"/>
              </w:rPr>
            </w:pPr>
            <w:r w:rsidRPr="008F16FC">
              <w:rPr>
                <w:sz w:val="20"/>
                <w:szCs w:val="20"/>
                <w:lang w:val="es-MX"/>
              </w:rPr>
              <w:t>24.596</w:t>
            </w:r>
          </w:p>
        </w:tc>
        <w:tc>
          <w:tcPr>
            <w:tcW w:w="1540" w:type="dxa"/>
            <w:tcBorders>
              <w:top w:val="nil"/>
              <w:left w:val="nil"/>
              <w:bottom w:val="nil"/>
              <w:right w:val="nil"/>
            </w:tcBorders>
            <w:shd w:val="clear" w:color="000000" w:fill="FFFFFF"/>
            <w:noWrap/>
            <w:vAlign w:val="bottom"/>
          </w:tcPr>
          <w:p w14:paraId="644725DD" w14:textId="77777777" w:rsidR="008F16FC" w:rsidRPr="008F16FC" w:rsidRDefault="008F16FC" w:rsidP="008F16FC">
            <w:pPr>
              <w:jc w:val="right"/>
              <w:rPr>
                <w:sz w:val="20"/>
                <w:szCs w:val="20"/>
                <w:lang w:val="es-MX"/>
              </w:rPr>
            </w:pPr>
            <w:r w:rsidRPr="008F16FC">
              <w:rPr>
                <w:sz w:val="20"/>
                <w:szCs w:val="20"/>
                <w:lang w:val="es-AR"/>
              </w:rPr>
              <w:t xml:space="preserve">7.018 </w:t>
            </w:r>
          </w:p>
        </w:tc>
      </w:tr>
      <w:tr w:rsidR="008F16FC" w:rsidRPr="008F16FC" w14:paraId="5FFC872E"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2CFAE8B1" w14:textId="77777777" w:rsidR="008F16FC" w:rsidRPr="008F16FC" w:rsidRDefault="008F16FC" w:rsidP="008F16FC">
            <w:pPr>
              <w:rPr>
                <w:sz w:val="20"/>
                <w:szCs w:val="20"/>
                <w:lang w:val="es-MX"/>
              </w:rPr>
            </w:pPr>
            <w:r w:rsidRPr="008F16FC">
              <w:rPr>
                <w:sz w:val="20"/>
                <w:szCs w:val="20"/>
                <w:lang w:val="es-MX"/>
              </w:rPr>
              <w:t> </w:t>
            </w:r>
          </w:p>
        </w:tc>
        <w:tc>
          <w:tcPr>
            <w:tcW w:w="5320" w:type="dxa"/>
            <w:tcBorders>
              <w:top w:val="nil"/>
              <w:left w:val="nil"/>
              <w:bottom w:val="nil"/>
              <w:right w:val="nil"/>
            </w:tcBorders>
            <w:shd w:val="clear" w:color="000000" w:fill="FFFFFF"/>
            <w:noWrap/>
            <w:vAlign w:val="bottom"/>
            <w:hideMark/>
          </w:tcPr>
          <w:p w14:paraId="30BD9D5A" w14:textId="77777777" w:rsidR="008F16FC" w:rsidRPr="008F16FC" w:rsidRDefault="008F16FC" w:rsidP="008F16FC">
            <w:pPr>
              <w:rPr>
                <w:sz w:val="20"/>
                <w:szCs w:val="20"/>
                <w:lang w:val="es-AR"/>
              </w:rPr>
            </w:pPr>
            <w:r w:rsidRPr="008F16FC">
              <w:rPr>
                <w:sz w:val="20"/>
                <w:szCs w:val="20"/>
                <w:lang w:val="es-AR"/>
              </w:rPr>
              <w:t>Asignación Bono de Participación</w:t>
            </w:r>
          </w:p>
        </w:tc>
        <w:tc>
          <w:tcPr>
            <w:tcW w:w="1540" w:type="dxa"/>
            <w:tcBorders>
              <w:top w:val="nil"/>
              <w:left w:val="nil"/>
              <w:bottom w:val="nil"/>
              <w:right w:val="nil"/>
            </w:tcBorders>
            <w:shd w:val="clear" w:color="000000" w:fill="FFFFFF"/>
            <w:vAlign w:val="bottom"/>
          </w:tcPr>
          <w:p w14:paraId="754A515F" w14:textId="77777777" w:rsidR="008F16FC" w:rsidRPr="008F16FC" w:rsidRDefault="008F16FC" w:rsidP="008F16FC">
            <w:pPr>
              <w:jc w:val="right"/>
              <w:rPr>
                <w:sz w:val="20"/>
                <w:szCs w:val="20"/>
                <w:lang w:val="es-AR"/>
              </w:rPr>
            </w:pPr>
            <w:r w:rsidRPr="008F16FC">
              <w:rPr>
                <w:sz w:val="20"/>
                <w:szCs w:val="20"/>
                <w:lang w:val="es-AR"/>
              </w:rPr>
              <w:t>0</w:t>
            </w:r>
          </w:p>
        </w:tc>
        <w:tc>
          <w:tcPr>
            <w:tcW w:w="1540" w:type="dxa"/>
            <w:tcBorders>
              <w:top w:val="nil"/>
              <w:left w:val="nil"/>
              <w:bottom w:val="nil"/>
              <w:right w:val="nil"/>
            </w:tcBorders>
            <w:shd w:val="clear" w:color="000000" w:fill="FFFFFF"/>
            <w:noWrap/>
            <w:vAlign w:val="bottom"/>
          </w:tcPr>
          <w:p w14:paraId="3F2094E2" w14:textId="77777777" w:rsidR="008F16FC" w:rsidRPr="008F16FC" w:rsidRDefault="008F16FC" w:rsidP="008F16FC">
            <w:pPr>
              <w:jc w:val="right"/>
              <w:rPr>
                <w:sz w:val="20"/>
                <w:szCs w:val="20"/>
                <w:lang w:val="es-AR"/>
              </w:rPr>
            </w:pPr>
            <w:r w:rsidRPr="008F16FC">
              <w:rPr>
                <w:sz w:val="20"/>
                <w:szCs w:val="20"/>
                <w:lang w:val="es-AR"/>
              </w:rPr>
              <w:t xml:space="preserve">0 </w:t>
            </w:r>
          </w:p>
        </w:tc>
      </w:tr>
      <w:tr w:rsidR="008F16FC" w:rsidRPr="008F16FC" w14:paraId="6E1F4CF9"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75DACAD2" w14:textId="77777777" w:rsidR="008F16FC" w:rsidRPr="008F16FC" w:rsidRDefault="008F16FC" w:rsidP="008F16FC">
            <w:pPr>
              <w:rPr>
                <w:sz w:val="20"/>
                <w:szCs w:val="20"/>
                <w:lang w:val="es-AR"/>
              </w:rPr>
            </w:pPr>
            <w:r w:rsidRPr="008F16FC">
              <w:rPr>
                <w:sz w:val="20"/>
                <w:szCs w:val="20"/>
                <w:lang w:val="es-AR"/>
              </w:rPr>
              <w:t> </w:t>
            </w:r>
          </w:p>
        </w:tc>
        <w:tc>
          <w:tcPr>
            <w:tcW w:w="5320" w:type="dxa"/>
            <w:tcBorders>
              <w:top w:val="nil"/>
              <w:left w:val="nil"/>
              <w:bottom w:val="nil"/>
              <w:right w:val="nil"/>
            </w:tcBorders>
            <w:shd w:val="clear" w:color="000000" w:fill="FFFFFF"/>
            <w:noWrap/>
            <w:vAlign w:val="bottom"/>
            <w:hideMark/>
          </w:tcPr>
          <w:p w14:paraId="65A3D5B2" w14:textId="77777777" w:rsidR="008F16FC" w:rsidRPr="008F16FC" w:rsidRDefault="008F16FC" w:rsidP="008F16FC">
            <w:pPr>
              <w:rPr>
                <w:sz w:val="20"/>
                <w:szCs w:val="20"/>
                <w:lang w:val="es-ES"/>
              </w:rPr>
            </w:pPr>
            <w:r w:rsidRPr="008F16FC">
              <w:rPr>
                <w:sz w:val="20"/>
                <w:szCs w:val="20"/>
                <w:lang w:val="es-ES"/>
              </w:rPr>
              <w:t>Efecto revalúo de propiedades de inversión</w:t>
            </w:r>
          </w:p>
        </w:tc>
        <w:tc>
          <w:tcPr>
            <w:tcW w:w="1540" w:type="dxa"/>
            <w:tcBorders>
              <w:top w:val="nil"/>
              <w:left w:val="nil"/>
              <w:bottom w:val="nil"/>
              <w:right w:val="nil"/>
            </w:tcBorders>
            <w:shd w:val="clear" w:color="000000" w:fill="FFFFFF"/>
            <w:vAlign w:val="bottom"/>
          </w:tcPr>
          <w:p w14:paraId="5949EDCC" w14:textId="77777777" w:rsidR="008F16FC" w:rsidRPr="008F16FC" w:rsidRDefault="008F16FC" w:rsidP="008F16FC">
            <w:pPr>
              <w:jc w:val="right"/>
              <w:rPr>
                <w:sz w:val="20"/>
                <w:szCs w:val="20"/>
                <w:lang w:val="es-MX"/>
              </w:rPr>
            </w:pPr>
            <w:r w:rsidRPr="008F16FC">
              <w:rPr>
                <w:sz w:val="20"/>
                <w:szCs w:val="20"/>
                <w:lang w:val="es-MX"/>
              </w:rPr>
              <w:t>0</w:t>
            </w:r>
          </w:p>
        </w:tc>
        <w:tc>
          <w:tcPr>
            <w:tcW w:w="1540" w:type="dxa"/>
            <w:tcBorders>
              <w:top w:val="nil"/>
              <w:left w:val="nil"/>
              <w:bottom w:val="nil"/>
              <w:right w:val="nil"/>
            </w:tcBorders>
            <w:shd w:val="clear" w:color="000000" w:fill="FFFFFF"/>
            <w:noWrap/>
            <w:vAlign w:val="bottom"/>
          </w:tcPr>
          <w:p w14:paraId="043486AD" w14:textId="77777777" w:rsidR="008F16FC" w:rsidRPr="008F16FC" w:rsidRDefault="008F16FC" w:rsidP="008F16FC">
            <w:pPr>
              <w:jc w:val="right"/>
              <w:rPr>
                <w:sz w:val="20"/>
                <w:szCs w:val="20"/>
                <w:lang w:val="es-MX"/>
              </w:rPr>
            </w:pPr>
            <w:r w:rsidRPr="008F16FC">
              <w:rPr>
                <w:sz w:val="20"/>
                <w:szCs w:val="20"/>
                <w:lang w:val="es-AR"/>
              </w:rPr>
              <w:t xml:space="preserve">772 </w:t>
            </w:r>
          </w:p>
        </w:tc>
      </w:tr>
      <w:tr w:rsidR="008F16FC" w:rsidRPr="008F16FC" w14:paraId="0615B788"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41D8DA27" w14:textId="77777777" w:rsidR="008F16FC" w:rsidRPr="008F16FC" w:rsidRDefault="008F16FC" w:rsidP="008F16FC">
            <w:pPr>
              <w:rPr>
                <w:sz w:val="20"/>
                <w:szCs w:val="20"/>
                <w:lang w:val="es-MX"/>
              </w:rPr>
            </w:pPr>
            <w:r w:rsidRPr="008F16FC">
              <w:rPr>
                <w:sz w:val="20"/>
                <w:szCs w:val="20"/>
                <w:lang w:val="es-MX"/>
              </w:rPr>
              <w:t> </w:t>
            </w:r>
          </w:p>
        </w:tc>
        <w:tc>
          <w:tcPr>
            <w:tcW w:w="5320" w:type="dxa"/>
            <w:tcBorders>
              <w:top w:val="nil"/>
              <w:left w:val="nil"/>
              <w:bottom w:val="nil"/>
              <w:right w:val="nil"/>
            </w:tcBorders>
            <w:shd w:val="clear" w:color="000000" w:fill="FFFFFF"/>
            <w:noWrap/>
            <w:vAlign w:val="bottom"/>
            <w:hideMark/>
          </w:tcPr>
          <w:p w14:paraId="3735E103" w14:textId="77777777" w:rsidR="008F16FC" w:rsidRPr="008F16FC" w:rsidRDefault="008F16FC" w:rsidP="008F16FC">
            <w:pPr>
              <w:rPr>
                <w:sz w:val="20"/>
                <w:szCs w:val="20"/>
                <w:lang w:val="es-ES"/>
              </w:rPr>
            </w:pPr>
            <w:r w:rsidRPr="008F16FC">
              <w:rPr>
                <w:sz w:val="20"/>
                <w:szCs w:val="20"/>
                <w:lang w:val="es-ES"/>
              </w:rPr>
              <w:t>Efecto revalúo de propiedades, planta y equipos</w:t>
            </w:r>
          </w:p>
        </w:tc>
        <w:tc>
          <w:tcPr>
            <w:tcW w:w="1540" w:type="dxa"/>
            <w:tcBorders>
              <w:top w:val="nil"/>
              <w:left w:val="nil"/>
              <w:bottom w:val="nil"/>
              <w:right w:val="nil"/>
            </w:tcBorders>
            <w:shd w:val="clear" w:color="000000" w:fill="FFFFFF"/>
            <w:vAlign w:val="bottom"/>
          </w:tcPr>
          <w:p w14:paraId="2905F793" w14:textId="77777777" w:rsidR="008F16FC" w:rsidRPr="008F16FC" w:rsidRDefault="008F16FC" w:rsidP="008F16FC">
            <w:pPr>
              <w:jc w:val="right"/>
              <w:rPr>
                <w:sz w:val="20"/>
                <w:szCs w:val="20"/>
                <w:lang w:val="es-MX"/>
              </w:rPr>
            </w:pPr>
            <w:r w:rsidRPr="008F16FC">
              <w:rPr>
                <w:sz w:val="20"/>
                <w:szCs w:val="20"/>
                <w:lang w:val="es-MX"/>
              </w:rPr>
              <w:t>104.402</w:t>
            </w:r>
          </w:p>
        </w:tc>
        <w:tc>
          <w:tcPr>
            <w:tcW w:w="1540" w:type="dxa"/>
            <w:tcBorders>
              <w:top w:val="nil"/>
              <w:left w:val="nil"/>
              <w:bottom w:val="nil"/>
              <w:right w:val="nil"/>
            </w:tcBorders>
            <w:shd w:val="clear" w:color="000000" w:fill="FFFFFF"/>
            <w:noWrap/>
            <w:vAlign w:val="bottom"/>
          </w:tcPr>
          <w:p w14:paraId="64F780D1" w14:textId="77777777" w:rsidR="008F16FC" w:rsidRPr="008F16FC" w:rsidRDefault="008F16FC" w:rsidP="008F16FC">
            <w:pPr>
              <w:jc w:val="right"/>
              <w:rPr>
                <w:sz w:val="20"/>
                <w:szCs w:val="20"/>
                <w:lang w:val="es-MX"/>
              </w:rPr>
            </w:pPr>
            <w:r w:rsidRPr="008F16FC">
              <w:rPr>
                <w:sz w:val="20"/>
                <w:szCs w:val="20"/>
                <w:lang w:val="es-AR"/>
              </w:rPr>
              <w:t xml:space="preserve">64.555 </w:t>
            </w:r>
          </w:p>
        </w:tc>
      </w:tr>
      <w:tr w:rsidR="008F16FC" w:rsidRPr="00512442" w14:paraId="537EF1C5" w14:textId="77777777" w:rsidTr="008F16FC">
        <w:trPr>
          <w:trHeight w:val="255"/>
        </w:trPr>
        <w:tc>
          <w:tcPr>
            <w:tcW w:w="6520" w:type="dxa"/>
            <w:gridSpan w:val="2"/>
            <w:tcBorders>
              <w:top w:val="nil"/>
              <w:left w:val="nil"/>
              <w:bottom w:val="nil"/>
              <w:right w:val="nil"/>
            </w:tcBorders>
            <w:shd w:val="clear" w:color="000000" w:fill="FFFFFF"/>
            <w:noWrap/>
            <w:vAlign w:val="bottom"/>
            <w:hideMark/>
          </w:tcPr>
          <w:p w14:paraId="0A2E9B93" w14:textId="77777777" w:rsidR="008F16FC" w:rsidRPr="008F16FC" w:rsidRDefault="008F16FC" w:rsidP="008F16FC">
            <w:pPr>
              <w:rPr>
                <w:b/>
                <w:bCs/>
                <w:i/>
                <w:iCs/>
                <w:sz w:val="20"/>
                <w:szCs w:val="20"/>
                <w:lang w:val="es-ES"/>
              </w:rPr>
            </w:pPr>
            <w:r w:rsidRPr="008F16FC">
              <w:rPr>
                <w:b/>
                <w:bCs/>
                <w:i/>
                <w:iCs/>
                <w:sz w:val="20"/>
                <w:szCs w:val="20"/>
                <w:lang w:val="es-ES"/>
              </w:rPr>
              <w:t>Cambios en activos y pasivos operativos</w:t>
            </w:r>
            <w:r w:rsidRPr="008F16FC">
              <w:rPr>
                <w:sz w:val="20"/>
                <w:szCs w:val="20"/>
                <w:lang w:val="es-ES"/>
              </w:rPr>
              <w:t>:</w:t>
            </w:r>
          </w:p>
        </w:tc>
        <w:tc>
          <w:tcPr>
            <w:tcW w:w="1540" w:type="dxa"/>
            <w:tcBorders>
              <w:top w:val="nil"/>
              <w:left w:val="nil"/>
              <w:bottom w:val="nil"/>
              <w:right w:val="nil"/>
            </w:tcBorders>
            <w:shd w:val="clear" w:color="000000" w:fill="FFFFFF"/>
            <w:noWrap/>
            <w:vAlign w:val="bottom"/>
          </w:tcPr>
          <w:p w14:paraId="39130E99" w14:textId="77777777" w:rsidR="008F16FC" w:rsidRPr="008F16FC" w:rsidRDefault="008F16FC" w:rsidP="008F16FC">
            <w:pPr>
              <w:rPr>
                <w:sz w:val="20"/>
                <w:szCs w:val="20"/>
                <w:u w:val="single"/>
                <w:lang w:val="es-ES"/>
              </w:rPr>
            </w:pPr>
          </w:p>
        </w:tc>
        <w:tc>
          <w:tcPr>
            <w:tcW w:w="1540" w:type="dxa"/>
            <w:tcBorders>
              <w:top w:val="nil"/>
              <w:left w:val="nil"/>
              <w:bottom w:val="nil"/>
              <w:right w:val="nil"/>
            </w:tcBorders>
            <w:shd w:val="clear" w:color="000000" w:fill="FFFFFF"/>
            <w:vAlign w:val="bottom"/>
          </w:tcPr>
          <w:p w14:paraId="2B23E644" w14:textId="77777777" w:rsidR="008F16FC" w:rsidRPr="008F16FC" w:rsidRDefault="008F16FC" w:rsidP="008F16FC">
            <w:pPr>
              <w:rPr>
                <w:sz w:val="20"/>
                <w:szCs w:val="20"/>
                <w:lang w:val="es-ES"/>
              </w:rPr>
            </w:pPr>
          </w:p>
        </w:tc>
        <w:tc>
          <w:tcPr>
            <w:tcW w:w="1540" w:type="dxa"/>
            <w:vAlign w:val="bottom"/>
          </w:tcPr>
          <w:p w14:paraId="1B457AA6" w14:textId="77777777" w:rsidR="008F16FC" w:rsidRPr="008F16FC" w:rsidRDefault="008F16FC" w:rsidP="008F16FC">
            <w:pPr>
              <w:rPr>
                <w:rFonts w:eastAsia="Calibri"/>
                <w:sz w:val="22"/>
                <w:szCs w:val="22"/>
                <w:lang w:val="es-MX"/>
              </w:rPr>
            </w:pPr>
          </w:p>
        </w:tc>
      </w:tr>
      <w:tr w:rsidR="008F16FC" w:rsidRPr="008F16FC" w14:paraId="106F6045"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480DE6A3" w14:textId="77777777" w:rsidR="008F16FC" w:rsidRPr="008F16FC" w:rsidRDefault="008F16FC" w:rsidP="008F16FC">
            <w:pPr>
              <w:rPr>
                <w:sz w:val="20"/>
                <w:szCs w:val="20"/>
                <w:u w:val="single"/>
                <w:lang w:val="es-ES"/>
              </w:rPr>
            </w:pPr>
            <w:r w:rsidRPr="008F16FC">
              <w:rPr>
                <w:sz w:val="20"/>
                <w:szCs w:val="20"/>
                <w:u w:val="single"/>
                <w:lang w:val="es-ES"/>
              </w:rPr>
              <w:t> </w:t>
            </w:r>
          </w:p>
        </w:tc>
        <w:tc>
          <w:tcPr>
            <w:tcW w:w="5320" w:type="dxa"/>
            <w:tcBorders>
              <w:top w:val="nil"/>
              <w:left w:val="nil"/>
              <w:bottom w:val="nil"/>
              <w:right w:val="nil"/>
            </w:tcBorders>
            <w:shd w:val="clear" w:color="000000" w:fill="FFFFFF"/>
            <w:noWrap/>
            <w:vAlign w:val="bottom"/>
            <w:hideMark/>
          </w:tcPr>
          <w:p w14:paraId="5855CD69" w14:textId="77777777" w:rsidR="008F16FC" w:rsidRPr="008F16FC" w:rsidRDefault="008F16FC" w:rsidP="008F16FC">
            <w:pPr>
              <w:rPr>
                <w:sz w:val="20"/>
                <w:szCs w:val="20"/>
                <w:lang w:val="es-ES"/>
              </w:rPr>
            </w:pPr>
            <w:r w:rsidRPr="008F16FC">
              <w:rPr>
                <w:sz w:val="20"/>
                <w:szCs w:val="20"/>
                <w:lang w:val="es-ES"/>
              </w:rPr>
              <w:t>Disminución / (Aumento) en créditos por ventas</w:t>
            </w:r>
          </w:p>
        </w:tc>
        <w:tc>
          <w:tcPr>
            <w:tcW w:w="1540" w:type="dxa"/>
            <w:tcBorders>
              <w:top w:val="nil"/>
              <w:left w:val="nil"/>
              <w:bottom w:val="nil"/>
              <w:right w:val="nil"/>
            </w:tcBorders>
            <w:shd w:val="clear" w:color="000000" w:fill="FFFFFF"/>
            <w:vAlign w:val="bottom"/>
          </w:tcPr>
          <w:p w14:paraId="6EB618F2" w14:textId="77777777" w:rsidR="008F16FC" w:rsidRPr="008F16FC" w:rsidRDefault="008F16FC" w:rsidP="008F16FC">
            <w:pPr>
              <w:jc w:val="right"/>
              <w:rPr>
                <w:sz w:val="20"/>
                <w:szCs w:val="20"/>
                <w:lang w:val="es-MX"/>
              </w:rPr>
            </w:pPr>
            <w:r w:rsidRPr="008F16FC">
              <w:rPr>
                <w:sz w:val="20"/>
                <w:szCs w:val="20"/>
                <w:lang w:val="es-MX"/>
              </w:rPr>
              <w:t>302.249</w:t>
            </w:r>
          </w:p>
        </w:tc>
        <w:tc>
          <w:tcPr>
            <w:tcW w:w="1540" w:type="dxa"/>
            <w:tcBorders>
              <w:top w:val="nil"/>
              <w:left w:val="nil"/>
              <w:bottom w:val="nil"/>
              <w:right w:val="nil"/>
            </w:tcBorders>
            <w:shd w:val="clear" w:color="000000" w:fill="FFFFFF"/>
            <w:noWrap/>
            <w:vAlign w:val="bottom"/>
          </w:tcPr>
          <w:p w14:paraId="5AE7FA04" w14:textId="77777777" w:rsidR="008F16FC" w:rsidRPr="008F16FC" w:rsidRDefault="008F16FC" w:rsidP="008F16FC">
            <w:pPr>
              <w:jc w:val="right"/>
              <w:rPr>
                <w:sz w:val="20"/>
                <w:szCs w:val="20"/>
                <w:lang w:val="es-MX"/>
              </w:rPr>
            </w:pPr>
            <w:r w:rsidRPr="008F16FC">
              <w:rPr>
                <w:sz w:val="20"/>
                <w:szCs w:val="20"/>
                <w:lang w:val="es-AR"/>
              </w:rPr>
              <w:t xml:space="preserve">501.991 </w:t>
            </w:r>
          </w:p>
        </w:tc>
      </w:tr>
      <w:tr w:rsidR="008F16FC" w:rsidRPr="008F16FC" w14:paraId="3F0A45C2"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1BCCF15D" w14:textId="77777777" w:rsidR="008F16FC" w:rsidRPr="008F16FC" w:rsidRDefault="008F16FC" w:rsidP="008F16FC">
            <w:pPr>
              <w:rPr>
                <w:sz w:val="20"/>
                <w:szCs w:val="20"/>
                <w:u w:val="single"/>
                <w:lang w:val="es-MX"/>
              </w:rPr>
            </w:pPr>
            <w:r w:rsidRPr="008F16FC">
              <w:rPr>
                <w:sz w:val="20"/>
                <w:szCs w:val="20"/>
                <w:u w:val="single"/>
                <w:lang w:val="es-MX"/>
              </w:rPr>
              <w:t> </w:t>
            </w:r>
          </w:p>
        </w:tc>
        <w:tc>
          <w:tcPr>
            <w:tcW w:w="5320" w:type="dxa"/>
            <w:tcBorders>
              <w:top w:val="nil"/>
              <w:left w:val="nil"/>
              <w:bottom w:val="nil"/>
              <w:right w:val="nil"/>
            </w:tcBorders>
            <w:shd w:val="clear" w:color="000000" w:fill="FFFFFF"/>
            <w:noWrap/>
            <w:vAlign w:val="bottom"/>
            <w:hideMark/>
          </w:tcPr>
          <w:p w14:paraId="20543C67" w14:textId="77777777" w:rsidR="008F16FC" w:rsidRPr="008F16FC" w:rsidRDefault="008F16FC" w:rsidP="008F16FC">
            <w:pPr>
              <w:rPr>
                <w:sz w:val="20"/>
                <w:szCs w:val="20"/>
                <w:lang w:val="es-ES"/>
              </w:rPr>
            </w:pPr>
            <w:r w:rsidRPr="008F16FC">
              <w:rPr>
                <w:sz w:val="20"/>
                <w:szCs w:val="20"/>
                <w:lang w:val="es-ES"/>
              </w:rPr>
              <w:t>Disminución en contratos de construcción</w:t>
            </w:r>
          </w:p>
        </w:tc>
        <w:tc>
          <w:tcPr>
            <w:tcW w:w="1540" w:type="dxa"/>
            <w:tcBorders>
              <w:top w:val="nil"/>
              <w:left w:val="nil"/>
              <w:bottom w:val="nil"/>
              <w:right w:val="nil"/>
            </w:tcBorders>
            <w:shd w:val="clear" w:color="000000" w:fill="FFFFFF"/>
            <w:vAlign w:val="bottom"/>
          </w:tcPr>
          <w:p w14:paraId="5A9DF70F" w14:textId="77777777" w:rsidR="008F16FC" w:rsidRPr="008F16FC" w:rsidRDefault="008F16FC" w:rsidP="008F16FC">
            <w:pPr>
              <w:jc w:val="right"/>
              <w:rPr>
                <w:sz w:val="20"/>
                <w:szCs w:val="20"/>
                <w:lang w:val="es-MX"/>
              </w:rPr>
            </w:pPr>
            <w:r w:rsidRPr="008F16FC">
              <w:rPr>
                <w:sz w:val="20"/>
                <w:szCs w:val="20"/>
                <w:lang w:val="es-MX"/>
              </w:rPr>
              <w:t>(261.910)</w:t>
            </w:r>
          </w:p>
        </w:tc>
        <w:tc>
          <w:tcPr>
            <w:tcW w:w="1540" w:type="dxa"/>
            <w:tcBorders>
              <w:top w:val="nil"/>
              <w:left w:val="nil"/>
              <w:bottom w:val="nil"/>
              <w:right w:val="nil"/>
            </w:tcBorders>
            <w:shd w:val="clear" w:color="000000" w:fill="FFFFFF"/>
            <w:noWrap/>
            <w:vAlign w:val="bottom"/>
          </w:tcPr>
          <w:p w14:paraId="791BEAC3" w14:textId="77777777" w:rsidR="008F16FC" w:rsidRPr="008F16FC" w:rsidRDefault="008F16FC" w:rsidP="008F16FC">
            <w:pPr>
              <w:jc w:val="right"/>
              <w:rPr>
                <w:sz w:val="20"/>
                <w:szCs w:val="20"/>
                <w:lang w:val="es-MX"/>
              </w:rPr>
            </w:pPr>
            <w:r w:rsidRPr="008F16FC">
              <w:rPr>
                <w:sz w:val="20"/>
                <w:szCs w:val="20"/>
                <w:lang w:val="es-AR"/>
              </w:rPr>
              <w:t xml:space="preserve">1.159.210 </w:t>
            </w:r>
          </w:p>
        </w:tc>
      </w:tr>
      <w:tr w:rsidR="008F16FC" w:rsidRPr="008F16FC" w14:paraId="280BC08D"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0822F454" w14:textId="77777777" w:rsidR="008F16FC" w:rsidRPr="008F16FC" w:rsidRDefault="008F16FC" w:rsidP="008F16FC">
            <w:pPr>
              <w:rPr>
                <w:sz w:val="20"/>
                <w:szCs w:val="20"/>
                <w:u w:val="single"/>
                <w:lang w:val="es-MX"/>
              </w:rPr>
            </w:pPr>
            <w:r w:rsidRPr="008F16FC">
              <w:rPr>
                <w:sz w:val="20"/>
                <w:szCs w:val="20"/>
                <w:u w:val="single"/>
                <w:lang w:val="es-MX"/>
              </w:rPr>
              <w:t> </w:t>
            </w:r>
          </w:p>
        </w:tc>
        <w:tc>
          <w:tcPr>
            <w:tcW w:w="5320" w:type="dxa"/>
            <w:tcBorders>
              <w:top w:val="nil"/>
              <w:left w:val="nil"/>
              <w:bottom w:val="nil"/>
              <w:right w:val="nil"/>
            </w:tcBorders>
            <w:shd w:val="clear" w:color="000000" w:fill="FFFFFF"/>
            <w:noWrap/>
            <w:vAlign w:val="bottom"/>
            <w:hideMark/>
          </w:tcPr>
          <w:p w14:paraId="4003ED9E" w14:textId="77777777" w:rsidR="008F16FC" w:rsidRPr="008F16FC" w:rsidRDefault="008F16FC" w:rsidP="008F16FC">
            <w:pPr>
              <w:rPr>
                <w:sz w:val="20"/>
                <w:szCs w:val="20"/>
                <w:lang w:val="es-AR"/>
              </w:rPr>
            </w:pPr>
            <w:r w:rsidRPr="008F16FC">
              <w:rPr>
                <w:sz w:val="20"/>
                <w:szCs w:val="20"/>
                <w:lang w:val="es-AR"/>
              </w:rPr>
              <w:t>Disminución en créditos diversos</w:t>
            </w:r>
          </w:p>
        </w:tc>
        <w:tc>
          <w:tcPr>
            <w:tcW w:w="1540" w:type="dxa"/>
            <w:tcBorders>
              <w:top w:val="nil"/>
              <w:left w:val="nil"/>
              <w:bottom w:val="nil"/>
              <w:right w:val="nil"/>
            </w:tcBorders>
            <w:shd w:val="clear" w:color="000000" w:fill="FFFFFF"/>
            <w:vAlign w:val="bottom"/>
          </w:tcPr>
          <w:p w14:paraId="71BF9B97" w14:textId="77777777" w:rsidR="008F16FC" w:rsidRPr="008F16FC" w:rsidRDefault="008F16FC" w:rsidP="008F16FC">
            <w:pPr>
              <w:jc w:val="right"/>
              <w:rPr>
                <w:sz w:val="20"/>
                <w:szCs w:val="20"/>
                <w:lang w:val="es-AR"/>
              </w:rPr>
            </w:pPr>
            <w:r w:rsidRPr="008F16FC">
              <w:rPr>
                <w:sz w:val="20"/>
                <w:szCs w:val="20"/>
                <w:lang w:val="es-AR"/>
              </w:rPr>
              <w:t>(84.578)</w:t>
            </w:r>
          </w:p>
        </w:tc>
        <w:tc>
          <w:tcPr>
            <w:tcW w:w="1540" w:type="dxa"/>
            <w:tcBorders>
              <w:top w:val="nil"/>
              <w:left w:val="nil"/>
              <w:bottom w:val="nil"/>
              <w:right w:val="nil"/>
            </w:tcBorders>
            <w:shd w:val="clear" w:color="000000" w:fill="FFFFFF"/>
            <w:noWrap/>
            <w:vAlign w:val="bottom"/>
          </w:tcPr>
          <w:p w14:paraId="5EC0DDD9" w14:textId="77777777" w:rsidR="008F16FC" w:rsidRPr="008F16FC" w:rsidRDefault="008F16FC" w:rsidP="008F16FC">
            <w:pPr>
              <w:jc w:val="right"/>
              <w:rPr>
                <w:sz w:val="20"/>
                <w:szCs w:val="20"/>
                <w:lang w:val="es-AR"/>
              </w:rPr>
            </w:pPr>
            <w:r w:rsidRPr="008F16FC">
              <w:rPr>
                <w:sz w:val="20"/>
                <w:szCs w:val="20"/>
                <w:lang w:val="es-AR"/>
              </w:rPr>
              <w:t xml:space="preserve">590.180 </w:t>
            </w:r>
          </w:p>
        </w:tc>
      </w:tr>
      <w:tr w:rsidR="008F16FC" w:rsidRPr="008F16FC" w14:paraId="06CF442E"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65E69838" w14:textId="77777777" w:rsidR="008F16FC" w:rsidRPr="008F16FC" w:rsidRDefault="008F16FC" w:rsidP="008F16FC">
            <w:pPr>
              <w:rPr>
                <w:sz w:val="20"/>
                <w:szCs w:val="20"/>
                <w:u w:val="single"/>
                <w:lang w:val="es-AR"/>
              </w:rPr>
            </w:pPr>
            <w:r w:rsidRPr="008F16FC">
              <w:rPr>
                <w:sz w:val="20"/>
                <w:szCs w:val="20"/>
                <w:u w:val="single"/>
                <w:lang w:val="es-AR"/>
              </w:rPr>
              <w:t> </w:t>
            </w:r>
          </w:p>
        </w:tc>
        <w:tc>
          <w:tcPr>
            <w:tcW w:w="5320" w:type="dxa"/>
            <w:tcBorders>
              <w:top w:val="nil"/>
              <w:left w:val="nil"/>
              <w:bottom w:val="nil"/>
              <w:right w:val="nil"/>
            </w:tcBorders>
            <w:shd w:val="clear" w:color="000000" w:fill="FFFFFF"/>
            <w:noWrap/>
            <w:vAlign w:val="bottom"/>
            <w:hideMark/>
          </w:tcPr>
          <w:p w14:paraId="5A6A829F" w14:textId="77777777" w:rsidR="008F16FC" w:rsidRPr="008F16FC" w:rsidRDefault="008F16FC" w:rsidP="008F16FC">
            <w:pPr>
              <w:rPr>
                <w:sz w:val="20"/>
                <w:szCs w:val="20"/>
                <w:lang w:val="es-AR"/>
              </w:rPr>
            </w:pPr>
            <w:r w:rsidRPr="008F16FC">
              <w:rPr>
                <w:sz w:val="20"/>
                <w:szCs w:val="20"/>
                <w:lang w:val="es-AR"/>
              </w:rPr>
              <w:t>(Aumento) en inventarios</w:t>
            </w:r>
          </w:p>
        </w:tc>
        <w:tc>
          <w:tcPr>
            <w:tcW w:w="1540" w:type="dxa"/>
            <w:tcBorders>
              <w:top w:val="nil"/>
              <w:left w:val="nil"/>
              <w:bottom w:val="nil"/>
              <w:right w:val="nil"/>
            </w:tcBorders>
            <w:shd w:val="clear" w:color="000000" w:fill="FFFFFF"/>
            <w:vAlign w:val="bottom"/>
          </w:tcPr>
          <w:p w14:paraId="4321E547" w14:textId="77777777" w:rsidR="008F16FC" w:rsidRPr="008F16FC" w:rsidRDefault="008F16FC" w:rsidP="008F16FC">
            <w:pPr>
              <w:jc w:val="right"/>
              <w:rPr>
                <w:sz w:val="20"/>
                <w:szCs w:val="20"/>
                <w:lang w:val="es-AR"/>
              </w:rPr>
            </w:pPr>
            <w:r w:rsidRPr="008F16FC">
              <w:rPr>
                <w:sz w:val="20"/>
                <w:szCs w:val="20"/>
                <w:lang w:val="es-AR"/>
              </w:rPr>
              <w:t>310.255</w:t>
            </w:r>
          </w:p>
        </w:tc>
        <w:tc>
          <w:tcPr>
            <w:tcW w:w="1540" w:type="dxa"/>
            <w:tcBorders>
              <w:top w:val="nil"/>
              <w:left w:val="nil"/>
              <w:bottom w:val="nil"/>
              <w:right w:val="nil"/>
            </w:tcBorders>
            <w:shd w:val="clear" w:color="000000" w:fill="FFFFFF"/>
            <w:noWrap/>
            <w:vAlign w:val="bottom"/>
          </w:tcPr>
          <w:p w14:paraId="0665B4A1" w14:textId="77777777" w:rsidR="008F16FC" w:rsidRPr="008F16FC" w:rsidRDefault="008F16FC" w:rsidP="008F16FC">
            <w:pPr>
              <w:jc w:val="right"/>
              <w:rPr>
                <w:sz w:val="20"/>
                <w:szCs w:val="20"/>
                <w:lang w:val="es-AR"/>
              </w:rPr>
            </w:pPr>
            <w:r w:rsidRPr="008F16FC">
              <w:rPr>
                <w:sz w:val="20"/>
                <w:szCs w:val="20"/>
                <w:lang w:val="es-AR"/>
              </w:rPr>
              <w:t xml:space="preserve">(209.291) </w:t>
            </w:r>
          </w:p>
        </w:tc>
      </w:tr>
      <w:tr w:rsidR="008F16FC" w:rsidRPr="008F16FC" w14:paraId="324DA24B"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58775B52" w14:textId="77777777" w:rsidR="008F16FC" w:rsidRPr="008F16FC" w:rsidRDefault="008F16FC" w:rsidP="008F16FC">
            <w:pPr>
              <w:rPr>
                <w:sz w:val="20"/>
                <w:szCs w:val="20"/>
                <w:u w:val="single"/>
                <w:lang w:val="es-AR"/>
              </w:rPr>
            </w:pPr>
            <w:r w:rsidRPr="008F16FC">
              <w:rPr>
                <w:sz w:val="20"/>
                <w:szCs w:val="20"/>
                <w:u w:val="single"/>
                <w:lang w:val="es-AR"/>
              </w:rPr>
              <w:t> </w:t>
            </w:r>
          </w:p>
        </w:tc>
        <w:tc>
          <w:tcPr>
            <w:tcW w:w="5320" w:type="dxa"/>
            <w:tcBorders>
              <w:top w:val="nil"/>
              <w:left w:val="nil"/>
              <w:bottom w:val="nil"/>
              <w:right w:val="nil"/>
            </w:tcBorders>
            <w:shd w:val="clear" w:color="000000" w:fill="FFFFFF"/>
            <w:noWrap/>
            <w:vAlign w:val="bottom"/>
            <w:hideMark/>
          </w:tcPr>
          <w:p w14:paraId="75F744FC" w14:textId="77777777" w:rsidR="008F16FC" w:rsidRPr="008F16FC" w:rsidRDefault="008F16FC" w:rsidP="008F16FC">
            <w:pPr>
              <w:rPr>
                <w:sz w:val="20"/>
                <w:szCs w:val="20"/>
                <w:lang w:val="es-AR"/>
              </w:rPr>
            </w:pPr>
            <w:r w:rsidRPr="008F16FC">
              <w:rPr>
                <w:sz w:val="20"/>
                <w:szCs w:val="20"/>
                <w:lang w:val="es-AR"/>
              </w:rPr>
              <w:t>Aumento en acreedores comerciales</w:t>
            </w:r>
          </w:p>
        </w:tc>
        <w:tc>
          <w:tcPr>
            <w:tcW w:w="1540" w:type="dxa"/>
            <w:tcBorders>
              <w:top w:val="nil"/>
              <w:left w:val="nil"/>
              <w:bottom w:val="nil"/>
              <w:right w:val="nil"/>
            </w:tcBorders>
            <w:shd w:val="clear" w:color="000000" w:fill="FFFFFF"/>
            <w:vAlign w:val="bottom"/>
          </w:tcPr>
          <w:p w14:paraId="2A1E5C7A" w14:textId="77777777" w:rsidR="008F16FC" w:rsidRPr="008F16FC" w:rsidRDefault="008F16FC" w:rsidP="008F16FC">
            <w:pPr>
              <w:jc w:val="right"/>
              <w:rPr>
                <w:sz w:val="20"/>
                <w:szCs w:val="20"/>
                <w:lang w:val="es-AR"/>
              </w:rPr>
            </w:pPr>
            <w:r w:rsidRPr="008F16FC">
              <w:rPr>
                <w:sz w:val="20"/>
                <w:szCs w:val="20"/>
                <w:lang w:val="es-AR"/>
              </w:rPr>
              <w:t>467.572</w:t>
            </w:r>
          </w:p>
        </w:tc>
        <w:tc>
          <w:tcPr>
            <w:tcW w:w="1540" w:type="dxa"/>
            <w:tcBorders>
              <w:top w:val="nil"/>
              <w:left w:val="nil"/>
              <w:bottom w:val="nil"/>
              <w:right w:val="nil"/>
            </w:tcBorders>
            <w:shd w:val="clear" w:color="000000" w:fill="FFFFFF"/>
            <w:noWrap/>
            <w:vAlign w:val="bottom"/>
          </w:tcPr>
          <w:p w14:paraId="69CE8192" w14:textId="77777777" w:rsidR="008F16FC" w:rsidRPr="008F16FC" w:rsidRDefault="008F16FC" w:rsidP="008F16FC">
            <w:pPr>
              <w:jc w:val="right"/>
              <w:rPr>
                <w:sz w:val="20"/>
                <w:szCs w:val="20"/>
                <w:lang w:val="es-AR"/>
              </w:rPr>
            </w:pPr>
            <w:r w:rsidRPr="008F16FC">
              <w:rPr>
                <w:sz w:val="20"/>
                <w:szCs w:val="20"/>
                <w:lang w:val="es-AR"/>
              </w:rPr>
              <w:t xml:space="preserve">383.877 </w:t>
            </w:r>
          </w:p>
        </w:tc>
      </w:tr>
      <w:tr w:rsidR="008F16FC" w:rsidRPr="008F16FC" w14:paraId="162F2074"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6757F26F" w14:textId="77777777" w:rsidR="008F16FC" w:rsidRPr="008F16FC" w:rsidRDefault="008F16FC" w:rsidP="008F16FC">
            <w:pPr>
              <w:rPr>
                <w:sz w:val="20"/>
                <w:szCs w:val="20"/>
                <w:u w:val="single"/>
                <w:lang w:val="es-AR"/>
              </w:rPr>
            </w:pPr>
            <w:r w:rsidRPr="008F16FC">
              <w:rPr>
                <w:sz w:val="20"/>
                <w:szCs w:val="20"/>
                <w:u w:val="single"/>
                <w:lang w:val="es-AR"/>
              </w:rPr>
              <w:t> </w:t>
            </w:r>
          </w:p>
        </w:tc>
        <w:tc>
          <w:tcPr>
            <w:tcW w:w="5320" w:type="dxa"/>
            <w:tcBorders>
              <w:top w:val="nil"/>
              <w:left w:val="nil"/>
              <w:bottom w:val="nil"/>
              <w:right w:val="nil"/>
            </w:tcBorders>
            <w:shd w:val="clear" w:color="000000" w:fill="FFFFFF"/>
            <w:noWrap/>
            <w:vAlign w:val="bottom"/>
            <w:hideMark/>
          </w:tcPr>
          <w:p w14:paraId="33FC6856" w14:textId="77777777" w:rsidR="008F16FC" w:rsidRPr="008F16FC" w:rsidRDefault="008F16FC" w:rsidP="008F16FC">
            <w:pPr>
              <w:rPr>
                <w:sz w:val="20"/>
                <w:szCs w:val="20"/>
                <w:lang w:val="es-ES"/>
              </w:rPr>
            </w:pPr>
            <w:r w:rsidRPr="008F16FC">
              <w:rPr>
                <w:sz w:val="20"/>
                <w:szCs w:val="20"/>
                <w:lang w:val="es-ES"/>
              </w:rPr>
              <w:t>(Disminución) en anticipos de clientes</w:t>
            </w:r>
          </w:p>
        </w:tc>
        <w:tc>
          <w:tcPr>
            <w:tcW w:w="1540" w:type="dxa"/>
            <w:tcBorders>
              <w:top w:val="nil"/>
              <w:left w:val="nil"/>
              <w:bottom w:val="nil"/>
              <w:right w:val="nil"/>
            </w:tcBorders>
            <w:shd w:val="clear" w:color="000000" w:fill="FFFFFF"/>
            <w:vAlign w:val="bottom"/>
          </w:tcPr>
          <w:p w14:paraId="753B872D" w14:textId="77777777" w:rsidR="008F16FC" w:rsidRPr="008F16FC" w:rsidRDefault="008F16FC" w:rsidP="008F16FC">
            <w:pPr>
              <w:jc w:val="right"/>
              <w:rPr>
                <w:sz w:val="20"/>
                <w:szCs w:val="20"/>
                <w:lang w:val="es-MX"/>
              </w:rPr>
            </w:pPr>
            <w:r w:rsidRPr="008F16FC">
              <w:rPr>
                <w:sz w:val="20"/>
                <w:szCs w:val="20"/>
                <w:lang w:val="es-MX"/>
              </w:rPr>
              <w:t>(837.808)</w:t>
            </w:r>
          </w:p>
        </w:tc>
        <w:tc>
          <w:tcPr>
            <w:tcW w:w="1540" w:type="dxa"/>
            <w:tcBorders>
              <w:top w:val="nil"/>
              <w:left w:val="nil"/>
              <w:bottom w:val="nil"/>
              <w:right w:val="nil"/>
            </w:tcBorders>
            <w:shd w:val="clear" w:color="000000" w:fill="FFFFFF"/>
            <w:noWrap/>
            <w:vAlign w:val="bottom"/>
          </w:tcPr>
          <w:p w14:paraId="07BDC4AF" w14:textId="77777777" w:rsidR="008F16FC" w:rsidRPr="008F16FC" w:rsidRDefault="008F16FC" w:rsidP="008F16FC">
            <w:pPr>
              <w:jc w:val="right"/>
              <w:rPr>
                <w:sz w:val="20"/>
                <w:szCs w:val="20"/>
                <w:lang w:val="es-MX"/>
              </w:rPr>
            </w:pPr>
            <w:r w:rsidRPr="008F16FC">
              <w:rPr>
                <w:sz w:val="20"/>
                <w:szCs w:val="20"/>
                <w:lang w:val="es-AR"/>
              </w:rPr>
              <w:t xml:space="preserve">(2.268.752) </w:t>
            </w:r>
          </w:p>
        </w:tc>
      </w:tr>
      <w:tr w:rsidR="008F16FC" w:rsidRPr="008F16FC" w14:paraId="03E702CB"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28FCC26E" w14:textId="77777777" w:rsidR="008F16FC" w:rsidRPr="008F16FC" w:rsidRDefault="008F16FC" w:rsidP="008F16FC">
            <w:pPr>
              <w:rPr>
                <w:sz w:val="20"/>
                <w:szCs w:val="20"/>
                <w:u w:val="single"/>
                <w:lang w:val="es-MX"/>
              </w:rPr>
            </w:pPr>
            <w:r w:rsidRPr="008F16FC">
              <w:rPr>
                <w:sz w:val="20"/>
                <w:szCs w:val="20"/>
                <w:u w:val="single"/>
                <w:lang w:val="es-MX"/>
              </w:rPr>
              <w:t> </w:t>
            </w:r>
          </w:p>
        </w:tc>
        <w:tc>
          <w:tcPr>
            <w:tcW w:w="5320" w:type="dxa"/>
            <w:tcBorders>
              <w:top w:val="nil"/>
              <w:left w:val="nil"/>
              <w:bottom w:val="nil"/>
              <w:right w:val="nil"/>
            </w:tcBorders>
            <w:shd w:val="clear" w:color="000000" w:fill="FFFFFF"/>
            <w:noWrap/>
            <w:vAlign w:val="bottom"/>
            <w:hideMark/>
          </w:tcPr>
          <w:p w14:paraId="03BBC9F6" w14:textId="77777777" w:rsidR="008F16FC" w:rsidRPr="008F16FC" w:rsidRDefault="008F16FC" w:rsidP="008F16FC">
            <w:pPr>
              <w:rPr>
                <w:sz w:val="20"/>
                <w:szCs w:val="20"/>
                <w:lang w:val="es-ES"/>
              </w:rPr>
            </w:pPr>
            <w:r w:rsidRPr="008F16FC">
              <w:rPr>
                <w:sz w:val="20"/>
                <w:szCs w:val="20"/>
                <w:lang w:val="es-ES"/>
              </w:rPr>
              <w:t>(Disminución) / Aumento en beneficios al personal</w:t>
            </w:r>
          </w:p>
        </w:tc>
        <w:tc>
          <w:tcPr>
            <w:tcW w:w="1540" w:type="dxa"/>
            <w:tcBorders>
              <w:top w:val="nil"/>
              <w:left w:val="nil"/>
              <w:bottom w:val="nil"/>
              <w:right w:val="nil"/>
            </w:tcBorders>
            <w:shd w:val="clear" w:color="000000" w:fill="FFFFFF"/>
            <w:vAlign w:val="bottom"/>
          </w:tcPr>
          <w:p w14:paraId="563F873B" w14:textId="77777777" w:rsidR="008F16FC" w:rsidRPr="008F16FC" w:rsidRDefault="008F16FC" w:rsidP="008F16FC">
            <w:pPr>
              <w:jc w:val="right"/>
              <w:rPr>
                <w:sz w:val="20"/>
                <w:szCs w:val="20"/>
                <w:lang w:val="es-MX"/>
              </w:rPr>
            </w:pPr>
            <w:r w:rsidRPr="008F16FC">
              <w:rPr>
                <w:sz w:val="20"/>
                <w:szCs w:val="20"/>
                <w:lang w:val="es-MX"/>
              </w:rPr>
              <w:t>(12.372)</w:t>
            </w:r>
          </w:p>
        </w:tc>
        <w:tc>
          <w:tcPr>
            <w:tcW w:w="1540" w:type="dxa"/>
            <w:tcBorders>
              <w:top w:val="nil"/>
              <w:left w:val="nil"/>
              <w:bottom w:val="nil"/>
              <w:right w:val="nil"/>
            </w:tcBorders>
            <w:shd w:val="clear" w:color="000000" w:fill="FFFFFF"/>
            <w:noWrap/>
            <w:vAlign w:val="bottom"/>
          </w:tcPr>
          <w:p w14:paraId="5E33CA5C" w14:textId="77777777" w:rsidR="008F16FC" w:rsidRPr="008F16FC" w:rsidRDefault="008F16FC" w:rsidP="008F16FC">
            <w:pPr>
              <w:jc w:val="right"/>
              <w:rPr>
                <w:sz w:val="20"/>
                <w:szCs w:val="20"/>
                <w:lang w:val="es-MX"/>
              </w:rPr>
            </w:pPr>
            <w:r w:rsidRPr="008F16FC">
              <w:rPr>
                <w:sz w:val="20"/>
                <w:szCs w:val="20"/>
                <w:lang w:val="es-AR"/>
              </w:rPr>
              <w:t xml:space="preserve">(121.473) </w:t>
            </w:r>
          </w:p>
        </w:tc>
      </w:tr>
      <w:tr w:rsidR="008F16FC" w:rsidRPr="008F16FC" w14:paraId="63774810"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5062D147" w14:textId="77777777" w:rsidR="008F16FC" w:rsidRPr="008F16FC" w:rsidRDefault="008F16FC" w:rsidP="008F16FC">
            <w:pPr>
              <w:rPr>
                <w:sz w:val="20"/>
                <w:szCs w:val="20"/>
                <w:lang w:val="es-MX"/>
              </w:rPr>
            </w:pPr>
            <w:r w:rsidRPr="008F16FC">
              <w:rPr>
                <w:sz w:val="20"/>
                <w:szCs w:val="20"/>
                <w:lang w:val="es-MX"/>
              </w:rPr>
              <w:t> </w:t>
            </w:r>
          </w:p>
        </w:tc>
        <w:tc>
          <w:tcPr>
            <w:tcW w:w="5320" w:type="dxa"/>
            <w:tcBorders>
              <w:top w:val="nil"/>
              <w:left w:val="nil"/>
              <w:bottom w:val="nil"/>
              <w:right w:val="nil"/>
            </w:tcBorders>
            <w:shd w:val="clear" w:color="000000" w:fill="FFFFFF"/>
            <w:noWrap/>
            <w:vAlign w:val="bottom"/>
            <w:hideMark/>
          </w:tcPr>
          <w:p w14:paraId="7A037F16" w14:textId="77777777" w:rsidR="008F16FC" w:rsidRPr="008F16FC" w:rsidRDefault="008F16FC" w:rsidP="008F16FC">
            <w:pPr>
              <w:rPr>
                <w:sz w:val="20"/>
                <w:szCs w:val="20"/>
                <w:lang w:val="es-ES"/>
              </w:rPr>
            </w:pPr>
            <w:r w:rsidRPr="008F16FC">
              <w:rPr>
                <w:sz w:val="20"/>
                <w:szCs w:val="20"/>
                <w:lang w:val="es-ES"/>
              </w:rPr>
              <w:t>(Disminución) / Aumento en impuestos y otros gravámenes</w:t>
            </w:r>
          </w:p>
        </w:tc>
        <w:tc>
          <w:tcPr>
            <w:tcW w:w="1540" w:type="dxa"/>
            <w:tcBorders>
              <w:top w:val="nil"/>
              <w:left w:val="nil"/>
              <w:bottom w:val="nil"/>
              <w:right w:val="nil"/>
            </w:tcBorders>
            <w:shd w:val="clear" w:color="000000" w:fill="FFFFFF"/>
            <w:vAlign w:val="bottom"/>
          </w:tcPr>
          <w:p w14:paraId="732F5737" w14:textId="77777777" w:rsidR="008F16FC" w:rsidRPr="008F16FC" w:rsidRDefault="008F16FC" w:rsidP="008F16FC">
            <w:pPr>
              <w:jc w:val="right"/>
              <w:rPr>
                <w:sz w:val="20"/>
                <w:szCs w:val="20"/>
                <w:lang w:val="es-MX"/>
              </w:rPr>
            </w:pPr>
            <w:r w:rsidRPr="008F16FC">
              <w:rPr>
                <w:sz w:val="20"/>
                <w:szCs w:val="20"/>
                <w:lang w:val="es-MX"/>
              </w:rPr>
              <w:t>(34.822)</w:t>
            </w:r>
          </w:p>
        </w:tc>
        <w:tc>
          <w:tcPr>
            <w:tcW w:w="1540" w:type="dxa"/>
            <w:tcBorders>
              <w:top w:val="nil"/>
              <w:left w:val="nil"/>
              <w:bottom w:val="nil"/>
              <w:right w:val="nil"/>
            </w:tcBorders>
            <w:shd w:val="clear" w:color="000000" w:fill="FFFFFF"/>
            <w:noWrap/>
            <w:vAlign w:val="bottom"/>
          </w:tcPr>
          <w:p w14:paraId="7A31CC4B" w14:textId="77777777" w:rsidR="008F16FC" w:rsidRPr="008F16FC" w:rsidRDefault="008F16FC" w:rsidP="008F16FC">
            <w:pPr>
              <w:jc w:val="right"/>
              <w:rPr>
                <w:sz w:val="20"/>
                <w:szCs w:val="20"/>
                <w:lang w:val="es-MX"/>
              </w:rPr>
            </w:pPr>
            <w:r w:rsidRPr="008F16FC">
              <w:rPr>
                <w:sz w:val="20"/>
                <w:szCs w:val="20"/>
                <w:lang w:val="es-AR"/>
              </w:rPr>
              <w:t xml:space="preserve">(28.699) </w:t>
            </w:r>
          </w:p>
        </w:tc>
      </w:tr>
      <w:tr w:rsidR="008F16FC" w:rsidRPr="008F16FC" w14:paraId="5E354153"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72148086" w14:textId="77777777" w:rsidR="008F16FC" w:rsidRPr="008F16FC" w:rsidRDefault="008F16FC" w:rsidP="008F16FC">
            <w:pPr>
              <w:rPr>
                <w:sz w:val="20"/>
                <w:szCs w:val="20"/>
                <w:lang w:val="es-MX"/>
              </w:rPr>
            </w:pPr>
            <w:r w:rsidRPr="008F16FC">
              <w:rPr>
                <w:sz w:val="20"/>
                <w:szCs w:val="20"/>
                <w:lang w:val="es-MX"/>
              </w:rPr>
              <w:t> </w:t>
            </w:r>
          </w:p>
        </w:tc>
        <w:tc>
          <w:tcPr>
            <w:tcW w:w="5320" w:type="dxa"/>
            <w:tcBorders>
              <w:top w:val="nil"/>
              <w:left w:val="nil"/>
              <w:bottom w:val="nil"/>
              <w:right w:val="nil"/>
            </w:tcBorders>
            <w:shd w:val="clear" w:color="000000" w:fill="FFFFFF"/>
            <w:noWrap/>
            <w:vAlign w:val="bottom"/>
            <w:hideMark/>
          </w:tcPr>
          <w:p w14:paraId="17939868" w14:textId="77777777" w:rsidR="008F16FC" w:rsidRPr="008F16FC" w:rsidRDefault="008F16FC" w:rsidP="008F16FC">
            <w:pPr>
              <w:rPr>
                <w:sz w:val="20"/>
                <w:szCs w:val="20"/>
                <w:lang w:val="es-ES"/>
              </w:rPr>
            </w:pPr>
            <w:r w:rsidRPr="008F16FC">
              <w:rPr>
                <w:sz w:val="20"/>
                <w:szCs w:val="20"/>
                <w:lang w:val="es-ES"/>
              </w:rPr>
              <w:t>(Disminución) en impuesto a las ganancias a pagar</w:t>
            </w:r>
          </w:p>
        </w:tc>
        <w:tc>
          <w:tcPr>
            <w:tcW w:w="1540" w:type="dxa"/>
            <w:tcBorders>
              <w:top w:val="nil"/>
              <w:left w:val="nil"/>
              <w:bottom w:val="nil"/>
              <w:right w:val="nil"/>
            </w:tcBorders>
            <w:shd w:val="clear" w:color="000000" w:fill="FFFFFF"/>
            <w:vAlign w:val="bottom"/>
          </w:tcPr>
          <w:p w14:paraId="144A8DD9" w14:textId="77777777" w:rsidR="008F16FC" w:rsidRPr="008F16FC" w:rsidRDefault="008F16FC" w:rsidP="008F16FC">
            <w:pPr>
              <w:jc w:val="right"/>
              <w:rPr>
                <w:sz w:val="20"/>
                <w:szCs w:val="20"/>
                <w:lang w:val="es-MX"/>
              </w:rPr>
            </w:pPr>
            <w:r w:rsidRPr="008F16FC">
              <w:rPr>
                <w:sz w:val="20"/>
                <w:szCs w:val="20"/>
                <w:lang w:val="es-MX"/>
              </w:rPr>
              <w:t>(124.855)</w:t>
            </w:r>
          </w:p>
        </w:tc>
        <w:tc>
          <w:tcPr>
            <w:tcW w:w="1540" w:type="dxa"/>
            <w:tcBorders>
              <w:top w:val="nil"/>
              <w:left w:val="nil"/>
              <w:bottom w:val="nil"/>
              <w:right w:val="nil"/>
            </w:tcBorders>
            <w:shd w:val="clear" w:color="000000" w:fill="FFFFFF"/>
            <w:noWrap/>
            <w:vAlign w:val="bottom"/>
          </w:tcPr>
          <w:p w14:paraId="0B307CED" w14:textId="77777777" w:rsidR="008F16FC" w:rsidRPr="008F16FC" w:rsidRDefault="008F16FC" w:rsidP="008F16FC">
            <w:pPr>
              <w:jc w:val="right"/>
              <w:rPr>
                <w:sz w:val="20"/>
                <w:szCs w:val="20"/>
                <w:lang w:val="es-MX"/>
              </w:rPr>
            </w:pPr>
            <w:r w:rsidRPr="008F16FC">
              <w:rPr>
                <w:sz w:val="20"/>
                <w:szCs w:val="20"/>
                <w:lang w:val="es-AR"/>
              </w:rPr>
              <w:t xml:space="preserve">(352.004) </w:t>
            </w:r>
          </w:p>
        </w:tc>
      </w:tr>
      <w:tr w:rsidR="008F16FC" w:rsidRPr="008F16FC" w14:paraId="773F60B7"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3C17F3F4" w14:textId="77777777" w:rsidR="008F16FC" w:rsidRPr="008F16FC" w:rsidRDefault="008F16FC" w:rsidP="008F16FC">
            <w:pPr>
              <w:rPr>
                <w:sz w:val="20"/>
                <w:szCs w:val="20"/>
                <w:lang w:val="es-MX"/>
              </w:rPr>
            </w:pPr>
            <w:r w:rsidRPr="008F16FC">
              <w:rPr>
                <w:sz w:val="20"/>
                <w:szCs w:val="20"/>
                <w:lang w:val="es-MX"/>
              </w:rPr>
              <w:t> </w:t>
            </w:r>
          </w:p>
        </w:tc>
        <w:tc>
          <w:tcPr>
            <w:tcW w:w="5320" w:type="dxa"/>
            <w:tcBorders>
              <w:top w:val="nil"/>
              <w:left w:val="nil"/>
              <w:bottom w:val="nil"/>
              <w:right w:val="nil"/>
            </w:tcBorders>
            <w:shd w:val="clear" w:color="000000" w:fill="FFFFFF"/>
            <w:noWrap/>
            <w:vAlign w:val="bottom"/>
            <w:hideMark/>
          </w:tcPr>
          <w:p w14:paraId="7DF6B992" w14:textId="77777777" w:rsidR="008F16FC" w:rsidRPr="008F16FC" w:rsidRDefault="008F16FC" w:rsidP="008F16FC">
            <w:pPr>
              <w:rPr>
                <w:sz w:val="20"/>
                <w:szCs w:val="20"/>
                <w:lang w:val="es-AR"/>
              </w:rPr>
            </w:pPr>
            <w:r w:rsidRPr="008F16FC">
              <w:rPr>
                <w:sz w:val="20"/>
                <w:szCs w:val="20"/>
                <w:lang w:val="es-AR"/>
              </w:rPr>
              <w:t>(Disminución) en provisiones</w:t>
            </w:r>
          </w:p>
        </w:tc>
        <w:tc>
          <w:tcPr>
            <w:tcW w:w="1540" w:type="dxa"/>
            <w:tcBorders>
              <w:top w:val="nil"/>
              <w:left w:val="nil"/>
              <w:bottom w:val="nil"/>
              <w:right w:val="nil"/>
            </w:tcBorders>
            <w:shd w:val="clear" w:color="000000" w:fill="FFFFFF"/>
            <w:vAlign w:val="bottom"/>
          </w:tcPr>
          <w:p w14:paraId="7D39FF63" w14:textId="77777777" w:rsidR="008F16FC" w:rsidRPr="008F16FC" w:rsidRDefault="008F16FC" w:rsidP="008F16FC">
            <w:pPr>
              <w:jc w:val="right"/>
              <w:rPr>
                <w:sz w:val="20"/>
                <w:szCs w:val="20"/>
                <w:lang w:val="es-AR"/>
              </w:rPr>
            </w:pPr>
            <w:r w:rsidRPr="008F16FC">
              <w:rPr>
                <w:sz w:val="20"/>
                <w:szCs w:val="20"/>
                <w:lang w:val="es-AR"/>
              </w:rPr>
              <w:t>5.342</w:t>
            </w:r>
          </w:p>
        </w:tc>
        <w:tc>
          <w:tcPr>
            <w:tcW w:w="1540" w:type="dxa"/>
            <w:tcBorders>
              <w:top w:val="nil"/>
              <w:left w:val="nil"/>
              <w:bottom w:val="nil"/>
              <w:right w:val="nil"/>
            </w:tcBorders>
            <w:shd w:val="clear" w:color="000000" w:fill="FFFFFF"/>
            <w:noWrap/>
            <w:vAlign w:val="bottom"/>
          </w:tcPr>
          <w:p w14:paraId="350761CA" w14:textId="77777777" w:rsidR="008F16FC" w:rsidRPr="008F16FC" w:rsidRDefault="008F16FC" w:rsidP="008F16FC">
            <w:pPr>
              <w:jc w:val="right"/>
              <w:rPr>
                <w:sz w:val="20"/>
                <w:szCs w:val="20"/>
                <w:lang w:val="es-AR"/>
              </w:rPr>
            </w:pPr>
            <w:r w:rsidRPr="008F16FC">
              <w:rPr>
                <w:sz w:val="20"/>
                <w:szCs w:val="20"/>
                <w:lang w:val="es-AR"/>
              </w:rPr>
              <w:t xml:space="preserve">(99.314) </w:t>
            </w:r>
          </w:p>
        </w:tc>
      </w:tr>
      <w:tr w:rsidR="008F16FC" w:rsidRPr="008F16FC" w14:paraId="710C9791"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556E409E" w14:textId="77777777" w:rsidR="008F16FC" w:rsidRPr="008F16FC" w:rsidRDefault="008F16FC" w:rsidP="008F16FC">
            <w:pPr>
              <w:rPr>
                <w:sz w:val="20"/>
                <w:szCs w:val="20"/>
                <w:lang w:val="es-AR"/>
              </w:rPr>
            </w:pPr>
            <w:r w:rsidRPr="008F16FC">
              <w:rPr>
                <w:sz w:val="20"/>
                <w:szCs w:val="20"/>
                <w:lang w:val="es-AR"/>
              </w:rPr>
              <w:t> </w:t>
            </w:r>
          </w:p>
        </w:tc>
        <w:tc>
          <w:tcPr>
            <w:tcW w:w="5320" w:type="dxa"/>
            <w:tcBorders>
              <w:top w:val="nil"/>
              <w:left w:val="nil"/>
              <w:bottom w:val="nil"/>
              <w:right w:val="nil"/>
            </w:tcBorders>
            <w:shd w:val="clear" w:color="000000" w:fill="FFFFFF"/>
            <w:noWrap/>
            <w:vAlign w:val="bottom"/>
            <w:hideMark/>
          </w:tcPr>
          <w:p w14:paraId="01B1DC39" w14:textId="77777777" w:rsidR="008F16FC" w:rsidRPr="008F16FC" w:rsidRDefault="008F16FC" w:rsidP="008F16FC">
            <w:pPr>
              <w:rPr>
                <w:sz w:val="20"/>
                <w:szCs w:val="20"/>
                <w:lang w:val="es-ES"/>
              </w:rPr>
            </w:pPr>
            <w:r w:rsidRPr="008F16FC">
              <w:rPr>
                <w:sz w:val="20"/>
                <w:szCs w:val="20"/>
                <w:lang w:val="es-ES"/>
              </w:rPr>
              <w:t>Aumento en pasivos por impuestos diferidos</w:t>
            </w:r>
          </w:p>
        </w:tc>
        <w:tc>
          <w:tcPr>
            <w:tcW w:w="1540" w:type="dxa"/>
            <w:tcBorders>
              <w:top w:val="nil"/>
              <w:left w:val="nil"/>
              <w:bottom w:val="nil"/>
              <w:right w:val="nil"/>
            </w:tcBorders>
            <w:shd w:val="clear" w:color="000000" w:fill="FFFFFF"/>
            <w:vAlign w:val="bottom"/>
          </w:tcPr>
          <w:p w14:paraId="1F5A1CA0" w14:textId="77777777" w:rsidR="008F16FC" w:rsidRPr="008F16FC" w:rsidRDefault="008F16FC" w:rsidP="008F16FC">
            <w:pPr>
              <w:jc w:val="right"/>
              <w:rPr>
                <w:sz w:val="20"/>
                <w:szCs w:val="20"/>
                <w:lang w:val="es-MX"/>
              </w:rPr>
            </w:pPr>
            <w:r w:rsidRPr="008F16FC">
              <w:rPr>
                <w:sz w:val="20"/>
                <w:szCs w:val="20"/>
                <w:lang w:val="es-MX"/>
              </w:rPr>
              <w:t>43.272</w:t>
            </w:r>
          </w:p>
        </w:tc>
        <w:tc>
          <w:tcPr>
            <w:tcW w:w="1540" w:type="dxa"/>
            <w:tcBorders>
              <w:top w:val="nil"/>
              <w:left w:val="nil"/>
              <w:bottom w:val="nil"/>
              <w:right w:val="nil"/>
            </w:tcBorders>
            <w:shd w:val="clear" w:color="000000" w:fill="FFFFFF"/>
            <w:noWrap/>
            <w:vAlign w:val="bottom"/>
          </w:tcPr>
          <w:p w14:paraId="5F08D628" w14:textId="77777777" w:rsidR="008F16FC" w:rsidRPr="008F16FC" w:rsidRDefault="008F16FC" w:rsidP="008F16FC">
            <w:pPr>
              <w:jc w:val="right"/>
              <w:rPr>
                <w:sz w:val="20"/>
                <w:szCs w:val="20"/>
                <w:lang w:val="es-MX"/>
              </w:rPr>
            </w:pPr>
            <w:r w:rsidRPr="008F16FC">
              <w:rPr>
                <w:sz w:val="20"/>
                <w:szCs w:val="20"/>
                <w:lang w:val="es-AR"/>
              </w:rPr>
              <w:t xml:space="preserve">109.130 </w:t>
            </w:r>
          </w:p>
        </w:tc>
      </w:tr>
      <w:tr w:rsidR="008F16FC" w:rsidRPr="008F16FC" w14:paraId="24FFBDF0" w14:textId="77777777" w:rsidTr="008F16FC">
        <w:trPr>
          <w:trHeight w:val="255"/>
        </w:trPr>
        <w:tc>
          <w:tcPr>
            <w:tcW w:w="6520" w:type="dxa"/>
            <w:gridSpan w:val="2"/>
            <w:tcBorders>
              <w:top w:val="nil"/>
              <w:left w:val="nil"/>
              <w:bottom w:val="nil"/>
              <w:right w:val="nil"/>
            </w:tcBorders>
            <w:shd w:val="clear" w:color="000000" w:fill="FFFFFF"/>
            <w:vAlign w:val="bottom"/>
            <w:hideMark/>
          </w:tcPr>
          <w:p w14:paraId="0B1F8A1E" w14:textId="77777777" w:rsidR="008F16FC" w:rsidRPr="008F16FC" w:rsidRDefault="008F16FC" w:rsidP="008F16FC">
            <w:pPr>
              <w:rPr>
                <w:b/>
                <w:bCs/>
                <w:i/>
                <w:iCs/>
                <w:sz w:val="20"/>
                <w:szCs w:val="20"/>
                <w:lang w:val="es-ES"/>
              </w:rPr>
            </w:pPr>
            <w:r w:rsidRPr="008F16FC">
              <w:rPr>
                <w:b/>
                <w:bCs/>
                <w:i/>
                <w:iCs/>
                <w:sz w:val="20"/>
                <w:szCs w:val="20"/>
                <w:lang w:val="es-ES"/>
              </w:rPr>
              <w:t>Flujo neto de efectivo generado por las actividades operativas</w:t>
            </w:r>
          </w:p>
        </w:tc>
        <w:tc>
          <w:tcPr>
            <w:tcW w:w="1540" w:type="dxa"/>
            <w:tcBorders>
              <w:top w:val="single" w:sz="4" w:space="0" w:color="auto"/>
              <w:left w:val="nil"/>
              <w:bottom w:val="dotted" w:sz="4" w:space="0" w:color="auto"/>
              <w:right w:val="nil"/>
            </w:tcBorders>
            <w:shd w:val="clear" w:color="000000" w:fill="FFFFFF"/>
            <w:noWrap/>
            <w:vAlign w:val="bottom"/>
          </w:tcPr>
          <w:p w14:paraId="54025EDD" w14:textId="77777777" w:rsidR="008F16FC" w:rsidRPr="008F16FC" w:rsidRDefault="008F16FC" w:rsidP="008F16FC">
            <w:pPr>
              <w:jc w:val="right"/>
              <w:rPr>
                <w:b/>
                <w:bCs/>
                <w:sz w:val="20"/>
                <w:szCs w:val="20"/>
                <w:lang w:val="es-MX"/>
              </w:rPr>
            </w:pPr>
            <w:r w:rsidRPr="008F16FC">
              <w:rPr>
                <w:b/>
                <w:bCs/>
                <w:sz w:val="20"/>
                <w:szCs w:val="20"/>
                <w:lang w:val="es-MX"/>
              </w:rPr>
              <w:t>357.364</w:t>
            </w:r>
          </w:p>
        </w:tc>
        <w:tc>
          <w:tcPr>
            <w:tcW w:w="1540" w:type="dxa"/>
            <w:tcBorders>
              <w:top w:val="single" w:sz="4" w:space="0" w:color="auto"/>
              <w:left w:val="nil"/>
              <w:bottom w:val="dotted" w:sz="4" w:space="0" w:color="auto"/>
              <w:right w:val="nil"/>
            </w:tcBorders>
            <w:shd w:val="clear" w:color="000000" w:fill="FFFFFF"/>
            <w:vAlign w:val="bottom"/>
          </w:tcPr>
          <w:p w14:paraId="79FE2670" w14:textId="77777777" w:rsidR="008F16FC" w:rsidRPr="008F16FC" w:rsidRDefault="008F16FC" w:rsidP="008F16FC">
            <w:pPr>
              <w:jc w:val="center"/>
              <w:rPr>
                <w:b/>
                <w:bCs/>
                <w:sz w:val="20"/>
                <w:szCs w:val="20"/>
                <w:lang w:val="es-MX"/>
              </w:rPr>
            </w:pPr>
            <w:r w:rsidRPr="008F16FC">
              <w:rPr>
                <w:b/>
                <w:bCs/>
                <w:sz w:val="20"/>
                <w:szCs w:val="20"/>
                <w:lang w:val="es-AR"/>
              </w:rPr>
              <w:t xml:space="preserve">           1.188.028</w:t>
            </w:r>
          </w:p>
        </w:tc>
        <w:tc>
          <w:tcPr>
            <w:tcW w:w="1540" w:type="dxa"/>
            <w:vAlign w:val="bottom"/>
          </w:tcPr>
          <w:p w14:paraId="261594F2" w14:textId="77777777" w:rsidR="008F16FC" w:rsidRPr="008F16FC" w:rsidRDefault="008F16FC" w:rsidP="008F16FC">
            <w:pPr>
              <w:rPr>
                <w:rFonts w:eastAsia="Calibri"/>
                <w:sz w:val="22"/>
                <w:szCs w:val="22"/>
                <w:lang w:val="es-MX"/>
              </w:rPr>
            </w:pPr>
          </w:p>
        </w:tc>
      </w:tr>
      <w:tr w:rsidR="008F16FC" w:rsidRPr="00512442" w14:paraId="195E38E4" w14:textId="77777777" w:rsidTr="008F16FC">
        <w:trPr>
          <w:gridAfter w:val="1"/>
          <w:wAfter w:w="1540" w:type="dxa"/>
          <w:trHeight w:val="255"/>
        </w:trPr>
        <w:tc>
          <w:tcPr>
            <w:tcW w:w="6520" w:type="dxa"/>
            <w:gridSpan w:val="2"/>
            <w:tcBorders>
              <w:top w:val="nil"/>
              <w:left w:val="nil"/>
              <w:bottom w:val="nil"/>
              <w:right w:val="nil"/>
            </w:tcBorders>
            <w:shd w:val="clear" w:color="000000" w:fill="FFFFFF"/>
            <w:noWrap/>
            <w:vAlign w:val="bottom"/>
            <w:hideMark/>
          </w:tcPr>
          <w:p w14:paraId="0226789B" w14:textId="77777777" w:rsidR="008F16FC" w:rsidRPr="008F16FC" w:rsidRDefault="008F16FC" w:rsidP="008F16FC">
            <w:pPr>
              <w:rPr>
                <w:b/>
                <w:bCs/>
                <w:sz w:val="20"/>
                <w:szCs w:val="20"/>
                <w:u w:val="single"/>
                <w:lang w:val="es-ES"/>
              </w:rPr>
            </w:pPr>
            <w:r w:rsidRPr="008F16FC">
              <w:rPr>
                <w:b/>
                <w:bCs/>
                <w:sz w:val="20"/>
                <w:szCs w:val="20"/>
                <w:u w:val="single"/>
                <w:lang w:val="es-ES"/>
              </w:rPr>
              <w:t>Flujo de efectivo por las actividades de inversión</w:t>
            </w:r>
          </w:p>
        </w:tc>
        <w:tc>
          <w:tcPr>
            <w:tcW w:w="1540" w:type="dxa"/>
            <w:tcBorders>
              <w:top w:val="nil"/>
              <w:left w:val="nil"/>
              <w:bottom w:val="nil"/>
              <w:right w:val="nil"/>
            </w:tcBorders>
            <w:shd w:val="clear" w:color="000000" w:fill="FFFFFF"/>
            <w:noWrap/>
            <w:vAlign w:val="bottom"/>
          </w:tcPr>
          <w:p w14:paraId="18ED92AD" w14:textId="77777777" w:rsidR="008F16FC" w:rsidRPr="008F16FC" w:rsidRDefault="008F16FC" w:rsidP="008F16FC">
            <w:pPr>
              <w:rPr>
                <w:sz w:val="20"/>
                <w:szCs w:val="20"/>
                <w:lang w:val="es-ES"/>
              </w:rPr>
            </w:pPr>
          </w:p>
        </w:tc>
        <w:tc>
          <w:tcPr>
            <w:tcW w:w="1540" w:type="dxa"/>
            <w:tcBorders>
              <w:top w:val="nil"/>
              <w:left w:val="nil"/>
              <w:bottom w:val="nil"/>
              <w:right w:val="nil"/>
            </w:tcBorders>
            <w:shd w:val="clear" w:color="000000" w:fill="FFFFFF"/>
            <w:vAlign w:val="bottom"/>
          </w:tcPr>
          <w:p w14:paraId="6D20AB72" w14:textId="77777777" w:rsidR="008F16FC" w:rsidRPr="008F16FC" w:rsidRDefault="008F16FC" w:rsidP="008F16FC">
            <w:pPr>
              <w:rPr>
                <w:sz w:val="20"/>
                <w:szCs w:val="20"/>
                <w:lang w:val="es-ES"/>
              </w:rPr>
            </w:pPr>
          </w:p>
        </w:tc>
      </w:tr>
      <w:tr w:rsidR="008F16FC" w:rsidRPr="008F16FC" w14:paraId="085F98F3"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4EB93BB3" w14:textId="77777777" w:rsidR="008F16FC" w:rsidRPr="008F16FC" w:rsidRDefault="008F16FC" w:rsidP="008F16FC">
            <w:pPr>
              <w:rPr>
                <w:sz w:val="20"/>
                <w:szCs w:val="20"/>
                <w:u w:val="single"/>
                <w:lang w:val="es-ES"/>
              </w:rPr>
            </w:pPr>
            <w:r w:rsidRPr="008F16FC">
              <w:rPr>
                <w:sz w:val="20"/>
                <w:szCs w:val="20"/>
                <w:u w:val="single"/>
                <w:lang w:val="es-ES"/>
              </w:rPr>
              <w:t> </w:t>
            </w:r>
          </w:p>
        </w:tc>
        <w:tc>
          <w:tcPr>
            <w:tcW w:w="5320" w:type="dxa"/>
            <w:tcBorders>
              <w:top w:val="nil"/>
              <w:left w:val="nil"/>
              <w:bottom w:val="nil"/>
              <w:right w:val="nil"/>
            </w:tcBorders>
            <w:shd w:val="clear" w:color="000000" w:fill="FFFFFF"/>
            <w:noWrap/>
            <w:vAlign w:val="bottom"/>
            <w:hideMark/>
          </w:tcPr>
          <w:p w14:paraId="333416B3" w14:textId="77777777" w:rsidR="008F16FC" w:rsidRPr="008F16FC" w:rsidRDefault="008F16FC" w:rsidP="008F16FC">
            <w:pPr>
              <w:rPr>
                <w:sz w:val="20"/>
                <w:szCs w:val="20"/>
                <w:lang w:val="es-ES"/>
              </w:rPr>
            </w:pPr>
            <w:r w:rsidRPr="008F16FC">
              <w:rPr>
                <w:sz w:val="20"/>
                <w:szCs w:val="20"/>
                <w:lang w:val="es-ES"/>
              </w:rPr>
              <w:t>Disminución / (Aumento) de activos financieros</w:t>
            </w:r>
          </w:p>
        </w:tc>
        <w:tc>
          <w:tcPr>
            <w:tcW w:w="1540" w:type="dxa"/>
            <w:tcBorders>
              <w:top w:val="nil"/>
              <w:left w:val="nil"/>
              <w:bottom w:val="nil"/>
              <w:right w:val="nil"/>
            </w:tcBorders>
            <w:shd w:val="clear" w:color="000000" w:fill="FFFFFF"/>
            <w:vAlign w:val="bottom"/>
          </w:tcPr>
          <w:p w14:paraId="70578E3E" w14:textId="77777777" w:rsidR="008F16FC" w:rsidRPr="008F16FC" w:rsidRDefault="008F16FC" w:rsidP="008F16FC">
            <w:pPr>
              <w:jc w:val="right"/>
              <w:rPr>
                <w:sz w:val="20"/>
                <w:szCs w:val="20"/>
                <w:lang w:val="es-MX"/>
              </w:rPr>
            </w:pPr>
            <w:r w:rsidRPr="008F16FC">
              <w:rPr>
                <w:sz w:val="20"/>
                <w:szCs w:val="20"/>
                <w:lang w:val="es-MX"/>
              </w:rPr>
              <w:t>86</w:t>
            </w:r>
          </w:p>
        </w:tc>
        <w:tc>
          <w:tcPr>
            <w:tcW w:w="1540" w:type="dxa"/>
            <w:tcBorders>
              <w:top w:val="nil"/>
              <w:left w:val="nil"/>
              <w:bottom w:val="nil"/>
              <w:right w:val="nil"/>
            </w:tcBorders>
            <w:shd w:val="clear" w:color="000000" w:fill="FFFFFF"/>
            <w:noWrap/>
            <w:vAlign w:val="bottom"/>
          </w:tcPr>
          <w:p w14:paraId="69F8C9B8" w14:textId="77777777" w:rsidR="008F16FC" w:rsidRPr="008F16FC" w:rsidRDefault="008F16FC" w:rsidP="008F16FC">
            <w:pPr>
              <w:jc w:val="right"/>
              <w:rPr>
                <w:sz w:val="20"/>
                <w:szCs w:val="20"/>
                <w:lang w:val="es-MX"/>
              </w:rPr>
            </w:pPr>
            <w:r w:rsidRPr="008F16FC">
              <w:rPr>
                <w:sz w:val="20"/>
                <w:szCs w:val="20"/>
                <w:lang w:val="es-AR"/>
              </w:rPr>
              <w:t xml:space="preserve">1.537 </w:t>
            </w:r>
          </w:p>
        </w:tc>
      </w:tr>
      <w:tr w:rsidR="008F16FC" w:rsidRPr="008F16FC" w14:paraId="1A77AAFE"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567B547A" w14:textId="77777777" w:rsidR="008F16FC" w:rsidRPr="008F16FC" w:rsidRDefault="008F16FC" w:rsidP="008F16FC">
            <w:pPr>
              <w:rPr>
                <w:sz w:val="20"/>
                <w:szCs w:val="20"/>
                <w:u w:val="single"/>
                <w:lang w:val="es-MX"/>
              </w:rPr>
            </w:pPr>
            <w:r w:rsidRPr="008F16FC">
              <w:rPr>
                <w:sz w:val="20"/>
                <w:szCs w:val="20"/>
                <w:u w:val="single"/>
                <w:lang w:val="es-MX"/>
              </w:rPr>
              <w:t> </w:t>
            </w:r>
          </w:p>
        </w:tc>
        <w:tc>
          <w:tcPr>
            <w:tcW w:w="5320" w:type="dxa"/>
            <w:tcBorders>
              <w:top w:val="nil"/>
              <w:left w:val="nil"/>
              <w:bottom w:val="nil"/>
              <w:right w:val="nil"/>
            </w:tcBorders>
            <w:shd w:val="clear" w:color="000000" w:fill="FFFFFF"/>
            <w:noWrap/>
            <w:vAlign w:val="bottom"/>
            <w:hideMark/>
          </w:tcPr>
          <w:p w14:paraId="5464C0FC" w14:textId="77777777" w:rsidR="008F16FC" w:rsidRPr="008F16FC" w:rsidRDefault="008F16FC" w:rsidP="008F16FC">
            <w:pPr>
              <w:rPr>
                <w:sz w:val="20"/>
                <w:szCs w:val="20"/>
                <w:lang w:val="es-ES"/>
              </w:rPr>
            </w:pPr>
            <w:r w:rsidRPr="008F16FC">
              <w:rPr>
                <w:sz w:val="20"/>
                <w:szCs w:val="20"/>
                <w:lang w:val="es-ES"/>
              </w:rPr>
              <w:t>Cobro por ventas de propiedades, planta y equipo</w:t>
            </w:r>
          </w:p>
        </w:tc>
        <w:tc>
          <w:tcPr>
            <w:tcW w:w="1540" w:type="dxa"/>
            <w:tcBorders>
              <w:top w:val="nil"/>
              <w:left w:val="nil"/>
              <w:bottom w:val="nil"/>
              <w:right w:val="nil"/>
            </w:tcBorders>
            <w:shd w:val="clear" w:color="000000" w:fill="FFFFFF"/>
            <w:vAlign w:val="bottom"/>
          </w:tcPr>
          <w:p w14:paraId="384C5645" w14:textId="77777777" w:rsidR="008F16FC" w:rsidRPr="008F16FC" w:rsidRDefault="008F16FC" w:rsidP="008F16FC">
            <w:pPr>
              <w:jc w:val="right"/>
              <w:rPr>
                <w:sz w:val="20"/>
                <w:szCs w:val="20"/>
                <w:lang w:val="es-MX"/>
              </w:rPr>
            </w:pPr>
            <w:r w:rsidRPr="008F16FC">
              <w:rPr>
                <w:sz w:val="20"/>
                <w:szCs w:val="20"/>
                <w:lang w:val="es-MX"/>
              </w:rPr>
              <w:t>0</w:t>
            </w:r>
          </w:p>
        </w:tc>
        <w:tc>
          <w:tcPr>
            <w:tcW w:w="1540" w:type="dxa"/>
            <w:tcBorders>
              <w:top w:val="nil"/>
              <w:left w:val="nil"/>
              <w:bottom w:val="nil"/>
              <w:right w:val="nil"/>
            </w:tcBorders>
            <w:shd w:val="clear" w:color="000000" w:fill="FFFFFF"/>
            <w:noWrap/>
            <w:vAlign w:val="bottom"/>
          </w:tcPr>
          <w:p w14:paraId="63965CEC" w14:textId="77777777" w:rsidR="008F16FC" w:rsidRPr="008F16FC" w:rsidRDefault="008F16FC" w:rsidP="008F16FC">
            <w:pPr>
              <w:jc w:val="right"/>
              <w:rPr>
                <w:sz w:val="20"/>
                <w:szCs w:val="20"/>
                <w:lang w:val="es-MX"/>
              </w:rPr>
            </w:pPr>
            <w:r w:rsidRPr="008F16FC">
              <w:rPr>
                <w:sz w:val="20"/>
                <w:szCs w:val="20"/>
                <w:lang w:val="es-AR"/>
              </w:rPr>
              <w:t xml:space="preserve">228 </w:t>
            </w:r>
          </w:p>
        </w:tc>
      </w:tr>
      <w:tr w:rsidR="008F16FC" w:rsidRPr="008F16FC" w14:paraId="3AB4434C"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7BE7A345" w14:textId="77777777" w:rsidR="008F16FC" w:rsidRPr="008F16FC" w:rsidRDefault="008F16FC" w:rsidP="008F16FC">
            <w:pPr>
              <w:rPr>
                <w:sz w:val="20"/>
                <w:szCs w:val="20"/>
                <w:u w:val="single"/>
                <w:lang w:val="es-MX"/>
              </w:rPr>
            </w:pPr>
            <w:r w:rsidRPr="008F16FC">
              <w:rPr>
                <w:sz w:val="20"/>
                <w:szCs w:val="20"/>
                <w:u w:val="single"/>
                <w:lang w:val="es-MX"/>
              </w:rPr>
              <w:t> </w:t>
            </w:r>
          </w:p>
        </w:tc>
        <w:tc>
          <w:tcPr>
            <w:tcW w:w="5320" w:type="dxa"/>
            <w:tcBorders>
              <w:top w:val="nil"/>
              <w:left w:val="nil"/>
              <w:bottom w:val="nil"/>
              <w:right w:val="nil"/>
            </w:tcBorders>
            <w:shd w:val="clear" w:color="000000" w:fill="FFFFFF"/>
            <w:noWrap/>
            <w:vAlign w:val="bottom"/>
            <w:hideMark/>
          </w:tcPr>
          <w:p w14:paraId="006F7579" w14:textId="77777777" w:rsidR="008F16FC" w:rsidRPr="008F16FC" w:rsidRDefault="008F16FC" w:rsidP="008F16FC">
            <w:pPr>
              <w:rPr>
                <w:sz w:val="20"/>
                <w:szCs w:val="20"/>
                <w:lang w:val="es-ES"/>
              </w:rPr>
            </w:pPr>
            <w:r w:rsidRPr="008F16FC">
              <w:rPr>
                <w:sz w:val="20"/>
                <w:szCs w:val="20"/>
                <w:lang w:val="es-ES"/>
              </w:rPr>
              <w:t>Pago por compras de propiedades, planta y equipo</w:t>
            </w:r>
          </w:p>
        </w:tc>
        <w:tc>
          <w:tcPr>
            <w:tcW w:w="1540" w:type="dxa"/>
            <w:tcBorders>
              <w:top w:val="nil"/>
              <w:left w:val="nil"/>
              <w:bottom w:val="nil"/>
              <w:right w:val="nil"/>
            </w:tcBorders>
            <w:shd w:val="clear" w:color="000000" w:fill="FFFFFF"/>
            <w:vAlign w:val="bottom"/>
          </w:tcPr>
          <w:p w14:paraId="4EFA498B" w14:textId="77777777" w:rsidR="008F16FC" w:rsidRPr="008F16FC" w:rsidRDefault="008F16FC" w:rsidP="008F16FC">
            <w:pPr>
              <w:jc w:val="right"/>
              <w:rPr>
                <w:sz w:val="20"/>
                <w:szCs w:val="20"/>
                <w:lang w:val="es-MX"/>
              </w:rPr>
            </w:pPr>
            <w:r w:rsidRPr="008F16FC">
              <w:rPr>
                <w:sz w:val="20"/>
                <w:szCs w:val="20"/>
                <w:lang w:val="es-MX"/>
              </w:rPr>
              <w:t>(30.099)</w:t>
            </w:r>
          </w:p>
        </w:tc>
        <w:tc>
          <w:tcPr>
            <w:tcW w:w="1540" w:type="dxa"/>
            <w:tcBorders>
              <w:top w:val="nil"/>
              <w:left w:val="nil"/>
              <w:bottom w:val="nil"/>
              <w:right w:val="nil"/>
            </w:tcBorders>
            <w:shd w:val="clear" w:color="000000" w:fill="FFFFFF"/>
            <w:noWrap/>
            <w:vAlign w:val="bottom"/>
          </w:tcPr>
          <w:p w14:paraId="72E4483D" w14:textId="77777777" w:rsidR="008F16FC" w:rsidRPr="008F16FC" w:rsidRDefault="008F16FC" w:rsidP="008F16FC">
            <w:pPr>
              <w:jc w:val="right"/>
              <w:rPr>
                <w:sz w:val="20"/>
                <w:szCs w:val="20"/>
                <w:lang w:val="es-MX"/>
              </w:rPr>
            </w:pPr>
            <w:r w:rsidRPr="008F16FC">
              <w:rPr>
                <w:sz w:val="20"/>
                <w:szCs w:val="20"/>
                <w:lang w:val="es-AR"/>
              </w:rPr>
              <w:t xml:space="preserve">(26.777) </w:t>
            </w:r>
          </w:p>
        </w:tc>
      </w:tr>
      <w:tr w:rsidR="008F16FC" w:rsidRPr="008F16FC" w14:paraId="777D0228"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30868D42" w14:textId="77777777" w:rsidR="008F16FC" w:rsidRPr="008F16FC" w:rsidRDefault="008F16FC" w:rsidP="008F16FC">
            <w:pPr>
              <w:rPr>
                <w:sz w:val="20"/>
                <w:szCs w:val="20"/>
                <w:u w:val="single"/>
                <w:lang w:val="es-MX"/>
              </w:rPr>
            </w:pPr>
            <w:r w:rsidRPr="008F16FC">
              <w:rPr>
                <w:sz w:val="20"/>
                <w:szCs w:val="20"/>
                <w:u w:val="single"/>
                <w:lang w:val="es-MX"/>
              </w:rPr>
              <w:t> </w:t>
            </w:r>
          </w:p>
        </w:tc>
        <w:tc>
          <w:tcPr>
            <w:tcW w:w="5320" w:type="dxa"/>
            <w:tcBorders>
              <w:top w:val="nil"/>
              <w:left w:val="nil"/>
              <w:bottom w:val="nil"/>
              <w:right w:val="nil"/>
            </w:tcBorders>
            <w:shd w:val="clear" w:color="000000" w:fill="FFFFFF"/>
            <w:noWrap/>
            <w:vAlign w:val="bottom"/>
            <w:hideMark/>
          </w:tcPr>
          <w:p w14:paraId="34E5DDDE" w14:textId="77777777" w:rsidR="008F16FC" w:rsidRPr="008F16FC" w:rsidRDefault="008F16FC" w:rsidP="008F16FC">
            <w:pPr>
              <w:rPr>
                <w:sz w:val="20"/>
                <w:szCs w:val="20"/>
                <w:lang w:val="es-ES"/>
              </w:rPr>
            </w:pPr>
            <w:r w:rsidRPr="008F16FC">
              <w:rPr>
                <w:sz w:val="20"/>
                <w:szCs w:val="20"/>
                <w:lang w:val="es-ES"/>
              </w:rPr>
              <w:t>Pago por compras de activos intangibles</w:t>
            </w:r>
          </w:p>
        </w:tc>
        <w:tc>
          <w:tcPr>
            <w:tcW w:w="1540" w:type="dxa"/>
            <w:tcBorders>
              <w:top w:val="nil"/>
              <w:left w:val="nil"/>
              <w:bottom w:val="nil"/>
              <w:right w:val="nil"/>
            </w:tcBorders>
            <w:shd w:val="clear" w:color="000000" w:fill="FFFFFF"/>
            <w:vAlign w:val="bottom"/>
          </w:tcPr>
          <w:p w14:paraId="717D4CA9" w14:textId="77777777" w:rsidR="008F16FC" w:rsidRPr="008F16FC" w:rsidRDefault="008F16FC" w:rsidP="008F16FC">
            <w:pPr>
              <w:jc w:val="right"/>
              <w:rPr>
                <w:sz w:val="20"/>
                <w:szCs w:val="20"/>
                <w:lang w:val="es-MX"/>
              </w:rPr>
            </w:pPr>
            <w:r w:rsidRPr="008F16FC">
              <w:rPr>
                <w:sz w:val="20"/>
                <w:szCs w:val="20"/>
                <w:lang w:val="es-MX"/>
              </w:rPr>
              <w:t>(44.964)</w:t>
            </w:r>
          </w:p>
        </w:tc>
        <w:tc>
          <w:tcPr>
            <w:tcW w:w="1540" w:type="dxa"/>
            <w:tcBorders>
              <w:top w:val="nil"/>
              <w:left w:val="nil"/>
              <w:bottom w:val="nil"/>
              <w:right w:val="nil"/>
            </w:tcBorders>
            <w:shd w:val="clear" w:color="000000" w:fill="FFFFFF"/>
            <w:noWrap/>
            <w:vAlign w:val="bottom"/>
          </w:tcPr>
          <w:p w14:paraId="6EF2E661" w14:textId="77777777" w:rsidR="008F16FC" w:rsidRPr="008F16FC" w:rsidRDefault="008F16FC" w:rsidP="008F16FC">
            <w:pPr>
              <w:jc w:val="right"/>
              <w:rPr>
                <w:sz w:val="20"/>
                <w:szCs w:val="20"/>
                <w:lang w:val="es-MX"/>
              </w:rPr>
            </w:pPr>
            <w:r w:rsidRPr="008F16FC">
              <w:rPr>
                <w:sz w:val="20"/>
                <w:szCs w:val="20"/>
                <w:lang w:val="es-AR"/>
              </w:rPr>
              <w:t xml:space="preserve">(137.962) </w:t>
            </w:r>
          </w:p>
        </w:tc>
      </w:tr>
      <w:tr w:rsidR="008F16FC" w:rsidRPr="008F16FC" w14:paraId="31AA92C3"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11C8C087" w14:textId="77777777" w:rsidR="008F16FC" w:rsidRPr="008F16FC" w:rsidRDefault="008F16FC" w:rsidP="008F16FC">
            <w:pPr>
              <w:rPr>
                <w:sz w:val="20"/>
                <w:szCs w:val="20"/>
                <w:u w:val="single"/>
                <w:lang w:val="es-MX"/>
              </w:rPr>
            </w:pPr>
            <w:r w:rsidRPr="008F16FC">
              <w:rPr>
                <w:sz w:val="20"/>
                <w:szCs w:val="20"/>
                <w:u w:val="single"/>
                <w:lang w:val="es-MX"/>
              </w:rPr>
              <w:t> </w:t>
            </w:r>
          </w:p>
        </w:tc>
        <w:tc>
          <w:tcPr>
            <w:tcW w:w="5320" w:type="dxa"/>
            <w:tcBorders>
              <w:top w:val="nil"/>
              <w:left w:val="nil"/>
              <w:bottom w:val="nil"/>
              <w:right w:val="nil"/>
            </w:tcBorders>
            <w:shd w:val="clear" w:color="000000" w:fill="FFFFFF"/>
            <w:noWrap/>
            <w:vAlign w:val="bottom"/>
            <w:hideMark/>
          </w:tcPr>
          <w:p w14:paraId="5D8EC898" w14:textId="77777777" w:rsidR="008F16FC" w:rsidRPr="008F16FC" w:rsidRDefault="008F16FC" w:rsidP="008F16FC">
            <w:pPr>
              <w:rPr>
                <w:sz w:val="20"/>
                <w:szCs w:val="20"/>
                <w:lang w:val="es-AR"/>
              </w:rPr>
            </w:pPr>
            <w:r w:rsidRPr="008F16FC">
              <w:rPr>
                <w:sz w:val="20"/>
                <w:szCs w:val="20"/>
                <w:lang w:val="es-AR"/>
              </w:rPr>
              <w:t>Bajas en activos intangibles</w:t>
            </w:r>
          </w:p>
        </w:tc>
        <w:tc>
          <w:tcPr>
            <w:tcW w:w="1540" w:type="dxa"/>
            <w:tcBorders>
              <w:top w:val="nil"/>
              <w:left w:val="nil"/>
              <w:bottom w:val="nil"/>
              <w:right w:val="nil"/>
            </w:tcBorders>
            <w:shd w:val="clear" w:color="000000" w:fill="FFFFFF"/>
            <w:vAlign w:val="bottom"/>
          </w:tcPr>
          <w:p w14:paraId="49B248FC" w14:textId="77777777" w:rsidR="008F16FC" w:rsidRPr="008F16FC" w:rsidRDefault="008F16FC" w:rsidP="008F16FC">
            <w:pPr>
              <w:jc w:val="right"/>
              <w:rPr>
                <w:sz w:val="20"/>
                <w:szCs w:val="20"/>
                <w:lang w:val="es-AR"/>
              </w:rPr>
            </w:pPr>
            <w:r w:rsidRPr="008F16FC">
              <w:rPr>
                <w:sz w:val="20"/>
                <w:szCs w:val="20"/>
                <w:lang w:val="es-AR"/>
              </w:rPr>
              <w:t>55.246</w:t>
            </w:r>
          </w:p>
        </w:tc>
        <w:tc>
          <w:tcPr>
            <w:tcW w:w="1540" w:type="dxa"/>
            <w:tcBorders>
              <w:top w:val="nil"/>
              <w:left w:val="nil"/>
              <w:bottom w:val="nil"/>
              <w:right w:val="nil"/>
            </w:tcBorders>
            <w:shd w:val="clear" w:color="000000" w:fill="FFFFFF"/>
            <w:noWrap/>
            <w:vAlign w:val="bottom"/>
          </w:tcPr>
          <w:p w14:paraId="57A6B640" w14:textId="77777777" w:rsidR="008F16FC" w:rsidRPr="008F16FC" w:rsidRDefault="008F16FC" w:rsidP="008F16FC">
            <w:pPr>
              <w:jc w:val="right"/>
              <w:rPr>
                <w:sz w:val="20"/>
                <w:szCs w:val="20"/>
                <w:lang w:val="es-AR"/>
              </w:rPr>
            </w:pPr>
            <w:r w:rsidRPr="008F16FC">
              <w:rPr>
                <w:sz w:val="20"/>
                <w:szCs w:val="20"/>
                <w:lang w:val="es-AR"/>
              </w:rPr>
              <w:t xml:space="preserve">47.384 </w:t>
            </w:r>
          </w:p>
        </w:tc>
      </w:tr>
      <w:tr w:rsidR="008F16FC" w:rsidRPr="008F16FC" w14:paraId="27545A4D" w14:textId="77777777" w:rsidTr="008F16FC">
        <w:trPr>
          <w:gridAfter w:val="1"/>
          <w:wAfter w:w="1540" w:type="dxa"/>
          <w:trHeight w:val="255"/>
        </w:trPr>
        <w:tc>
          <w:tcPr>
            <w:tcW w:w="6520" w:type="dxa"/>
            <w:gridSpan w:val="2"/>
            <w:tcBorders>
              <w:top w:val="nil"/>
              <w:left w:val="nil"/>
              <w:bottom w:val="nil"/>
              <w:right w:val="nil"/>
            </w:tcBorders>
            <w:shd w:val="clear" w:color="000000" w:fill="FFFFFF"/>
            <w:vAlign w:val="bottom"/>
            <w:hideMark/>
          </w:tcPr>
          <w:p w14:paraId="77CD10B0" w14:textId="77777777" w:rsidR="008F16FC" w:rsidRPr="008F16FC" w:rsidRDefault="008F16FC" w:rsidP="008F16FC">
            <w:pPr>
              <w:rPr>
                <w:b/>
                <w:bCs/>
                <w:i/>
                <w:iCs/>
                <w:sz w:val="20"/>
                <w:szCs w:val="20"/>
                <w:lang w:val="es-ES"/>
              </w:rPr>
            </w:pPr>
            <w:r w:rsidRPr="008F16FC">
              <w:rPr>
                <w:b/>
                <w:bCs/>
                <w:i/>
                <w:iCs/>
                <w:sz w:val="20"/>
                <w:szCs w:val="20"/>
                <w:lang w:val="es-ES"/>
              </w:rPr>
              <w:t>Flujo neto de efectivo utilizado en las actividades de inversión</w:t>
            </w:r>
          </w:p>
        </w:tc>
        <w:tc>
          <w:tcPr>
            <w:tcW w:w="1540" w:type="dxa"/>
            <w:tcBorders>
              <w:top w:val="single" w:sz="4" w:space="0" w:color="auto"/>
              <w:left w:val="nil"/>
              <w:bottom w:val="dotted" w:sz="4" w:space="0" w:color="auto"/>
              <w:right w:val="nil"/>
            </w:tcBorders>
            <w:shd w:val="clear" w:color="000000" w:fill="FFFFFF"/>
            <w:noWrap/>
            <w:vAlign w:val="bottom"/>
          </w:tcPr>
          <w:p w14:paraId="11062594" w14:textId="77777777" w:rsidR="008F16FC" w:rsidRPr="008F16FC" w:rsidRDefault="008F16FC" w:rsidP="008F16FC">
            <w:pPr>
              <w:jc w:val="right"/>
              <w:rPr>
                <w:b/>
                <w:bCs/>
                <w:sz w:val="20"/>
                <w:szCs w:val="20"/>
                <w:lang w:val="es-MX"/>
              </w:rPr>
            </w:pPr>
            <w:r w:rsidRPr="008F16FC">
              <w:rPr>
                <w:b/>
                <w:bCs/>
                <w:sz w:val="20"/>
                <w:szCs w:val="20"/>
                <w:lang w:val="es-MX"/>
              </w:rPr>
              <w:t>(19.731)</w:t>
            </w:r>
          </w:p>
        </w:tc>
        <w:tc>
          <w:tcPr>
            <w:tcW w:w="1540" w:type="dxa"/>
            <w:tcBorders>
              <w:top w:val="single" w:sz="4" w:space="0" w:color="auto"/>
              <w:left w:val="nil"/>
              <w:bottom w:val="dotted" w:sz="4" w:space="0" w:color="auto"/>
              <w:right w:val="nil"/>
            </w:tcBorders>
            <w:shd w:val="clear" w:color="000000" w:fill="FFFFFF"/>
            <w:vAlign w:val="bottom"/>
          </w:tcPr>
          <w:p w14:paraId="33DC5923" w14:textId="77777777" w:rsidR="008F16FC" w:rsidRPr="008F16FC" w:rsidRDefault="008F16FC" w:rsidP="008F16FC">
            <w:pPr>
              <w:jc w:val="right"/>
              <w:rPr>
                <w:b/>
                <w:bCs/>
                <w:sz w:val="20"/>
                <w:szCs w:val="20"/>
                <w:lang w:val="es-MX"/>
              </w:rPr>
            </w:pPr>
            <w:r w:rsidRPr="008F16FC">
              <w:rPr>
                <w:b/>
                <w:bCs/>
                <w:sz w:val="20"/>
                <w:szCs w:val="20"/>
              </w:rPr>
              <w:t>(115.590)</w:t>
            </w:r>
          </w:p>
        </w:tc>
      </w:tr>
      <w:tr w:rsidR="008F16FC" w:rsidRPr="00512442" w14:paraId="559DABCB" w14:textId="77777777" w:rsidTr="008F16FC">
        <w:trPr>
          <w:gridAfter w:val="1"/>
          <w:wAfter w:w="1540" w:type="dxa"/>
          <w:trHeight w:val="255"/>
        </w:trPr>
        <w:tc>
          <w:tcPr>
            <w:tcW w:w="6520" w:type="dxa"/>
            <w:gridSpan w:val="2"/>
            <w:tcBorders>
              <w:top w:val="nil"/>
              <w:left w:val="nil"/>
              <w:bottom w:val="nil"/>
              <w:right w:val="nil"/>
            </w:tcBorders>
            <w:shd w:val="clear" w:color="000000" w:fill="FFFFFF"/>
            <w:noWrap/>
            <w:vAlign w:val="bottom"/>
            <w:hideMark/>
          </w:tcPr>
          <w:p w14:paraId="6A18F37E" w14:textId="77777777" w:rsidR="008F16FC" w:rsidRPr="008F16FC" w:rsidRDefault="008F16FC" w:rsidP="008F16FC">
            <w:pPr>
              <w:rPr>
                <w:b/>
                <w:bCs/>
                <w:sz w:val="20"/>
                <w:szCs w:val="20"/>
                <w:u w:val="single"/>
                <w:lang w:val="es-ES"/>
              </w:rPr>
            </w:pPr>
            <w:r w:rsidRPr="008F16FC">
              <w:rPr>
                <w:b/>
                <w:bCs/>
                <w:sz w:val="20"/>
                <w:szCs w:val="20"/>
                <w:u w:val="single"/>
                <w:lang w:val="es-ES"/>
              </w:rPr>
              <w:t>Flujo de efectivo por las actividades de financiación</w:t>
            </w:r>
          </w:p>
        </w:tc>
        <w:tc>
          <w:tcPr>
            <w:tcW w:w="1540" w:type="dxa"/>
            <w:tcBorders>
              <w:top w:val="nil"/>
              <w:left w:val="nil"/>
              <w:bottom w:val="nil"/>
              <w:right w:val="nil"/>
            </w:tcBorders>
            <w:shd w:val="clear" w:color="000000" w:fill="FFFFFF"/>
            <w:noWrap/>
            <w:vAlign w:val="bottom"/>
          </w:tcPr>
          <w:p w14:paraId="5A421977" w14:textId="77777777" w:rsidR="008F16FC" w:rsidRPr="008F16FC" w:rsidRDefault="008F16FC" w:rsidP="008F16FC">
            <w:pPr>
              <w:rPr>
                <w:sz w:val="20"/>
                <w:szCs w:val="20"/>
                <w:lang w:val="es-ES"/>
              </w:rPr>
            </w:pPr>
          </w:p>
        </w:tc>
        <w:tc>
          <w:tcPr>
            <w:tcW w:w="1540" w:type="dxa"/>
            <w:tcBorders>
              <w:top w:val="nil"/>
              <w:left w:val="nil"/>
              <w:bottom w:val="nil"/>
              <w:right w:val="nil"/>
            </w:tcBorders>
            <w:shd w:val="clear" w:color="000000" w:fill="FFFFFF"/>
            <w:vAlign w:val="bottom"/>
          </w:tcPr>
          <w:p w14:paraId="34D7CB43" w14:textId="77777777" w:rsidR="008F16FC" w:rsidRPr="008F16FC" w:rsidRDefault="008F16FC" w:rsidP="008F16FC">
            <w:pPr>
              <w:rPr>
                <w:sz w:val="20"/>
                <w:szCs w:val="20"/>
                <w:lang w:val="es-ES"/>
              </w:rPr>
            </w:pPr>
          </w:p>
        </w:tc>
      </w:tr>
      <w:tr w:rsidR="008F16FC" w:rsidRPr="008F16FC" w14:paraId="0155DCD6" w14:textId="77777777" w:rsidTr="008F16FC">
        <w:trPr>
          <w:gridAfter w:val="1"/>
          <w:wAfter w:w="1540" w:type="dxa"/>
          <w:trHeight w:val="255"/>
        </w:trPr>
        <w:tc>
          <w:tcPr>
            <w:tcW w:w="1200" w:type="dxa"/>
            <w:tcBorders>
              <w:top w:val="nil"/>
              <w:left w:val="nil"/>
              <w:bottom w:val="nil"/>
              <w:right w:val="nil"/>
            </w:tcBorders>
            <w:shd w:val="clear" w:color="000000" w:fill="FFFFFF"/>
            <w:noWrap/>
            <w:vAlign w:val="bottom"/>
            <w:hideMark/>
          </w:tcPr>
          <w:p w14:paraId="1CD47E83" w14:textId="77777777" w:rsidR="008F16FC" w:rsidRPr="008F16FC" w:rsidRDefault="008F16FC" w:rsidP="008F16FC">
            <w:pPr>
              <w:rPr>
                <w:b/>
                <w:bCs/>
                <w:sz w:val="20"/>
                <w:szCs w:val="20"/>
                <w:lang w:val="es-ES"/>
              </w:rPr>
            </w:pPr>
            <w:r w:rsidRPr="008F16FC">
              <w:rPr>
                <w:b/>
                <w:bCs/>
                <w:sz w:val="20"/>
                <w:szCs w:val="20"/>
                <w:lang w:val="es-ES"/>
              </w:rPr>
              <w:t> </w:t>
            </w:r>
          </w:p>
        </w:tc>
        <w:tc>
          <w:tcPr>
            <w:tcW w:w="5320" w:type="dxa"/>
            <w:tcBorders>
              <w:top w:val="nil"/>
              <w:left w:val="nil"/>
              <w:bottom w:val="nil"/>
              <w:right w:val="nil"/>
            </w:tcBorders>
            <w:shd w:val="clear" w:color="000000" w:fill="FFFFFF"/>
            <w:noWrap/>
            <w:vAlign w:val="bottom"/>
            <w:hideMark/>
          </w:tcPr>
          <w:p w14:paraId="1F06336B" w14:textId="77777777" w:rsidR="008F16FC" w:rsidRPr="008F16FC" w:rsidRDefault="008F16FC" w:rsidP="008F16FC">
            <w:pPr>
              <w:rPr>
                <w:sz w:val="20"/>
                <w:szCs w:val="20"/>
                <w:lang w:val="es-ES"/>
              </w:rPr>
            </w:pPr>
            <w:r w:rsidRPr="008F16FC">
              <w:rPr>
                <w:sz w:val="20"/>
                <w:szCs w:val="20"/>
                <w:lang w:val="es-ES"/>
              </w:rPr>
              <w:t>Préstamos bancarios y otros pasivos</w:t>
            </w:r>
          </w:p>
        </w:tc>
        <w:tc>
          <w:tcPr>
            <w:tcW w:w="1540" w:type="dxa"/>
            <w:tcBorders>
              <w:top w:val="nil"/>
              <w:left w:val="nil"/>
              <w:bottom w:val="nil"/>
              <w:right w:val="nil"/>
            </w:tcBorders>
            <w:shd w:val="clear" w:color="000000" w:fill="FFFFFF"/>
            <w:vAlign w:val="bottom"/>
          </w:tcPr>
          <w:p w14:paraId="4BEF62D1" w14:textId="77777777" w:rsidR="008F16FC" w:rsidRPr="008F16FC" w:rsidRDefault="008F16FC" w:rsidP="008F16FC">
            <w:pPr>
              <w:jc w:val="right"/>
              <w:rPr>
                <w:sz w:val="20"/>
                <w:szCs w:val="20"/>
                <w:lang w:val="es-MX"/>
              </w:rPr>
            </w:pPr>
            <w:r w:rsidRPr="008F16FC">
              <w:rPr>
                <w:sz w:val="20"/>
                <w:szCs w:val="20"/>
                <w:lang w:val="es-MX"/>
              </w:rPr>
              <w:t>(340.828)</w:t>
            </w:r>
          </w:p>
        </w:tc>
        <w:tc>
          <w:tcPr>
            <w:tcW w:w="1540" w:type="dxa"/>
            <w:tcBorders>
              <w:top w:val="nil"/>
              <w:left w:val="nil"/>
              <w:bottom w:val="nil"/>
              <w:right w:val="nil"/>
            </w:tcBorders>
            <w:shd w:val="clear" w:color="000000" w:fill="FFFFFF"/>
            <w:noWrap/>
            <w:vAlign w:val="bottom"/>
          </w:tcPr>
          <w:p w14:paraId="39AEC8B0" w14:textId="77777777" w:rsidR="008F16FC" w:rsidRPr="008F16FC" w:rsidRDefault="008F16FC" w:rsidP="008F16FC">
            <w:pPr>
              <w:jc w:val="right"/>
              <w:rPr>
                <w:sz w:val="20"/>
                <w:szCs w:val="20"/>
                <w:lang w:val="es-MX"/>
              </w:rPr>
            </w:pPr>
            <w:r w:rsidRPr="008F16FC">
              <w:rPr>
                <w:sz w:val="20"/>
                <w:szCs w:val="20"/>
              </w:rPr>
              <w:t>(928.297)</w:t>
            </w:r>
          </w:p>
        </w:tc>
      </w:tr>
      <w:tr w:rsidR="008F16FC" w:rsidRPr="008F16FC" w14:paraId="55E8F905" w14:textId="77777777" w:rsidTr="008F16FC">
        <w:trPr>
          <w:gridAfter w:val="1"/>
          <w:wAfter w:w="1540" w:type="dxa"/>
          <w:trHeight w:val="255"/>
        </w:trPr>
        <w:tc>
          <w:tcPr>
            <w:tcW w:w="6520" w:type="dxa"/>
            <w:gridSpan w:val="2"/>
            <w:tcBorders>
              <w:top w:val="nil"/>
              <w:left w:val="nil"/>
              <w:bottom w:val="nil"/>
              <w:right w:val="nil"/>
            </w:tcBorders>
            <w:shd w:val="clear" w:color="000000" w:fill="FFFFFF"/>
            <w:vAlign w:val="bottom"/>
            <w:hideMark/>
          </w:tcPr>
          <w:p w14:paraId="5605A980" w14:textId="77777777" w:rsidR="008F16FC" w:rsidRPr="008F16FC" w:rsidRDefault="008F16FC" w:rsidP="008F16FC">
            <w:pPr>
              <w:rPr>
                <w:b/>
                <w:bCs/>
                <w:i/>
                <w:iCs/>
                <w:sz w:val="20"/>
                <w:szCs w:val="20"/>
                <w:lang w:val="es-ES"/>
              </w:rPr>
            </w:pPr>
            <w:r w:rsidRPr="008F16FC">
              <w:rPr>
                <w:b/>
                <w:bCs/>
                <w:i/>
                <w:iCs/>
                <w:sz w:val="20"/>
                <w:szCs w:val="20"/>
                <w:lang w:val="es-ES"/>
              </w:rPr>
              <w:t>Flujo de efectivo procedente de las actividades de financiación</w:t>
            </w:r>
          </w:p>
        </w:tc>
        <w:tc>
          <w:tcPr>
            <w:tcW w:w="1540" w:type="dxa"/>
            <w:tcBorders>
              <w:top w:val="single" w:sz="4" w:space="0" w:color="auto"/>
              <w:left w:val="nil"/>
              <w:bottom w:val="single" w:sz="4" w:space="0" w:color="auto"/>
              <w:right w:val="nil"/>
            </w:tcBorders>
            <w:shd w:val="clear" w:color="000000" w:fill="FFFFFF"/>
            <w:noWrap/>
            <w:vAlign w:val="bottom"/>
          </w:tcPr>
          <w:p w14:paraId="32447057" w14:textId="77777777" w:rsidR="008F16FC" w:rsidRPr="008F16FC" w:rsidRDefault="008F16FC" w:rsidP="008F16FC">
            <w:pPr>
              <w:jc w:val="right"/>
              <w:rPr>
                <w:b/>
                <w:bCs/>
                <w:sz w:val="20"/>
                <w:szCs w:val="20"/>
                <w:lang w:val="es-MX"/>
              </w:rPr>
            </w:pPr>
            <w:r w:rsidRPr="008F16FC">
              <w:rPr>
                <w:b/>
                <w:bCs/>
                <w:sz w:val="20"/>
                <w:szCs w:val="20"/>
                <w:lang w:val="es-MX"/>
              </w:rPr>
              <w:t>(340.828)</w:t>
            </w:r>
          </w:p>
        </w:tc>
        <w:tc>
          <w:tcPr>
            <w:tcW w:w="1540" w:type="dxa"/>
            <w:tcBorders>
              <w:top w:val="single" w:sz="4" w:space="0" w:color="auto"/>
              <w:left w:val="nil"/>
              <w:bottom w:val="single" w:sz="4" w:space="0" w:color="auto"/>
              <w:right w:val="nil"/>
            </w:tcBorders>
            <w:shd w:val="clear" w:color="000000" w:fill="FFFFFF"/>
            <w:vAlign w:val="bottom"/>
          </w:tcPr>
          <w:p w14:paraId="06967A92" w14:textId="77777777" w:rsidR="008F16FC" w:rsidRPr="008F16FC" w:rsidRDefault="008F16FC" w:rsidP="008F16FC">
            <w:pPr>
              <w:jc w:val="right"/>
              <w:rPr>
                <w:b/>
                <w:bCs/>
                <w:sz w:val="20"/>
                <w:szCs w:val="20"/>
                <w:lang w:val="es-MX"/>
              </w:rPr>
            </w:pPr>
            <w:r w:rsidRPr="008F16FC">
              <w:rPr>
                <w:b/>
                <w:bCs/>
                <w:sz w:val="20"/>
                <w:szCs w:val="20"/>
              </w:rPr>
              <w:t>(928.297)</w:t>
            </w:r>
          </w:p>
        </w:tc>
      </w:tr>
      <w:tr w:rsidR="008F16FC" w:rsidRPr="008F16FC" w14:paraId="4FE7689B" w14:textId="77777777" w:rsidTr="008F16FC">
        <w:trPr>
          <w:gridAfter w:val="1"/>
          <w:wAfter w:w="1540" w:type="dxa"/>
          <w:trHeight w:val="255"/>
        </w:trPr>
        <w:tc>
          <w:tcPr>
            <w:tcW w:w="6520" w:type="dxa"/>
            <w:gridSpan w:val="2"/>
            <w:tcBorders>
              <w:top w:val="nil"/>
              <w:left w:val="nil"/>
              <w:bottom w:val="nil"/>
              <w:right w:val="nil"/>
            </w:tcBorders>
            <w:shd w:val="clear" w:color="000000" w:fill="FFFFFF"/>
            <w:vAlign w:val="bottom"/>
            <w:hideMark/>
          </w:tcPr>
          <w:p w14:paraId="65A627AE" w14:textId="77777777" w:rsidR="008F16FC" w:rsidRPr="008F16FC" w:rsidRDefault="008F16FC" w:rsidP="008F16FC">
            <w:pPr>
              <w:rPr>
                <w:b/>
                <w:bCs/>
                <w:sz w:val="20"/>
                <w:szCs w:val="20"/>
                <w:lang w:val="es-ES"/>
              </w:rPr>
            </w:pPr>
            <w:r w:rsidRPr="008F16FC">
              <w:rPr>
                <w:b/>
                <w:bCs/>
                <w:sz w:val="20"/>
                <w:szCs w:val="20"/>
                <w:lang w:val="es-ES"/>
              </w:rPr>
              <w:t>Flujo neto del efectivo del ejercicio</w:t>
            </w:r>
          </w:p>
        </w:tc>
        <w:tc>
          <w:tcPr>
            <w:tcW w:w="1540" w:type="dxa"/>
            <w:tcBorders>
              <w:top w:val="nil"/>
              <w:left w:val="nil"/>
              <w:bottom w:val="nil"/>
              <w:right w:val="nil"/>
            </w:tcBorders>
            <w:shd w:val="clear" w:color="000000" w:fill="FFFFFF"/>
            <w:noWrap/>
            <w:vAlign w:val="bottom"/>
          </w:tcPr>
          <w:p w14:paraId="324D2982" w14:textId="77777777" w:rsidR="008F16FC" w:rsidRPr="008F16FC" w:rsidRDefault="008F16FC" w:rsidP="008F16FC">
            <w:pPr>
              <w:jc w:val="right"/>
              <w:rPr>
                <w:b/>
                <w:bCs/>
                <w:sz w:val="20"/>
                <w:szCs w:val="20"/>
                <w:lang w:val="es-MX"/>
              </w:rPr>
            </w:pPr>
            <w:r w:rsidRPr="008F16FC">
              <w:rPr>
                <w:b/>
                <w:bCs/>
                <w:sz w:val="20"/>
                <w:szCs w:val="20"/>
                <w:lang w:val="es-MX"/>
              </w:rPr>
              <w:t>(3.194)</w:t>
            </w:r>
          </w:p>
        </w:tc>
        <w:tc>
          <w:tcPr>
            <w:tcW w:w="1540" w:type="dxa"/>
            <w:tcBorders>
              <w:top w:val="nil"/>
              <w:left w:val="nil"/>
              <w:bottom w:val="nil"/>
              <w:right w:val="nil"/>
            </w:tcBorders>
            <w:shd w:val="clear" w:color="000000" w:fill="FFFFFF"/>
            <w:vAlign w:val="bottom"/>
          </w:tcPr>
          <w:p w14:paraId="553E3E43" w14:textId="77777777" w:rsidR="008F16FC" w:rsidRPr="008F16FC" w:rsidRDefault="008F16FC" w:rsidP="008F16FC">
            <w:pPr>
              <w:jc w:val="right"/>
              <w:rPr>
                <w:b/>
                <w:bCs/>
                <w:sz w:val="20"/>
                <w:szCs w:val="20"/>
                <w:lang w:val="es-MX"/>
              </w:rPr>
            </w:pPr>
            <w:r w:rsidRPr="008F16FC">
              <w:rPr>
                <w:b/>
                <w:bCs/>
                <w:sz w:val="20"/>
                <w:szCs w:val="20"/>
              </w:rPr>
              <w:t>144.141</w:t>
            </w:r>
          </w:p>
        </w:tc>
      </w:tr>
      <w:tr w:rsidR="008F16FC" w:rsidRPr="008F16FC" w14:paraId="31766C6D" w14:textId="77777777" w:rsidTr="008F16FC">
        <w:trPr>
          <w:gridAfter w:val="1"/>
          <w:wAfter w:w="1540" w:type="dxa"/>
          <w:trHeight w:val="255"/>
        </w:trPr>
        <w:tc>
          <w:tcPr>
            <w:tcW w:w="1200" w:type="dxa"/>
            <w:tcBorders>
              <w:top w:val="nil"/>
              <w:left w:val="nil"/>
              <w:bottom w:val="nil"/>
              <w:right w:val="nil"/>
            </w:tcBorders>
            <w:shd w:val="clear" w:color="000000" w:fill="FFFFFF"/>
            <w:vAlign w:val="bottom"/>
            <w:hideMark/>
          </w:tcPr>
          <w:p w14:paraId="7BA4DB18" w14:textId="77777777" w:rsidR="008F16FC" w:rsidRPr="008F16FC" w:rsidRDefault="008F16FC" w:rsidP="008F16FC">
            <w:pPr>
              <w:rPr>
                <w:sz w:val="20"/>
                <w:szCs w:val="20"/>
                <w:lang w:val="es-MX"/>
              </w:rPr>
            </w:pPr>
            <w:r w:rsidRPr="008F16FC">
              <w:rPr>
                <w:sz w:val="20"/>
                <w:szCs w:val="20"/>
                <w:lang w:val="es-MX"/>
              </w:rPr>
              <w:t> </w:t>
            </w:r>
          </w:p>
        </w:tc>
        <w:tc>
          <w:tcPr>
            <w:tcW w:w="5320" w:type="dxa"/>
            <w:tcBorders>
              <w:top w:val="nil"/>
              <w:left w:val="nil"/>
              <w:bottom w:val="nil"/>
              <w:right w:val="nil"/>
            </w:tcBorders>
            <w:shd w:val="clear" w:color="000000" w:fill="FFFFFF"/>
            <w:vAlign w:val="bottom"/>
            <w:hideMark/>
          </w:tcPr>
          <w:p w14:paraId="7E763149" w14:textId="77777777" w:rsidR="008F16FC" w:rsidRPr="008F16FC" w:rsidRDefault="008F16FC" w:rsidP="008F16FC">
            <w:pPr>
              <w:rPr>
                <w:sz w:val="20"/>
                <w:szCs w:val="20"/>
                <w:lang w:val="es-ES"/>
              </w:rPr>
            </w:pPr>
            <w:r w:rsidRPr="008F16FC">
              <w:rPr>
                <w:sz w:val="20"/>
                <w:szCs w:val="20"/>
                <w:lang w:val="es-ES"/>
              </w:rPr>
              <w:t>Efectivo al inicio del ejercicio</w:t>
            </w:r>
          </w:p>
        </w:tc>
        <w:tc>
          <w:tcPr>
            <w:tcW w:w="1540" w:type="dxa"/>
            <w:tcBorders>
              <w:top w:val="nil"/>
              <w:left w:val="nil"/>
              <w:bottom w:val="nil"/>
              <w:right w:val="nil"/>
            </w:tcBorders>
            <w:shd w:val="clear" w:color="000000" w:fill="FFFFFF"/>
            <w:vAlign w:val="bottom"/>
          </w:tcPr>
          <w:p w14:paraId="174DAA3E" w14:textId="77777777" w:rsidR="008F16FC" w:rsidRPr="008F16FC" w:rsidRDefault="008F16FC" w:rsidP="008F16FC">
            <w:pPr>
              <w:jc w:val="right"/>
              <w:rPr>
                <w:sz w:val="20"/>
                <w:szCs w:val="20"/>
                <w:lang w:val="es-MX"/>
              </w:rPr>
            </w:pPr>
            <w:r w:rsidRPr="008F16FC">
              <w:rPr>
                <w:sz w:val="20"/>
                <w:szCs w:val="20"/>
                <w:lang w:val="es-MX"/>
              </w:rPr>
              <w:t>1.542.882</w:t>
            </w:r>
          </w:p>
        </w:tc>
        <w:tc>
          <w:tcPr>
            <w:tcW w:w="1540" w:type="dxa"/>
            <w:tcBorders>
              <w:top w:val="nil"/>
              <w:left w:val="nil"/>
              <w:bottom w:val="nil"/>
              <w:right w:val="nil"/>
            </w:tcBorders>
            <w:shd w:val="clear" w:color="000000" w:fill="FFFFFF"/>
            <w:noWrap/>
            <w:vAlign w:val="bottom"/>
          </w:tcPr>
          <w:p w14:paraId="1988D595" w14:textId="77777777" w:rsidR="008F16FC" w:rsidRPr="008F16FC" w:rsidRDefault="008F16FC" w:rsidP="008F16FC">
            <w:pPr>
              <w:jc w:val="right"/>
              <w:rPr>
                <w:sz w:val="20"/>
                <w:szCs w:val="20"/>
                <w:lang w:val="es-MX"/>
              </w:rPr>
            </w:pPr>
            <w:r w:rsidRPr="008F16FC">
              <w:rPr>
                <w:sz w:val="20"/>
                <w:szCs w:val="20"/>
              </w:rPr>
              <w:t>1.398.741</w:t>
            </w:r>
          </w:p>
        </w:tc>
      </w:tr>
      <w:tr w:rsidR="008F16FC" w:rsidRPr="008F16FC" w14:paraId="6100FA0F" w14:textId="77777777" w:rsidTr="008F16FC">
        <w:trPr>
          <w:gridAfter w:val="1"/>
          <w:wAfter w:w="1540" w:type="dxa"/>
          <w:trHeight w:val="270"/>
        </w:trPr>
        <w:tc>
          <w:tcPr>
            <w:tcW w:w="6520" w:type="dxa"/>
            <w:gridSpan w:val="2"/>
            <w:tcBorders>
              <w:top w:val="nil"/>
              <w:left w:val="nil"/>
              <w:bottom w:val="nil"/>
              <w:right w:val="nil"/>
            </w:tcBorders>
            <w:shd w:val="clear" w:color="000000" w:fill="FFFFFF"/>
            <w:noWrap/>
            <w:vAlign w:val="bottom"/>
            <w:hideMark/>
          </w:tcPr>
          <w:p w14:paraId="272A6D63" w14:textId="77777777" w:rsidR="008F16FC" w:rsidRPr="008F16FC" w:rsidRDefault="008F16FC" w:rsidP="008F16FC">
            <w:pPr>
              <w:rPr>
                <w:b/>
                <w:bCs/>
                <w:i/>
                <w:iCs/>
                <w:sz w:val="20"/>
                <w:szCs w:val="20"/>
                <w:lang w:val="es-ES"/>
              </w:rPr>
            </w:pPr>
            <w:r w:rsidRPr="008F16FC">
              <w:rPr>
                <w:b/>
                <w:bCs/>
                <w:i/>
                <w:iCs/>
                <w:sz w:val="20"/>
                <w:szCs w:val="20"/>
                <w:lang w:val="es-ES"/>
              </w:rPr>
              <w:t>Efectivo al final del ejercicio</w:t>
            </w:r>
          </w:p>
        </w:tc>
        <w:tc>
          <w:tcPr>
            <w:tcW w:w="1540" w:type="dxa"/>
            <w:tcBorders>
              <w:top w:val="single" w:sz="4" w:space="0" w:color="auto"/>
              <w:left w:val="nil"/>
              <w:bottom w:val="double" w:sz="6" w:space="0" w:color="auto"/>
              <w:right w:val="nil"/>
            </w:tcBorders>
            <w:shd w:val="clear" w:color="000000" w:fill="FFFFFF"/>
            <w:noWrap/>
            <w:vAlign w:val="bottom"/>
          </w:tcPr>
          <w:p w14:paraId="21B33600" w14:textId="77777777" w:rsidR="008F16FC" w:rsidRPr="008F16FC" w:rsidRDefault="008F16FC" w:rsidP="008F16FC">
            <w:pPr>
              <w:jc w:val="right"/>
              <w:rPr>
                <w:b/>
                <w:bCs/>
                <w:sz w:val="20"/>
                <w:szCs w:val="20"/>
                <w:lang w:val="es-MX"/>
              </w:rPr>
            </w:pPr>
            <w:r w:rsidRPr="008F16FC">
              <w:rPr>
                <w:b/>
                <w:bCs/>
                <w:sz w:val="20"/>
                <w:szCs w:val="20"/>
                <w:lang w:val="es-MX"/>
              </w:rPr>
              <w:t>1.539.688</w:t>
            </w:r>
          </w:p>
        </w:tc>
        <w:tc>
          <w:tcPr>
            <w:tcW w:w="1540" w:type="dxa"/>
            <w:tcBorders>
              <w:top w:val="single" w:sz="4" w:space="0" w:color="auto"/>
              <w:left w:val="nil"/>
              <w:bottom w:val="double" w:sz="6" w:space="0" w:color="auto"/>
              <w:right w:val="nil"/>
            </w:tcBorders>
            <w:shd w:val="clear" w:color="000000" w:fill="FFFFFF"/>
            <w:vAlign w:val="bottom"/>
          </w:tcPr>
          <w:p w14:paraId="732B58F7" w14:textId="77777777" w:rsidR="008F16FC" w:rsidRPr="008F16FC" w:rsidRDefault="008F16FC" w:rsidP="008F16FC">
            <w:pPr>
              <w:jc w:val="right"/>
              <w:rPr>
                <w:b/>
                <w:bCs/>
                <w:sz w:val="20"/>
                <w:szCs w:val="20"/>
                <w:lang w:val="es-MX"/>
              </w:rPr>
            </w:pPr>
            <w:r w:rsidRPr="008F16FC">
              <w:rPr>
                <w:b/>
                <w:bCs/>
                <w:sz w:val="20"/>
                <w:szCs w:val="20"/>
              </w:rPr>
              <w:t>1.542.882</w:t>
            </w:r>
          </w:p>
        </w:tc>
      </w:tr>
    </w:tbl>
    <w:p w14:paraId="7D85F4E0" w14:textId="77777777" w:rsidR="008F16FC" w:rsidRPr="008F16FC" w:rsidRDefault="008F16FC" w:rsidP="008F16FC">
      <w:pPr>
        <w:rPr>
          <w:rFonts w:eastAsia="Calibri"/>
          <w:sz w:val="20"/>
          <w:szCs w:val="20"/>
          <w:lang w:val="es-MX"/>
        </w:rPr>
      </w:pPr>
    </w:p>
    <w:p w14:paraId="641ADE21" w14:textId="77777777" w:rsidR="008F16FC" w:rsidRPr="008F16FC" w:rsidRDefault="008F16FC" w:rsidP="008F16FC">
      <w:pPr>
        <w:widowControl w:val="0"/>
        <w:jc w:val="both"/>
        <w:outlineLvl w:val="1"/>
        <w:rPr>
          <w:rFonts w:eastAsia="Calibri"/>
          <w:b/>
          <w:bCs/>
          <w:sz w:val="20"/>
          <w:szCs w:val="20"/>
          <w:lang w:val="es-MX"/>
        </w:rPr>
      </w:pPr>
      <w:r w:rsidRPr="008F16FC">
        <w:rPr>
          <w:rFonts w:eastAsia="Calibri"/>
          <w:b/>
          <w:bCs/>
          <w:sz w:val="20"/>
          <w:szCs w:val="20"/>
          <w:lang w:val="es-MX"/>
        </w:rPr>
        <w:t>b) Indicadores Financieros</w:t>
      </w:r>
    </w:p>
    <w:p w14:paraId="278CAF20" w14:textId="77777777" w:rsidR="008F16FC" w:rsidRPr="008F16FC" w:rsidRDefault="008F16FC" w:rsidP="008F16FC">
      <w:pPr>
        <w:jc w:val="both"/>
        <w:rPr>
          <w:rFonts w:eastAsia="Calibri"/>
          <w:b/>
          <w:sz w:val="20"/>
          <w:szCs w:val="20"/>
          <w:lang w:val="es-MX"/>
        </w:rPr>
      </w:pPr>
      <w:r w:rsidRPr="008F16FC">
        <w:rPr>
          <w:rFonts w:eastAsia="Calibri"/>
          <w:color w:val="000000"/>
          <w:sz w:val="20"/>
          <w:szCs w:val="20"/>
          <w:lang w:val="es-MX"/>
        </w:rPr>
        <w:t>El cuadro expuesto a continuación presenta los principales indicadores de INVAP para los ejercicios económicos anuales finalizados el 30 de junio de 2019 y 2018:</w:t>
      </w:r>
    </w:p>
    <w:p w14:paraId="5B273504" w14:textId="77777777" w:rsidR="008F16FC" w:rsidRPr="008F16FC" w:rsidRDefault="008F16FC" w:rsidP="008F16FC">
      <w:pPr>
        <w:autoSpaceDE w:val="0"/>
        <w:autoSpaceDN w:val="0"/>
        <w:adjustRightInd w:val="0"/>
        <w:jc w:val="both"/>
        <w:rPr>
          <w:rFonts w:eastAsia="Calibri"/>
          <w:sz w:val="20"/>
          <w:szCs w:val="20"/>
          <w:lang w:val="es-MX"/>
        </w:rPr>
      </w:pPr>
    </w:p>
    <w:tbl>
      <w:tblPr>
        <w:tblW w:w="0" w:type="auto"/>
        <w:jc w:val="center"/>
        <w:tblCellMar>
          <w:left w:w="70" w:type="dxa"/>
          <w:right w:w="70" w:type="dxa"/>
        </w:tblCellMar>
        <w:tblLook w:val="04A0" w:firstRow="1" w:lastRow="0" w:firstColumn="1" w:lastColumn="0" w:noHBand="0" w:noVBand="1"/>
      </w:tblPr>
      <w:tblGrid>
        <w:gridCol w:w="2947"/>
        <w:gridCol w:w="360"/>
        <w:gridCol w:w="1670"/>
        <w:gridCol w:w="1670"/>
      </w:tblGrid>
      <w:tr w:rsidR="00AE6F90" w:rsidRPr="008F16FC" w14:paraId="23AA5938" w14:textId="77777777" w:rsidTr="008F16FC">
        <w:trPr>
          <w:trHeight w:val="300"/>
          <w:jc w:val="center"/>
        </w:trPr>
        <w:tc>
          <w:tcPr>
            <w:tcW w:w="2947" w:type="dxa"/>
            <w:tcBorders>
              <w:top w:val="nil"/>
              <w:left w:val="nil"/>
              <w:bottom w:val="nil"/>
              <w:right w:val="nil"/>
            </w:tcBorders>
            <w:shd w:val="clear" w:color="auto" w:fill="auto"/>
            <w:noWrap/>
            <w:vAlign w:val="bottom"/>
            <w:hideMark/>
          </w:tcPr>
          <w:p w14:paraId="0A29C4DB"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 </w:t>
            </w:r>
          </w:p>
        </w:tc>
        <w:tc>
          <w:tcPr>
            <w:tcW w:w="0" w:type="auto"/>
            <w:tcBorders>
              <w:top w:val="nil"/>
              <w:left w:val="nil"/>
              <w:bottom w:val="nil"/>
              <w:right w:val="single" w:sz="4" w:space="0" w:color="auto"/>
            </w:tcBorders>
            <w:shd w:val="clear" w:color="auto" w:fill="auto"/>
            <w:vAlign w:val="center"/>
          </w:tcPr>
          <w:p w14:paraId="7F71B655"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center"/>
            <w:hideMark/>
          </w:tcPr>
          <w:p w14:paraId="486CE499" w14:textId="77777777" w:rsidR="008F16FC" w:rsidRPr="008F16FC" w:rsidRDefault="008F16FC" w:rsidP="008F16FC">
            <w:pPr>
              <w:jc w:val="right"/>
              <w:rPr>
                <w:rFonts w:eastAsia="Calibri"/>
                <w:b/>
                <w:bCs/>
                <w:sz w:val="20"/>
                <w:szCs w:val="20"/>
                <w:lang w:val="es-MX"/>
              </w:rPr>
            </w:pPr>
            <w:r w:rsidRPr="008F16FC">
              <w:rPr>
                <w:rFonts w:eastAsia="Calibri"/>
                <w:b/>
                <w:bCs/>
                <w:sz w:val="20"/>
                <w:szCs w:val="20"/>
                <w:lang w:val="es-MX"/>
              </w:rPr>
              <w:t>30 jun 19</w:t>
            </w:r>
          </w:p>
        </w:tc>
        <w:tc>
          <w:tcPr>
            <w:tcW w:w="0" w:type="auto"/>
            <w:tcBorders>
              <w:top w:val="nil"/>
              <w:left w:val="nil"/>
              <w:bottom w:val="nil"/>
              <w:right w:val="nil"/>
            </w:tcBorders>
            <w:shd w:val="clear" w:color="auto" w:fill="auto"/>
            <w:noWrap/>
            <w:vAlign w:val="center"/>
            <w:hideMark/>
          </w:tcPr>
          <w:p w14:paraId="148A9607" w14:textId="77777777" w:rsidR="008F16FC" w:rsidRPr="008F16FC" w:rsidRDefault="008F16FC" w:rsidP="008F16FC">
            <w:pPr>
              <w:jc w:val="right"/>
              <w:rPr>
                <w:rFonts w:eastAsia="Calibri"/>
                <w:b/>
                <w:bCs/>
                <w:sz w:val="20"/>
                <w:szCs w:val="20"/>
                <w:lang w:val="es-MX"/>
              </w:rPr>
            </w:pPr>
            <w:r w:rsidRPr="008F16FC">
              <w:rPr>
                <w:rFonts w:eastAsia="Calibri"/>
                <w:b/>
                <w:bCs/>
                <w:sz w:val="20"/>
                <w:szCs w:val="20"/>
                <w:lang w:val="es-MX"/>
              </w:rPr>
              <w:t>30 jun 18</w:t>
            </w:r>
          </w:p>
        </w:tc>
      </w:tr>
      <w:tr w:rsidR="00AE6F90" w:rsidRPr="008F16FC" w14:paraId="7CE9EAAB"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592D888B" w14:textId="77777777" w:rsidR="008F16FC" w:rsidRPr="008F16FC" w:rsidRDefault="008F16FC" w:rsidP="008F16FC">
            <w:pPr>
              <w:rPr>
                <w:rFonts w:eastAsia="Calibri"/>
                <w:sz w:val="20"/>
                <w:szCs w:val="20"/>
                <w:lang w:val="es-MX"/>
              </w:rPr>
            </w:pPr>
            <w:r w:rsidRPr="008F16FC">
              <w:rPr>
                <w:rFonts w:eastAsia="Calibri"/>
                <w:sz w:val="20"/>
                <w:szCs w:val="20"/>
                <w:lang w:val="es-MX"/>
              </w:rPr>
              <w:t>Total de Activos Corrientes</w:t>
            </w:r>
          </w:p>
        </w:tc>
        <w:tc>
          <w:tcPr>
            <w:tcW w:w="0" w:type="auto"/>
            <w:tcBorders>
              <w:top w:val="nil"/>
              <w:left w:val="nil"/>
              <w:bottom w:val="nil"/>
              <w:right w:val="single" w:sz="4" w:space="0" w:color="auto"/>
            </w:tcBorders>
            <w:shd w:val="clear" w:color="auto" w:fill="auto"/>
            <w:vAlign w:val="center"/>
          </w:tcPr>
          <w:p w14:paraId="42DC161C"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nil"/>
              <w:right w:val="nil"/>
            </w:tcBorders>
            <w:shd w:val="clear" w:color="auto" w:fill="auto"/>
          </w:tcPr>
          <w:p w14:paraId="1049134E" w14:textId="77777777" w:rsidR="008F16FC" w:rsidRPr="008F16FC" w:rsidRDefault="008F16FC" w:rsidP="008F16FC">
            <w:pPr>
              <w:jc w:val="right"/>
              <w:rPr>
                <w:rFonts w:eastAsia="Calibri"/>
                <w:sz w:val="20"/>
                <w:szCs w:val="20"/>
                <w:lang w:val="es-MX"/>
              </w:rPr>
            </w:pPr>
            <w:r w:rsidRPr="008F16FC">
              <w:rPr>
                <w:color w:val="000000"/>
                <w:sz w:val="20"/>
              </w:rPr>
              <w:t>7.321.769</w:t>
            </w:r>
          </w:p>
        </w:tc>
        <w:tc>
          <w:tcPr>
            <w:tcW w:w="0" w:type="auto"/>
            <w:tcBorders>
              <w:top w:val="nil"/>
              <w:left w:val="nil"/>
              <w:bottom w:val="nil"/>
              <w:right w:val="nil"/>
            </w:tcBorders>
            <w:shd w:val="clear" w:color="auto" w:fill="auto"/>
            <w:noWrap/>
          </w:tcPr>
          <w:p w14:paraId="5E7656B9" w14:textId="77777777" w:rsidR="008F16FC" w:rsidRPr="008F16FC" w:rsidRDefault="008F16FC" w:rsidP="008F16FC">
            <w:pPr>
              <w:jc w:val="right"/>
              <w:rPr>
                <w:rFonts w:eastAsia="Calibri"/>
                <w:sz w:val="20"/>
                <w:szCs w:val="20"/>
                <w:lang w:val="es-MX"/>
              </w:rPr>
            </w:pPr>
            <w:r w:rsidRPr="008F16FC">
              <w:rPr>
                <w:color w:val="000000"/>
                <w:sz w:val="20"/>
              </w:rPr>
              <w:t>9.008.961</w:t>
            </w:r>
          </w:p>
        </w:tc>
      </w:tr>
      <w:tr w:rsidR="00AE6F90" w:rsidRPr="008F16FC" w14:paraId="121CAF1F"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34DC9ECE" w14:textId="77777777" w:rsidR="008F16FC" w:rsidRPr="008F16FC" w:rsidRDefault="008F16FC" w:rsidP="008F16FC">
            <w:pPr>
              <w:rPr>
                <w:rFonts w:eastAsia="Calibri"/>
                <w:sz w:val="20"/>
                <w:szCs w:val="20"/>
                <w:lang w:val="es-MX"/>
              </w:rPr>
            </w:pPr>
            <w:r w:rsidRPr="008F16FC">
              <w:rPr>
                <w:rFonts w:eastAsia="Calibri"/>
                <w:sz w:val="20"/>
                <w:szCs w:val="20"/>
                <w:lang w:val="es-MX"/>
              </w:rPr>
              <w:t>Total de Pasivos Corrientes</w:t>
            </w:r>
          </w:p>
        </w:tc>
        <w:tc>
          <w:tcPr>
            <w:tcW w:w="0" w:type="auto"/>
            <w:tcBorders>
              <w:top w:val="nil"/>
              <w:left w:val="nil"/>
              <w:bottom w:val="single" w:sz="4" w:space="0" w:color="auto"/>
              <w:right w:val="single" w:sz="4" w:space="0" w:color="auto"/>
            </w:tcBorders>
            <w:shd w:val="clear" w:color="auto" w:fill="auto"/>
            <w:vAlign w:val="center"/>
          </w:tcPr>
          <w:p w14:paraId="0EC501E8"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single" w:sz="4" w:space="0" w:color="auto"/>
              <w:right w:val="nil"/>
            </w:tcBorders>
            <w:shd w:val="clear" w:color="auto" w:fill="auto"/>
          </w:tcPr>
          <w:p w14:paraId="36E6D62E" w14:textId="77777777" w:rsidR="008F16FC" w:rsidRPr="008F16FC" w:rsidRDefault="008F16FC" w:rsidP="008F16FC">
            <w:pPr>
              <w:jc w:val="right"/>
              <w:rPr>
                <w:rFonts w:eastAsia="Calibri"/>
                <w:sz w:val="20"/>
                <w:szCs w:val="20"/>
                <w:lang w:val="es-MX"/>
              </w:rPr>
            </w:pPr>
            <w:r w:rsidRPr="008F16FC">
              <w:rPr>
                <w:color w:val="000000"/>
                <w:sz w:val="20"/>
              </w:rPr>
              <w:t>6.905.178</w:t>
            </w:r>
          </w:p>
        </w:tc>
        <w:tc>
          <w:tcPr>
            <w:tcW w:w="0" w:type="auto"/>
            <w:tcBorders>
              <w:top w:val="nil"/>
              <w:left w:val="nil"/>
              <w:bottom w:val="single" w:sz="4" w:space="0" w:color="auto"/>
              <w:right w:val="nil"/>
            </w:tcBorders>
            <w:shd w:val="clear" w:color="auto" w:fill="auto"/>
            <w:noWrap/>
          </w:tcPr>
          <w:p w14:paraId="50B385B1" w14:textId="77777777" w:rsidR="008F16FC" w:rsidRPr="008F16FC" w:rsidRDefault="008F16FC" w:rsidP="008F16FC">
            <w:pPr>
              <w:jc w:val="right"/>
              <w:rPr>
                <w:rFonts w:eastAsia="Calibri"/>
                <w:sz w:val="20"/>
                <w:szCs w:val="20"/>
                <w:lang w:val="es-MX"/>
              </w:rPr>
            </w:pPr>
            <w:r w:rsidRPr="008F16FC">
              <w:rPr>
                <w:color w:val="000000"/>
                <w:sz w:val="20"/>
              </w:rPr>
              <w:t>9.002.387</w:t>
            </w:r>
          </w:p>
        </w:tc>
      </w:tr>
      <w:tr w:rsidR="00AE6F90" w:rsidRPr="008F16FC" w14:paraId="78410895"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7176E73D"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Liquidez</w:t>
            </w:r>
          </w:p>
        </w:tc>
        <w:tc>
          <w:tcPr>
            <w:tcW w:w="0" w:type="auto"/>
            <w:tcBorders>
              <w:top w:val="nil"/>
              <w:left w:val="nil"/>
              <w:bottom w:val="nil"/>
              <w:right w:val="single" w:sz="4" w:space="0" w:color="auto"/>
            </w:tcBorders>
            <w:shd w:val="clear" w:color="auto" w:fill="auto"/>
            <w:vAlign w:val="center"/>
          </w:tcPr>
          <w:p w14:paraId="79920B17"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bottom"/>
          </w:tcPr>
          <w:p w14:paraId="72C05BFA"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106%</w:t>
            </w:r>
          </w:p>
        </w:tc>
        <w:tc>
          <w:tcPr>
            <w:tcW w:w="0" w:type="auto"/>
            <w:tcBorders>
              <w:top w:val="nil"/>
              <w:left w:val="nil"/>
              <w:bottom w:val="nil"/>
              <w:right w:val="nil"/>
            </w:tcBorders>
            <w:shd w:val="clear" w:color="auto" w:fill="auto"/>
            <w:noWrap/>
            <w:vAlign w:val="bottom"/>
          </w:tcPr>
          <w:p w14:paraId="589571F1"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100%</w:t>
            </w:r>
          </w:p>
        </w:tc>
      </w:tr>
      <w:tr w:rsidR="00AE6F90" w:rsidRPr="008F16FC" w14:paraId="1BFC22A5" w14:textId="77777777" w:rsidTr="008F16FC">
        <w:trPr>
          <w:trHeight w:val="74"/>
          <w:jc w:val="center"/>
        </w:trPr>
        <w:tc>
          <w:tcPr>
            <w:tcW w:w="2947" w:type="dxa"/>
            <w:tcBorders>
              <w:top w:val="nil"/>
              <w:left w:val="nil"/>
              <w:bottom w:val="nil"/>
              <w:right w:val="nil"/>
            </w:tcBorders>
            <w:shd w:val="clear" w:color="auto" w:fill="auto"/>
            <w:noWrap/>
            <w:vAlign w:val="center"/>
            <w:hideMark/>
          </w:tcPr>
          <w:p w14:paraId="71F33AC1" w14:textId="77777777" w:rsidR="008F16FC" w:rsidRPr="008F16FC" w:rsidRDefault="008F16FC" w:rsidP="008F16FC">
            <w:pPr>
              <w:rPr>
                <w:rFonts w:eastAsia="Calibri"/>
                <w:b/>
                <w:bCs/>
                <w:sz w:val="20"/>
                <w:szCs w:val="20"/>
                <w:lang w:val="es-MX"/>
              </w:rPr>
            </w:pPr>
          </w:p>
        </w:tc>
        <w:tc>
          <w:tcPr>
            <w:tcW w:w="0" w:type="auto"/>
            <w:tcBorders>
              <w:top w:val="nil"/>
              <w:left w:val="nil"/>
              <w:bottom w:val="nil"/>
              <w:right w:val="single" w:sz="4" w:space="0" w:color="auto"/>
            </w:tcBorders>
            <w:shd w:val="clear" w:color="auto" w:fill="auto"/>
            <w:vAlign w:val="center"/>
          </w:tcPr>
          <w:p w14:paraId="1B21FD6B"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center"/>
          </w:tcPr>
          <w:p w14:paraId="0203BCBB" w14:textId="77777777" w:rsidR="008F16FC" w:rsidRPr="008F16FC" w:rsidRDefault="008F16FC" w:rsidP="008F16FC">
            <w:pPr>
              <w:jc w:val="right"/>
              <w:rPr>
                <w:rFonts w:eastAsia="Calibri"/>
                <w:b/>
                <w:sz w:val="20"/>
                <w:szCs w:val="20"/>
                <w:lang w:val="es-MX"/>
              </w:rPr>
            </w:pPr>
          </w:p>
        </w:tc>
        <w:tc>
          <w:tcPr>
            <w:tcW w:w="0" w:type="auto"/>
            <w:tcBorders>
              <w:top w:val="nil"/>
              <w:left w:val="nil"/>
              <w:bottom w:val="nil"/>
              <w:right w:val="nil"/>
            </w:tcBorders>
            <w:shd w:val="clear" w:color="auto" w:fill="auto"/>
            <w:noWrap/>
            <w:vAlign w:val="center"/>
          </w:tcPr>
          <w:p w14:paraId="646BF0A7" w14:textId="77777777" w:rsidR="008F16FC" w:rsidRPr="008F16FC" w:rsidRDefault="008F16FC" w:rsidP="008F16FC">
            <w:pPr>
              <w:jc w:val="right"/>
              <w:rPr>
                <w:rFonts w:eastAsia="Calibri"/>
                <w:b/>
                <w:sz w:val="20"/>
                <w:szCs w:val="20"/>
                <w:lang w:val="es-MX"/>
              </w:rPr>
            </w:pPr>
          </w:p>
        </w:tc>
      </w:tr>
      <w:tr w:rsidR="00AE6F90" w:rsidRPr="008F16FC" w14:paraId="7FC03AFE"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32C9D49B" w14:textId="77777777" w:rsidR="008F16FC" w:rsidRPr="008F16FC" w:rsidRDefault="008F16FC" w:rsidP="008F16FC">
            <w:pPr>
              <w:rPr>
                <w:rFonts w:eastAsia="Calibri"/>
                <w:sz w:val="20"/>
                <w:szCs w:val="20"/>
                <w:lang w:val="es-MX"/>
              </w:rPr>
            </w:pPr>
            <w:r w:rsidRPr="008F16FC">
              <w:rPr>
                <w:rFonts w:eastAsia="Calibri"/>
                <w:sz w:val="20"/>
                <w:szCs w:val="20"/>
                <w:lang w:val="es-MX"/>
              </w:rPr>
              <w:t>Total de Patrimonio Neto</w:t>
            </w:r>
          </w:p>
        </w:tc>
        <w:tc>
          <w:tcPr>
            <w:tcW w:w="0" w:type="auto"/>
            <w:tcBorders>
              <w:top w:val="nil"/>
              <w:left w:val="nil"/>
              <w:bottom w:val="nil"/>
              <w:right w:val="single" w:sz="4" w:space="0" w:color="auto"/>
            </w:tcBorders>
            <w:shd w:val="clear" w:color="auto" w:fill="auto"/>
            <w:vAlign w:val="center"/>
          </w:tcPr>
          <w:p w14:paraId="03EE0EC9" w14:textId="77777777" w:rsidR="008F16FC" w:rsidRPr="008F16FC" w:rsidDel="007644DD" w:rsidRDefault="008F16FC" w:rsidP="008F16FC">
            <w:pPr>
              <w:jc w:val="right"/>
              <w:rPr>
                <w:rFonts w:eastAsia="Calibri"/>
                <w:sz w:val="20"/>
                <w:szCs w:val="20"/>
                <w:lang w:val="es-MX"/>
              </w:rPr>
            </w:pPr>
          </w:p>
        </w:tc>
        <w:tc>
          <w:tcPr>
            <w:tcW w:w="0" w:type="auto"/>
            <w:tcBorders>
              <w:top w:val="nil"/>
              <w:left w:val="single" w:sz="4" w:space="0" w:color="auto"/>
              <w:bottom w:val="nil"/>
              <w:right w:val="nil"/>
            </w:tcBorders>
            <w:shd w:val="clear" w:color="auto" w:fill="auto"/>
          </w:tcPr>
          <w:p w14:paraId="5EB9EBA4" w14:textId="77777777" w:rsidR="008F16FC" w:rsidRPr="008F16FC" w:rsidRDefault="008F16FC" w:rsidP="008F16FC">
            <w:pPr>
              <w:jc w:val="right"/>
              <w:rPr>
                <w:rFonts w:eastAsia="Calibri"/>
                <w:sz w:val="20"/>
                <w:szCs w:val="20"/>
                <w:lang w:val="es-MX"/>
              </w:rPr>
            </w:pPr>
            <w:r w:rsidRPr="00BA304B">
              <w:rPr>
                <w:color w:val="000000"/>
                <w:sz w:val="20"/>
              </w:rPr>
              <w:t>2.514.905</w:t>
            </w:r>
          </w:p>
        </w:tc>
        <w:tc>
          <w:tcPr>
            <w:tcW w:w="0" w:type="auto"/>
            <w:tcBorders>
              <w:top w:val="nil"/>
              <w:left w:val="nil"/>
              <w:bottom w:val="nil"/>
              <w:right w:val="nil"/>
            </w:tcBorders>
            <w:shd w:val="clear" w:color="auto" w:fill="auto"/>
            <w:noWrap/>
          </w:tcPr>
          <w:p w14:paraId="1D91DC61" w14:textId="77777777" w:rsidR="008F16FC" w:rsidRPr="008F16FC" w:rsidRDefault="008F16FC" w:rsidP="008F16FC">
            <w:pPr>
              <w:jc w:val="right"/>
              <w:rPr>
                <w:rFonts w:eastAsia="Calibri"/>
                <w:sz w:val="20"/>
                <w:szCs w:val="20"/>
                <w:lang w:val="es-MX"/>
              </w:rPr>
            </w:pPr>
            <w:r w:rsidRPr="00BA304B">
              <w:rPr>
                <w:color w:val="000000"/>
                <w:sz w:val="20"/>
              </w:rPr>
              <w:t>2.452.808</w:t>
            </w:r>
          </w:p>
        </w:tc>
      </w:tr>
      <w:tr w:rsidR="00AE6F90" w:rsidRPr="008F16FC" w14:paraId="6B9A6FFF"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0CA4269A" w14:textId="77777777" w:rsidR="008F16FC" w:rsidRPr="008F16FC" w:rsidRDefault="008F16FC" w:rsidP="008F16FC">
            <w:pPr>
              <w:rPr>
                <w:rFonts w:eastAsia="Calibri"/>
                <w:sz w:val="20"/>
                <w:szCs w:val="20"/>
                <w:lang w:val="es-MX"/>
              </w:rPr>
            </w:pPr>
            <w:r w:rsidRPr="008F16FC">
              <w:rPr>
                <w:rFonts w:eastAsia="Calibri"/>
                <w:sz w:val="20"/>
                <w:szCs w:val="20"/>
                <w:lang w:val="es-MX"/>
              </w:rPr>
              <w:t>Total de Pasivos</w:t>
            </w:r>
          </w:p>
        </w:tc>
        <w:tc>
          <w:tcPr>
            <w:tcW w:w="0" w:type="auto"/>
            <w:tcBorders>
              <w:top w:val="nil"/>
              <w:left w:val="nil"/>
              <w:bottom w:val="single" w:sz="4" w:space="0" w:color="auto"/>
              <w:right w:val="single" w:sz="4" w:space="0" w:color="auto"/>
            </w:tcBorders>
            <w:shd w:val="clear" w:color="auto" w:fill="auto"/>
            <w:vAlign w:val="center"/>
          </w:tcPr>
          <w:p w14:paraId="10698D08" w14:textId="77777777" w:rsidR="008F16FC" w:rsidRPr="008F16FC" w:rsidDel="007644DD" w:rsidRDefault="008F16FC" w:rsidP="008F16FC">
            <w:pPr>
              <w:jc w:val="right"/>
              <w:rPr>
                <w:rFonts w:eastAsia="Calibri"/>
                <w:sz w:val="20"/>
                <w:szCs w:val="20"/>
                <w:lang w:val="es-MX"/>
              </w:rPr>
            </w:pPr>
          </w:p>
        </w:tc>
        <w:tc>
          <w:tcPr>
            <w:tcW w:w="0" w:type="auto"/>
            <w:tcBorders>
              <w:top w:val="nil"/>
              <w:left w:val="single" w:sz="4" w:space="0" w:color="auto"/>
              <w:bottom w:val="single" w:sz="4" w:space="0" w:color="auto"/>
              <w:right w:val="nil"/>
            </w:tcBorders>
            <w:shd w:val="clear" w:color="auto" w:fill="auto"/>
          </w:tcPr>
          <w:p w14:paraId="3C543064" w14:textId="77777777" w:rsidR="008F16FC" w:rsidRPr="008F16FC" w:rsidRDefault="008F16FC" w:rsidP="008F16FC">
            <w:pPr>
              <w:jc w:val="right"/>
              <w:rPr>
                <w:rFonts w:eastAsia="Calibri"/>
                <w:sz w:val="20"/>
                <w:szCs w:val="20"/>
                <w:lang w:val="es-MX"/>
              </w:rPr>
            </w:pPr>
            <w:r w:rsidRPr="00BA304B">
              <w:rPr>
                <w:color w:val="000000"/>
                <w:sz w:val="20"/>
              </w:rPr>
              <w:t>7.679.069</w:t>
            </w:r>
          </w:p>
        </w:tc>
        <w:tc>
          <w:tcPr>
            <w:tcW w:w="0" w:type="auto"/>
            <w:tcBorders>
              <w:top w:val="nil"/>
              <w:left w:val="nil"/>
              <w:bottom w:val="single" w:sz="4" w:space="0" w:color="auto"/>
              <w:right w:val="nil"/>
            </w:tcBorders>
            <w:shd w:val="clear" w:color="auto" w:fill="auto"/>
            <w:noWrap/>
          </w:tcPr>
          <w:p w14:paraId="04D146EC" w14:textId="77777777" w:rsidR="008F16FC" w:rsidRPr="008F16FC" w:rsidRDefault="008F16FC" w:rsidP="008F16FC">
            <w:pPr>
              <w:jc w:val="right"/>
              <w:rPr>
                <w:rFonts w:eastAsia="Calibri"/>
                <w:sz w:val="20"/>
                <w:szCs w:val="20"/>
                <w:lang w:val="es-MX"/>
              </w:rPr>
            </w:pPr>
            <w:r w:rsidRPr="00BA304B">
              <w:rPr>
                <w:color w:val="000000"/>
                <w:sz w:val="20"/>
              </w:rPr>
              <w:t>9.733.965</w:t>
            </w:r>
          </w:p>
        </w:tc>
      </w:tr>
      <w:tr w:rsidR="00AE6F90" w:rsidRPr="008F16FC" w14:paraId="37B8A431"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1EC7868B"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Solvencia</w:t>
            </w:r>
          </w:p>
        </w:tc>
        <w:tc>
          <w:tcPr>
            <w:tcW w:w="0" w:type="auto"/>
            <w:tcBorders>
              <w:top w:val="nil"/>
              <w:left w:val="nil"/>
              <w:bottom w:val="nil"/>
              <w:right w:val="single" w:sz="4" w:space="0" w:color="auto"/>
            </w:tcBorders>
            <w:shd w:val="clear" w:color="auto" w:fill="auto"/>
            <w:vAlign w:val="center"/>
          </w:tcPr>
          <w:p w14:paraId="6781548A"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bottom"/>
          </w:tcPr>
          <w:p w14:paraId="67952E5D"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33%</w:t>
            </w:r>
          </w:p>
        </w:tc>
        <w:tc>
          <w:tcPr>
            <w:tcW w:w="0" w:type="auto"/>
            <w:tcBorders>
              <w:top w:val="nil"/>
              <w:left w:val="nil"/>
              <w:bottom w:val="nil"/>
              <w:right w:val="nil"/>
            </w:tcBorders>
            <w:shd w:val="clear" w:color="auto" w:fill="auto"/>
            <w:noWrap/>
            <w:vAlign w:val="bottom"/>
          </w:tcPr>
          <w:p w14:paraId="612085C4"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25%</w:t>
            </w:r>
          </w:p>
        </w:tc>
      </w:tr>
      <w:tr w:rsidR="00AE6F90" w:rsidRPr="008F16FC" w14:paraId="4A770B89" w14:textId="77777777" w:rsidTr="008F16FC">
        <w:trPr>
          <w:trHeight w:val="74"/>
          <w:jc w:val="center"/>
        </w:trPr>
        <w:tc>
          <w:tcPr>
            <w:tcW w:w="2947" w:type="dxa"/>
            <w:tcBorders>
              <w:top w:val="nil"/>
              <w:left w:val="nil"/>
              <w:bottom w:val="nil"/>
              <w:right w:val="nil"/>
            </w:tcBorders>
            <w:shd w:val="clear" w:color="auto" w:fill="auto"/>
            <w:noWrap/>
            <w:vAlign w:val="bottom"/>
            <w:hideMark/>
          </w:tcPr>
          <w:p w14:paraId="417FCC89" w14:textId="77777777" w:rsidR="008F16FC" w:rsidRPr="008F16FC" w:rsidRDefault="008F16FC" w:rsidP="008F16FC">
            <w:pPr>
              <w:jc w:val="right"/>
              <w:rPr>
                <w:rFonts w:eastAsia="Calibri"/>
                <w:b/>
                <w:bCs/>
                <w:sz w:val="20"/>
                <w:szCs w:val="20"/>
                <w:lang w:val="es-MX"/>
              </w:rPr>
            </w:pPr>
          </w:p>
        </w:tc>
        <w:tc>
          <w:tcPr>
            <w:tcW w:w="0" w:type="auto"/>
            <w:tcBorders>
              <w:top w:val="nil"/>
              <w:left w:val="nil"/>
              <w:bottom w:val="nil"/>
              <w:right w:val="single" w:sz="4" w:space="0" w:color="auto"/>
            </w:tcBorders>
            <w:shd w:val="clear" w:color="auto" w:fill="auto"/>
            <w:vAlign w:val="center"/>
          </w:tcPr>
          <w:p w14:paraId="5ED66A5A"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nil"/>
              <w:right w:val="nil"/>
            </w:tcBorders>
            <w:shd w:val="clear" w:color="auto" w:fill="auto"/>
            <w:vAlign w:val="bottom"/>
          </w:tcPr>
          <w:p w14:paraId="62BADC94" w14:textId="77777777" w:rsidR="008F16FC" w:rsidRPr="008F16FC" w:rsidRDefault="008F16FC" w:rsidP="008F16FC">
            <w:pPr>
              <w:rPr>
                <w:rFonts w:eastAsia="Calibri"/>
                <w:sz w:val="20"/>
                <w:szCs w:val="20"/>
                <w:lang w:val="es-MX"/>
              </w:rPr>
            </w:pPr>
          </w:p>
        </w:tc>
        <w:tc>
          <w:tcPr>
            <w:tcW w:w="0" w:type="auto"/>
            <w:tcBorders>
              <w:top w:val="nil"/>
              <w:left w:val="nil"/>
              <w:bottom w:val="nil"/>
              <w:right w:val="nil"/>
            </w:tcBorders>
            <w:shd w:val="clear" w:color="auto" w:fill="auto"/>
            <w:noWrap/>
            <w:vAlign w:val="bottom"/>
          </w:tcPr>
          <w:p w14:paraId="35AD0A75" w14:textId="77777777" w:rsidR="008F16FC" w:rsidRPr="008F16FC" w:rsidRDefault="008F16FC" w:rsidP="008F16FC">
            <w:pPr>
              <w:rPr>
                <w:rFonts w:eastAsia="Calibri"/>
                <w:sz w:val="20"/>
                <w:szCs w:val="20"/>
                <w:lang w:val="es-MX"/>
              </w:rPr>
            </w:pPr>
          </w:p>
        </w:tc>
      </w:tr>
      <w:tr w:rsidR="00AE6F90" w:rsidRPr="008F16FC" w14:paraId="26E4B17E"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54026939" w14:textId="77777777" w:rsidR="008F16FC" w:rsidRPr="008F16FC" w:rsidRDefault="008F16FC" w:rsidP="008F16FC">
            <w:pPr>
              <w:rPr>
                <w:rFonts w:eastAsia="Calibri"/>
                <w:sz w:val="20"/>
                <w:szCs w:val="20"/>
                <w:lang w:val="es-MX"/>
              </w:rPr>
            </w:pPr>
            <w:r w:rsidRPr="008F16FC">
              <w:rPr>
                <w:rFonts w:eastAsia="Calibri"/>
                <w:sz w:val="20"/>
                <w:szCs w:val="20"/>
                <w:lang w:val="es-MX"/>
              </w:rPr>
              <w:t>Total de Activos No Corrientes</w:t>
            </w:r>
          </w:p>
        </w:tc>
        <w:tc>
          <w:tcPr>
            <w:tcW w:w="360" w:type="dxa"/>
            <w:tcBorders>
              <w:top w:val="nil"/>
              <w:left w:val="nil"/>
              <w:bottom w:val="nil"/>
              <w:right w:val="single" w:sz="4" w:space="0" w:color="auto"/>
            </w:tcBorders>
            <w:shd w:val="clear" w:color="auto" w:fill="auto"/>
            <w:vAlign w:val="center"/>
          </w:tcPr>
          <w:p w14:paraId="7B8BA378" w14:textId="77777777" w:rsidR="008F16FC" w:rsidRPr="008F16FC" w:rsidRDefault="008F16FC" w:rsidP="008F16FC">
            <w:pPr>
              <w:jc w:val="right"/>
              <w:rPr>
                <w:rFonts w:eastAsia="Calibri"/>
                <w:sz w:val="20"/>
                <w:szCs w:val="20"/>
                <w:lang w:val="es-MX"/>
              </w:rPr>
            </w:pPr>
          </w:p>
        </w:tc>
        <w:tc>
          <w:tcPr>
            <w:tcW w:w="1670" w:type="dxa"/>
            <w:tcBorders>
              <w:top w:val="nil"/>
              <w:left w:val="single" w:sz="4" w:space="0" w:color="auto"/>
              <w:bottom w:val="nil"/>
              <w:right w:val="nil"/>
            </w:tcBorders>
            <w:shd w:val="clear" w:color="auto" w:fill="auto"/>
          </w:tcPr>
          <w:p w14:paraId="370B24C9" w14:textId="77777777" w:rsidR="008F16FC" w:rsidRPr="008F16FC" w:rsidRDefault="008F16FC" w:rsidP="008F16FC">
            <w:pPr>
              <w:jc w:val="right"/>
              <w:rPr>
                <w:rFonts w:eastAsia="Calibri"/>
                <w:sz w:val="20"/>
                <w:szCs w:val="20"/>
                <w:lang w:val="es-MX"/>
              </w:rPr>
            </w:pPr>
            <w:r w:rsidRPr="008F16FC">
              <w:rPr>
                <w:color w:val="000000"/>
                <w:sz w:val="20"/>
              </w:rPr>
              <w:t>2.872.205</w:t>
            </w:r>
          </w:p>
        </w:tc>
        <w:tc>
          <w:tcPr>
            <w:tcW w:w="1670" w:type="dxa"/>
            <w:tcBorders>
              <w:top w:val="nil"/>
              <w:left w:val="nil"/>
              <w:bottom w:val="nil"/>
              <w:right w:val="nil"/>
            </w:tcBorders>
            <w:shd w:val="clear" w:color="auto" w:fill="auto"/>
            <w:noWrap/>
          </w:tcPr>
          <w:p w14:paraId="418F05F7" w14:textId="77777777" w:rsidR="008F16FC" w:rsidRPr="008F16FC" w:rsidRDefault="008F16FC" w:rsidP="008F16FC">
            <w:pPr>
              <w:jc w:val="right"/>
              <w:rPr>
                <w:rFonts w:eastAsia="Calibri"/>
                <w:sz w:val="20"/>
                <w:szCs w:val="20"/>
                <w:lang w:val="es-MX"/>
              </w:rPr>
            </w:pPr>
            <w:r w:rsidRPr="008F16FC">
              <w:rPr>
                <w:color w:val="000000"/>
                <w:sz w:val="20"/>
              </w:rPr>
              <w:t>3.177.811</w:t>
            </w:r>
          </w:p>
        </w:tc>
      </w:tr>
      <w:tr w:rsidR="00AE6F90" w:rsidRPr="008F16FC" w14:paraId="1014FBAC"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2E7A03AB" w14:textId="77777777" w:rsidR="008F16FC" w:rsidRPr="008F16FC" w:rsidRDefault="008F16FC" w:rsidP="008F16FC">
            <w:pPr>
              <w:rPr>
                <w:rFonts w:eastAsia="Calibri"/>
                <w:sz w:val="20"/>
                <w:szCs w:val="20"/>
                <w:lang w:val="es-MX"/>
              </w:rPr>
            </w:pPr>
            <w:r w:rsidRPr="008F16FC">
              <w:rPr>
                <w:rFonts w:eastAsia="Calibri"/>
                <w:sz w:val="20"/>
                <w:szCs w:val="20"/>
                <w:lang w:val="es-MX"/>
              </w:rPr>
              <w:t>Total de Activos</w:t>
            </w:r>
          </w:p>
        </w:tc>
        <w:tc>
          <w:tcPr>
            <w:tcW w:w="0" w:type="auto"/>
            <w:tcBorders>
              <w:top w:val="nil"/>
              <w:left w:val="nil"/>
              <w:bottom w:val="single" w:sz="4" w:space="0" w:color="auto"/>
              <w:right w:val="single" w:sz="4" w:space="0" w:color="auto"/>
            </w:tcBorders>
            <w:shd w:val="clear" w:color="auto" w:fill="auto"/>
            <w:vAlign w:val="center"/>
          </w:tcPr>
          <w:p w14:paraId="19EB893F" w14:textId="77777777" w:rsidR="008F16FC" w:rsidRPr="008F16FC" w:rsidDel="007644DD" w:rsidRDefault="008F16FC" w:rsidP="008F16FC">
            <w:pPr>
              <w:jc w:val="right"/>
              <w:rPr>
                <w:rFonts w:eastAsia="Calibri"/>
                <w:bCs/>
                <w:sz w:val="20"/>
                <w:szCs w:val="20"/>
                <w:lang w:val="es-MX"/>
              </w:rPr>
            </w:pPr>
          </w:p>
        </w:tc>
        <w:tc>
          <w:tcPr>
            <w:tcW w:w="0" w:type="auto"/>
            <w:tcBorders>
              <w:top w:val="nil"/>
              <w:left w:val="single" w:sz="4" w:space="0" w:color="auto"/>
              <w:bottom w:val="single" w:sz="4" w:space="0" w:color="auto"/>
              <w:right w:val="nil"/>
            </w:tcBorders>
            <w:shd w:val="clear" w:color="auto" w:fill="auto"/>
          </w:tcPr>
          <w:p w14:paraId="7BFCEC5B" w14:textId="77777777" w:rsidR="008F16FC" w:rsidRPr="008F16FC" w:rsidRDefault="008F16FC" w:rsidP="008F16FC">
            <w:pPr>
              <w:jc w:val="right"/>
              <w:rPr>
                <w:rFonts w:eastAsia="Calibri"/>
                <w:sz w:val="20"/>
                <w:szCs w:val="20"/>
                <w:lang w:val="es-MX"/>
              </w:rPr>
            </w:pPr>
            <w:r w:rsidRPr="00BA304B">
              <w:rPr>
                <w:color w:val="000000"/>
                <w:sz w:val="20"/>
              </w:rPr>
              <w:t>10.193.974</w:t>
            </w:r>
          </w:p>
        </w:tc>
        <w:tc>
          <w:tcPr>
            <w:tcW w:w="0" w:type="auto"/>
            <w:tcBorders>
              <w:top w:val="nil"/>
              <w:left w:val="nil"/>
              <w:bottom w:val="single" w:sz="4" w:space="0" w:color="auto"/>
              <w:right w:val="nil"/>
            </w:tcBorders>
            <w:shd w:val="clear" w:color="auto" w:fill="auto"/>
            <w:noWrap/>
          </w:tcPr>
          <w:p w14:paraId="31046149" w14:textId="77777777" w:rsidR="008F16FC" w:rsidRPr="008F16FC" w:rsidRDefault="008F16FC" w:rsidP="008F16FC">
            <w:pPr>
              <w:jc w:val="right"/>
              <w:rPr>
                <w:rFonts w:eastAsia="Calibri"/>
                <w:sz w:val="20"/>
                <w:szCs w:val="20"/>
                <w:lang w:val="es-MX"/>
              </w:rPr>
            </w:pPr>
            <w:r w:rsidRPr="00BA304B">
              <w:rPr>
                <w:color w:val="000000"/>
                <w:sz w:val="20"/>
              </w:rPr>
              <w:t>12.186.772</w:t>
            </w:r>
          </w:p>
        </w:tc>
      </w:tr>
      <w:tr w:rsidR="00AE6F90" w:rsidRPr="008F16FC" w14:paraId="70728FD8"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1007BA46"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Inmovilización del capital</w:t>
            </w:r>
          </w:p>
        </w:tc>
        <w:tc>
          <w:tcPr>
            <w:tcW w:w="0" w:type="auto"/>
            <w:tcBorders>
              <w:top w:val="nil"/>
              <w:left w:val="nil"/>
              <w:bottom w:val="nil"/>
              <w:right w:val="single" w:sz="4" w:space="0" w:color="auto"/>
            </w:tcBorders>
            <w:shd w:val="clear" w:color="auto" w:fill="auto"/>
            <w:vAlign w:val="center"/>
          </w:tcPr>
          <w:p w14:paraId="1381B92B"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bottom"/>
          </w:tcPr>
          <w:p w14:paraId="72A960C3"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28%</w:t>
            </w:r>
          </w:p>
        </w:tc>
        <w:tc>
          <w:tcPr>
            <w:tcW w:w="0" w:type="auto"/>
            <w:tcBorders>
              <w:top w:val="nil"/>
              <w:left w:val="nil"/>
              <w:bottom w:val="nil"/>
              <w:right w:val="nil"/>
            </w:tcBorders>
            <w:shd w:val="clear" w:color="auto" w:fill="auto"/>
            <w:noWrap/>
            <w:vAlign w:val="bottom"/>
          </w:tcPr>
          <w:p w14:paraId="66F2173E"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26%</w:t>
            </w:r>
          </w:p>
        </w:tc>
      </w:tr>
      <w:tr w:rsidR="00AE6F90" w:rsidRPr="008F16FC" w14:paraId="67DAB3D0" w14:textId="77777777" w:rsidTr="008F16FC">
        <w:trPr>
          <w:trHeight w:val="74"/>
          <w:jc w:val="center"/>
        </w:trPr>
        <w:tc>
          <w:tcPr>
            <w:tcW w:w="2947" w:type="dxa"/>
            <w:tcBorders>
              <w:top w:val="nil"/>
              <w:left w:val="nil"/>
              <w:bottom w:val="nil"/>
              <w:right w:val="nil"/>
            </w:tcBorders>
            <w:shd w:val="clear" w:color="auto" w:fill="auto"/>
            <w:noWrap/>
            <w:vAlign w:val="bottom"/>
            <w:hideMark/>
          </w:tcPr>
          <w:p w14:paraId="76054801" w14:textId="77777777" w:rsidR="008F16FC" w:rsidRPr="008F16FC" w:rsidRDefault="008F16FC" w:rsidP="008F16FC">
            <w:pPr>
              <w:jc w:val="right"/>
              <w:rPr>
                <w:rFonts w:eastAsia="Calibri"/>
                <w:b/>
                <w:bCs/>
                <w:sz w:val="20"/>
                <w:szCs w:val="20"/>
                <w:lang w:val="es-MX"/>
              </w:rPr>
            </w:pPr>
          </w:p>
        </w:tc>
        <w:tc>
          <w:tcPr>
            <w:tcW w:w="0" w:type="auto"/>
            <w:tcBorders>
              <w:top w:val="nil"/>
              <w:left w:val="nil"/>
              <w:bottom w:val="nil"/>
              <w:right w:val="single" w:sz="4" w:space="0" w:color="auto"/>
            </w:tcBorders>
            <w:shd w:val="clear" w:color="auto" w:fill="auto"/>
            <w:vAlign w:val="center"/>
          </w:tcPr>
          <w:p w14:paraId="43A835FD"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nil"/>
              <w:right w:val="nil"/>
            </w:tcBorders>
            <w:shd w:val="clear" w:color="auto" w:fill="auto"/>
            <w:vAlign w:val="bottom"/>
          </w:tcPr>
          <w:p w14:paraId="272C0CD8" w14:textId="77777777" w:rsidR="008F16FC" w:rsidRPr="008F16FC" w:rsidRDefault="008F16FC" w:rsidP="008F16FC">
            <w:pPr>
              <w:rPr>
                <w:rFonts w:eastAsia="Calibri"/>
                <w:sz w:val="20"/>
                <w:szCs w:val="20"/>
                <w:lang w:val="es-MX"/>
              </w:rPr>
            </w:pPr>
          </w:p>
        </w:tc>
        <w:tc>
          <w:tcPr>
            <w:tcW w:w="0" w:type="auto"/>
            <w:tcBorders>
              <w:top w:val="nil"/>
              <w:left w:val="nil"/>
              <w:bottom w:val="nil"/>
              <w:right w:val="nil"/>
            </w:tcBorders>
            <w:shd w:val="clear" w:color="auto" w:fill="auto"/>
            <w:noWrap/>
            <w:vAlign w:val="bottom"/>
          </w:tcPr>
          <w:p w14:paraId="5FF57D74" w14:textId="77777777" w:rsidR="008F16FC" w:rsidRPr="008F16FC" w:rsidRDefault="008F16FC" w:rsidP="008F16FC">
            <w:pPr>
              <w:rPr>
                <w:rFonts w:eastAsia="Calibri"/>
                <w:sz w:val="20"/>
                <w:szCs w:val="20"/>
                <w:lang w:val="es-MX"/>
              </w:rPr>
            </w:pPr>
          </w:p>
        </w:tc>
      </w:tr>
      <w:tr w:rsidR="00AE6F90" w:rsidRPr="008F16FC" w14:paraId="70A0C4EC"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4C312940" w14:textId="77777777" w:rsidR="008F16FC" w:rsidRPr="008F16FC" w:rsidRDefault="008F16FC" w:rsidP="008F16FC">
            <w:pPr>
              <w:rPr>
                <w:rFonts w:eastAsia="Calibri"/>
                <w:sz w:val="20"/>
                <w:szCs w:val="20"/>
                <w:lang w:val="es-MX"/>
              </w:rPr>
            </w:pPr>
            <w:r w:rsidRPr="008F16FC">
              <w:rPr>
                <w:rFonts w:eastAsia="Calibri"/>
                <w:sz w:val="20"/>
                <w:szCs w:val="20"/>
                <w:lang w:val="es-MX"/>
              </w:rPr>
              <w:t>Resultado del ejercicio</w:t>
            </w:r>
          </w:p>
        </w:tc>
        <w:tc>
          <w:tcPr>
            <w:tcW w:w="0" w:type="auto"/>
            <w:tcBorders>
              <w:top w:val="nil"/>
              <w:left w:val="nil"/>
              <w:bottom w:val="nil"/>
              <w:right w:val="single" w:sz="4" w:space="0" w:color="auto"/>
            </w:tcBorders>
            <w:shd w:val="clear" w:color="auto" w:fill="auto"/>
            <w:vAlign w:val="center"/>
          </w:tcPr>
          <w:p w14:paraId="15084B4D" w14:textId="77777777" w:rsidR="008F16FC" w:rsidRPr="008F16FC" w:rsidRDefault="008F16FC" w:rsidP="008F16FC">
            <w:pPr>
              <w:jc w:val="right"/>
              <w:rPr>
                <w:rFonts w:eastAsia="Calibri"/>
                <w:bCs/>
                <w:sz w:val="20"/>
                <w:szCs w:val="20"/>
                <w:lang w:val="es-MX"/>
              </w:rPr>
            </w:pPr>
          </w:p>
        </w:tc>
        <w:tc>
          <w:tcPr>
            <w:tcW w:w="0" w:type="auto"/>
            <w:tcBorders>
              <w:top w:val="nil"/>
              <w:left w:val="single" w:sz="4" w:space="0" w:color="auto"/>
              <w:bottom w:val="nil"/>
              <w:right w:val="nil"/>
            </w:tcBorders>
            <w:shd w:val="clear" w:color="auto" w:fill="auto"/>
            <w:vAlign w:val="center"/>
          </w:tcPr>
          <w:p w14:paraId="7A3D94A6" w14:textId="77777777" w:rsidR="008F16FC" w:rsidRPr="008F16FC" w:rsidRDefault="008F16FC" w:rsidP="008F16FC">
            <w:pPr>
              <w:jc w:val="right"/>
              <w:rPr>
                <w:rFonts w:eastAsia="Calibri"/>
                <w:sz w:val="20"/>
                <w:szCs w:val="20"/>
                <w:lang w:val="es-MX"/>
              </w:rPr>
            </w:pPr>
            <w:r w:rsidRPr="008F16FC">
              <w:rPr>
                <w:color w:val="000000"/>
                <w:sz w:val="20"/>
              </w:rPr>
              <w:t>268.236</w:t>
            </w:r>
          </w:p>
        </w:tc>
        <w:tc>
          <w:tcPr>
            <w:tcW w:w="0" w:type="auto"/>
            <w:tcBorders>
              <w:top w:val="nil"/>
              <w:left w:val="nil"/>
              <w:bottom w:val="nil"/>
              <w:right w:val="nil"/>
            </w:tcBorders>
            <w:shd w:val="clear" w:color="auto" w:fill="auto"/>
            <w:noWrap/>
            <w:vAlign w:val="center"/>
          </w:tcPr>
          <w:p w14:paraId="277C8FAE" w14:textId="77777777" w:rsidR="008F16FC" w:rsidRPr="008F16FC" w:rsidRDefault="008F16FC" w:rsidP="008F16FC">
            <w:pPr>
              <w:jc w:val="right"/>
              <w:rPr>
                <w:rFonts w:eastAsia="Calibri"/>
                <w:sz w:val="20"/>
                <w:szCs w:val="20"/>
                <w:lang w:val="es-MX"/>
              </w:rPr>
            </w:pPr>
            <w:r w:rsidRPr="008F16FC">
              <w:rPr>
                <w:color w:val="000000"/>
                <w:sz w:val="20"/>
              </w:rPr>
              <w:t>(386.042)</w:t>
            </w:r>
          </w:p>
        </w:tc>
      </w:tr>
      <w:tr w:rsidR="00AE6F90" w:rsidRPr="008F16FC" w14:paraId="7C1050E8"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62AF9335" w14:textId="77777777" w:rsidR="008F16FC" w:rsidRPr="008F16FC" w:rsidRDefault="008F16FC" w:rsidP="008F16FC">
            <w:pPr>
              <w:rPr>
                <w:rFonts w:eastAsia="Calibri"/>
                <w:sz w:val="20"/>
                <w:szCs w:val="20"/>
                <w:lang w:val="es-MX"/>
              </w:rPr>
            </w:pPr>
            <w:r w:rsidRPr="008F16FC">
              <w:rPr>
                <w:rFonts w:eastAsia="Calibri"/>
                <w:sz w:val="20"/>
                <w:szCs w:val="20"/>
                <w:lang w:val="es-MX"/>
              </w:rPr>
              <w:t>Total de Patrimonio Neto al inicio</w:t>
            </w:r>
          </w:p>
        </w:tc>
        <w:tc>
          <w:tcPr>
            <w:tcW w:w="0" w:type="auto"/>
            <w:tcBorders>
              <w:top w:val="nil"/>
              <w:left w:val="nil"/>
              <w:bottom w:val="nil"/>
              <w:right w:val="single" w:sz="4" w:space="0" w:color="auto"/>
            </w:tcBorders>
            <w:shd w:val="clear" w:color="auto" w:fill="auto"/>
            <w:vAlign w:val="center"/>
          </w:tcPr>
          <w:p w14:paraId="04AF53AA"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nil"/>
              <w:right w:val="nil"/>
            </w:tcBorders>
            <w:shd w:val="clear" w:color="auto" w:fill="auto"/>
          </w:tcPr>
          <w:p w14:paraId="55295A74" w14:textId="77777777" w:rsidR="008F16FC" w:rsidRPr="008F16FC" w:rsidRDefault="008F16FC" w:rsidP="008F16FC">
            <w:pPr>
              <w:jc w:val="right"/>
              <w:rPr>
                <w:rFonts w:eastAsia="Calibri"/>
                <w:sz w:val="20"/>
                <w:szCs w:val="20"/>
                <w:lang w:val="es-MX"/>
              </w:rPr>
            </w:pPr>
            <w:r w:rsidRPr="00BA304B">
              <w:rPr>
                <w:color w:val="000000"/>
                <w:sz w:val="20"/>
              </w:rPr>
              <w:t>2.452.808</w:t>
            </w:r>
          </w:p>
        </w:tc>
        <w:tc>
          <w:tcPr>
            <w:tcW w:w="0" w:type="auto"/>
            <w:tcBorders>
              <w:top w:val="nil"/>
              <w:left w:val="nil"/>
              <w:bottom w:val="nil"/>
              <w:right w:val="nil"/>
            </w:tcBorders>
            <w:shd w:val="clear" w:color="auto" w:fill="auto"/>
            <w:noWrap/>
          </w:tcPr>
          <w:p w14:paraId="2E7FE8BC" w14:textId="77777777" w:rsidR="008F16FC" w:rsidRPr="008F16FC" w:rsidRDefault="008F16FC" w:rsidP="008F16FC">
            <w:pPr>
              <w:jc w:val="right"/>
              <w:rPr>
                <w:rFonts w:eastAsia="Calibri"/>
                <w:sz w:val="20"/>
                <w:szCs w:val="20"/>
                <w:lang w:val="es-MX"/>
              </w:rPr>
            </w:pPr>
            <w:r w:rsidRPr="00BA304B">
              <w:rPr>
                <w:color w:val="000000"/>
                <w:sz w:val="20"/>
              </w:rPr>
              <w:t>954.641</w:t>
            </w:r>
          </w:p>
        </w:tc>
      </w:tr>
      <w:tr w:rsidR="00AE6F90" w:rsidRPr="008F16FC" w14:paraId="2AB3FB26"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18FCC19B" w14:textId="77777777" w:rsidR="008F16FC" w:rsidRPr="008F16FC" w:rsidRDefault="008F16FC" w:rsidP="008F16FC">
            <w:pPr>
              <w:rPr>
                <w:rFonts w:eastAsia="Calibri"/>
                <w:sz w:val="20"/>
                <w:szCs w:val="20"/>
                <w:lang w:val="es-MX"/>
              </w:rPr>
            </w:pPr>
            <w:r w:rsidRPr="008F16FC">
              <w:rPr>
                <w:rFonts w:eastAsia="Calibri"/>
                <w:sz w:val="20"/>
                <w:szCs w:val="20"/>
                <w:lang w:val="es-MX"/>
              </w:rPr>
              <w:t>Total de Patrimonio Neto al cierre</w:t>
            </w:r>
          </w:p>
        </w:tc>
        <w:tc>
          <w:tcPr>
            <w:tcW w:w="0" w:type="auto"/>
            <w:tcBorders>
              <w:top w:val="nil"/>
              <w:left w:val="nil"/>
              <w:bottom w:val="single" w:sz="4" w:space="0" w:color="auto"/>
              <w:right w:val="single" w:sz="4" w:space="0" w:color="auto"/>
            </w:tcBorders>
            <w:shd w:val="clear" w:color="auto" w:fill="auto"/>
            <w:vAlign w:val="center"/>
          </w:tcPr>
          <w:p w14:paraId="339C0B63"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single" w:sz="4" w:space="0" w:color="auto"/>
              <w:right w:val="nil"/>
            </w:tcBorders>
            <w:shd w:val="clear" w:color="auto" w:fill="auto"/>
          </w:tcPr>
          <w:p w14:paraId="046D91A9" w14:textId="77777777" w:rsidR="008F16FC" w:rsidRPr="008F16FC" w:rsidRDefault="008F16FC" w:rsidP="008F16FC">
            <w:pPr>
              <w:jc w:val="right"/>
              <w:rPr>
                <w:rFonts w:eastAsia="Calibri"/>
                <w:sz w:val="20"/>
                <w:szCs w:val="20"/>
                <w:lang w:val="es-MX"/>
              </w:rPr>
            </w:pPr>
            <w:r w:rsidRPr="00BA304B">
              <w:rPr>
                <w:color w:val="000000"/>
                <w:sz w:val="20"/>
              </w:rPr>
              <w:t>2.514.905</w:t>
            </w:r>
          </w:p>
        </w:tc>
        <w:tc>
          <w:tcPr>
            <w:tcW w:w="0" w:type="auto"/>
            <w:tcBorders>
              <w:top w:val="nil"/>
              <w:left w:val="nil"/>
              <w:bottom w:val="single" w:sz="4" w:space="0" w:color="auto"/>
              <w:right w:val="nil"/>
            </w:tcBorders>
            <w:shd w:val="clear" w:color="auto" w:fill="auto"/>
            <w:noWrap/>
          </w:tcPr>
          <w:p w14:paraId="7A79B8D0" w14:textId="77777777" w:rsidR="008F16FC" w:rsidRPr="008F16FC" w:rsidRDefault="008F16FC" w:rsidP="008F16FC">
            <w:pPr>
              <w:jc w:val="right"/>
              <w:rPr>
                <w:rFonts w:eastAsia="Calibri"/>
                <w:sz w:val="20"/>
                <w:szCs w:val="20"/>
                <w:lang w:val="es-MX"/>
              </w:rPr>
            </w:pPr>
            <w:r w:rsidRPr="00BA304B">
              <w:rPr>
                <w:color w:val="000000"/>
                <w:sz w:val="20"/>
              </w:rPr>
              <w:t>2.452.808</w:t>
            </w:r>
          </w:p>
        </w:tc>
      </w:tr>
      <w:tr w:rsidR="00AE6F90" w:rsidRPr="008F16FC" w14:paraId="660F5337"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55B6B6BF"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Rentabilidad</w:t>
            </w:r>
          </w:p>
        </w:tc>
        <w:tc>
          <w:tcPr>
            <w:tcW w:w="0" w:type="auto"/>
            <w:tcBorders>
              <w:top w:val="nil"/>
              <w:left w:val="nil"/>
              <w:bottom w:val="nil"/>
              <w:right w:val="single" w:sz="4" w:space="0" w:color="auto"/>
            </w:tcBorders>
            <w:shd w:val="clear" w:color="auto" w:fill="auto"/>
            <w:vAlign w:val="center"/>
          </w:tcPr>
          <w:p w14:paraId="5D8DA456"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bottom"/>
          </w:tcPr>
          <w:p w14:paraId="1DE6671D"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11%</w:t>
            </w:r>
          </w:p>
        </w:tc>
        <w:tc>
          <w:tcPr>
            <w:tcW w:w="0" w:type="auto"/>
            <w:tcBorders>
              <w:top w:val="nil"/>
              <w:left w:val="nil"/>
              <w:bottom w:val="nil"/>
              <w:right w:val="nil"/>
            </w:tcBorders>
            <w:shd w:val="clear" w:color="auto" w:fill="auto"/>
            <w:noWrap/>
            <w:vAlign w:val="bottom"/>
          </w:tcPr>
          <w:p w14:paraId="2B0E7E48"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-23%</w:t>
            </w:r>
          </w:p>
        </w:tc>
      </w:tr>
    </w:tbl>
    <w:p w14:paraId="74F8549F" w14:textId="77777777" w:rsidR="008F16FC" w:rsidRPr="008F16FC" w:rsidRDefault="008F16FC" w:rsidP="008F16FC">
      <w:pPr>
        <w:rPr>
          <w:rFonts w:eastAsia="Calibri"/>
          <w:b/>
          <w:bCs/>
          <w:sz w:val="20"/>
          <w:szCs w:val="20"/>
          <w:lang w:val="es-MX"/>
        </w:rPr>
      </w:pPr>
    </w:p>
    <w:p w14:paraId="75D34A53" w14:textId="77777777" w:rsidR="008F16FC" w:rsidRPr="008F16FC" w:rsidRDefault="008F16FC" w:rsidP="008F16FC">
      <w:pPr>
        <w:jc w:val="both"/>
        <w:rPr>
          <w:rFonts w:eastAsia="Calibri"/>
          <w:b/>
          <w:sz w:val="20"/>
          <w:szCs w:val="20"/>
          <w:lang w:val="es-MX"/>
        </w:rPr>
      </w:pPr>
      <w:r w:rsidRPr="008F16FC">
        <w:rPr>
          <w:rFonts w:eastAsia="Calibri"/>
          <w:color w:val="000000"/>
          <w:sz w:val="20"/>
          <w:szCs w:val="20"/>
          <w:lang w:val="es-MX"/>
        </w:rPr>
        <w:t>El cuadro expuesto a continuación presenta los principales indicadores de INVAP para el ejercicio económico anual finalizado el 30 de junio de 2017:</w:t>
      </w:r>
    </w:p>
    <w:p w14:paraId="45D74804" w14:textId="77777777" w:rsidR="008F16FC" w:rsidRPr="008F16FC" w:rsidRDefault="008F16FC" w:rsidP="008F16FC">
      <w:pPr>
        <w:autoSpaceDE w:val="0"/>
        <w:autoSpaceDN w:val="0"/>
        <w:adjustRightInd w:val="0"/>
        <w:jc w:val="both"/>
        <w:rPr>
          <w:rFonts w:eastAsia="Calibri"/>
          <w:sz w:val="20"/>
          <w:szCs w:val="20"/>
          <w:lang w:val="es-MX"/>
        </w:rPr>
      </w:pPr>
    </w:p>
    <w:tbl>
      <w:tblPr>
        <w:tblW w:w="0" w:type="auto"/>
        <w:jc w:val="center"/>
        <w:tblCellMar>
          <w:left w:w="70" w:type="dxa"/>
          <w:right w:w="70" w:type="dxa"/>
        </w:tblCellMar>
        <w:tblLook w:val="04A0" w:firstRow="1" w:lastRow="0" w:firstColumn="1" w:lastColumn="0" w:noHBand="0" w:noVBand="1"/>
      </w:tblPr>
      <w:tblGrid>
        <w:gridCol w:w="2947"/>
        <w:gridCol w:w="360"/>
        <w:gridCol w:w="1670"/>
      </w:tblGrid>
      <w:tr w:rsidR="008F16FC" w:rsidRPr="008F16FC" w14:paraId="38B95F46" w14:textId="77777777" w:rsidTr="00BA304B">
        <w:trPr>
          <w:trHeight w:val="300"/>
          <w:jc w:val="center"/>
        </w:trPr>
        <w:tc>
          <w:tcPr>
            <w:tcW w:w="2947" w:type="dxa"/>
            <w:tcBorders>
              <w:top w:val="nil"/>
              <w:left w:val="nil"/>
              <w:bottom w:val="nil"/>
              <w:right w:val="nil"/>
            </w:tcBorders>
            <w:shd w:val="clear" w:color="auto" w:fill="auto"/>
            <w:noWrap/>
            <w:vAlign w:val="bottom"/>
            <w:hideMark/>
          </w:tcPr>
          <w:p w14:paraId="6EF290A6"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 </w:t>
            </w:r>
          </w:p>
        </w:tc>
        <w:tc>
          <w:tcPr>
            <w:tcW w:w="0" w:type="auto"/>
            <w:tcBorders>
              <w:top w:val="nil"/>
              <w:left w:val="nil"/>
              <w:bottom w:val="nil"/>
              <w:right w:val="single" w:sz="4" w:space="0" w:color="auto"/>
            </w:tcBorders>
            <w:shd w:val="clear" w:color="auto" w:fill="auto"/>
            <w:vAlign w:val="center"/>
          </w:tcPr>
          <w:p w14:paraId="6AA43048"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center"/>
            <w:hideMark/>
          </w:tcPr>
          <w:p w14:paraId="37DD1D4A" w14:textId="77777777" w:rsidR="008F16FC" w:rsidRPr="008F16FC" w:rsidRDefault="008F16FC" w:rsidP="008F16FC">
            <w:pPr>
              <w:jc w:val="right"/>
              <w:rPr>
                <w:rFonts w:eastAsia="Calibri"/>
                <w:b/>
                <w:bCs/>
                <w:sz w:val="20"/>
                <w:szCs w:val="20"/>
                <w:lang w:val="es-MX"/>
              </w:rPr>
            </w:pPr>
            <w:r w:rsidRPr="008F16FC">
              <w:rPr>
                <w:rFonts w:eastAsia="Calibri"/>
                <w:b/>
                <w:bCs/>
                <w:sz w:val="20"/>
                <w:szCs w:val="20"/>
                <w:lang w:val="es-MX"/>
              </w:rPr>
              <w:t>30 jun 17</w:t>
            </w:r>
          </w:p>
        </w:tc>
      </w:tr>
      <w:tr w:rsidR="008F16FC" w:rsidRPr="008F16FC" w14:paraId="5791247A" w14:textId="77777777" w:rsidTr="00BA304B">
        <w:trPr>
          <w:trHeight w:val="300"/>
          <w:jc w:val="center"/>
        </w:trPr>
        <w:tc>
          <w:tcPr>
            <w:tcW w:w="2947" w:type="dxa"/>
            <w:tcBorders>
              <w:top w:val="nil"/>
              <w:left w:val="nil"/>
              <w:bottom w:val="nil"/>
              <w:right w:val="nil"/>
            </w:tcBorders>
            <w:shd w:val="clear" w:color="auto" w:fill="auto"/>
            <w:noWrap/>
            <w:vAlign w:val="center"/>
            <w:hideMark/>
          </w:tcPr>
          <w:p w14:paraId="3A88CD88" w14:textId="77777777" w:rsidR="008F16FC" w:rsidRPr="008F16FC" w:rsidRDefault="008F16FC" w:rsidP="008F16FC">
            <w:pPr>
              <w:rPr>
                <w:rFonts w:eastAsia="Calibri"/>
                <w:sz w:val="20"/>
                <w:szCs w:val="20"/>
                <w:lang w:val="es-MX"/>
              </w:rPr>
            </w:pPr>
            <w:r w:rsidRPr="008F16FC">
              <w:rPr>
                <w:rFonts w:eastAsia="Calibri"/>
                <w:sz w:val="20"/>
                <w:szCs w:val="20"/>
                <w:lang w:val="es-MX"/>
              </w:rPr>
              <w:t>Total de Activos Corrientes</w:t>
            </w:r>
          </w:p>
        </w:tc>
        <w:tc>
          <w:tcPr>
            <w:tcW w:w="0" w:type="auto"/>
            <w:tcBorders>
              <w:top w:val="nil"/>
              <w:left w:val="nil"/>
              <w:bottom w:val="nil"/>
              <w:right w:val="single" w:sz="4" w:space="0" w:color="auto"/>
            </w:tcBorders>
            <w:shd w:val="clear" w:color="auto" w:fill="auto"/>
            <w:vAlign w:val="center"/>
          </w:tcPr>
          <w:p w14:paraId="2D41B0BA"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nil"/>
              <w:right w:val="nil"/>
            </w:tcBorders>
            <w:shd w:val="clear" w:color="auto" w:fill="auto"/>
          </w:tcPr>
          <w:p w14:paraId="4C258CA3" w14:textId="77777777" w:rsidR="008F16FC" w:rsidRPr="008F16FC" w:rsidRDefault="008F16FC" w:rsidP="008F16FC">
            <w:pPr>
              <w:jc w:val="right"/>
              <w:rPr>
                <w:rFonts w:eastAsia="Calibri"/>
                <w:sz w:val="20"/>
                <w:szCs w:val="20"/>
                <w:lang w:val="es-MX"/>
              </w:rPr>
            </w:pPr>
            <w:r w:rsidRPr="008F16FC">
              <w:rPr>
                <w:color w:val="000000"/>
                <w:sz w:val="20"/>
              </w:rPr>
              <w:t>4.034.890</w:t>
            </w:r>
          </w:p>
        </w:tc>
      </w:tr>
      <w:tr w:rsidR="008F16FC" w:rsidRPr="008F16FC" w14:paraId="399C8B24" w14:textId="77777777" w:rsidTr="00BA304B">
        <w:trPr>
          <w:trHeight w:val="300"/>
          <w:jc w:val="center"/>
        </w:trPr>
        <w:tc>
          <w:tcPr>
            <w:tcW w:w="2947" w:type="dxa"/>
            <w:tcBorders>
              <w:top w:val="nil"/>
              <w:left w:val="nil"/>
              <w:bottom w:val="nil"/>
              <w:right w:val="nil"/>
            </w:tcBorders>
            <w:shd w:val="clear" w:color="auto" w:fill="auto"/>
            <w:noWrap/>
            <w:vAlign w:val="center"/>
            <w:hideMark/>
          </w:tcPr>
          <w:p w14:paraId="76313F4C" w14:textId="77777777" w:rsidR="008F16FC" w:rsidRPr="008F16FC" w:rsidRDefault="008F16FC" w:rsidP="008F16FC">
            <w:pPr>
              <w:rPr>
                <w:rFonts w:eastAsia="Calibri"/>
                <w:sz w:val="20"/>
                <w:szCs w:val="20"/>
                <w:lang w:val="es-MX"/>
              </w:rPr>
            </w:pPr>
            <w:r w:rsidRPr="008F16FC">
              <w:rPr>
                <w:rFonts w:eastAsia="Calibri"/>
                <w:sz w:val="20"/>
                <w:szCs w:val="20"/>
                <w:lang w:val="es-MX"/>
              </w:rPr>
              <w:t>Total de Pasivos Corrientes</w:t>
            </w:r>
          </w:p>
        </w:tc>
        <w:tc>
          <w:tcPr>
            <w:tcW w:w="0" w:type="auto"/>
            <w:tcBorders>
              <w:top w:val="nil"/>
              <w:left w:val="nil"/>
              <w:bottom w:val="single" w:sz="4" w:space="0" w:color="auto"/>
              <w:right w:val="single" w:sz="4" w:space="0" w:color="auto"/>
            </w:tcBorders>
            <w:shd w:val="clear" w:color="auto" w:fill="auto"/>
            <w:vAlign w:val="center"/>
          </w:tcPr>
          <w:p w14:paraId="5A5644CA"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single" w:sz="4" w:space="0" w:color="auto"/>
              <w:right w:val="nil"/>
            </w:tcBorders>
            <w:shd w:val="clear" w:color="auto" w:fill="auto"/>
          </w:tcPr>
          <w:p w14:paraId="3A99CEBA" w14:textId="77777777" w:rsidR="008F16FC" w:rsidRPr="008F16FC" w:rsidRDefault="008F16FC" w:rsidP="008F16FC">
            <w:pPr>
              <w:jc w:val="right"/>
              <w:rPr>
                <w:rFonts w:eastAsia="Calibri"/>
                <w:sz w:val="20"/>
                <w:szCs w:val="20"/>
                <w:lang w:val="es-MX"/>
              </w:rPr>
            </w:pPr>
            <w:r w:rsidRPr="008F16FC">
              <w:rPr>
                <w:color w:val="000000"/>
                <w:sz w:val="20"/>
              </w:rPr>
              <w:t>3.983.590</w:t>
            </w:r>
          </w:p>
        </w:tc>
      </w:tr>
      <w:tr w:rsidR="008F16FC" w:rsidRPr="008F16FC" w14:paraId="26A8AE64" w14:textId="77777777" w:rsidTr="00BA304B">
        <w:trPr>
          <w:trHeight w:val="300"/>
          <w:jc w:val="center"/>
        </w:trPr>
        <w:tc>
          <w:tcPr>
            <w:tcW w:w="2947" w:type="dxa"/>
            <w:tcBorders>
              <w:top w:val="nil"/>
              <w:left w:val="nil"/>
              <w:bottom w:val="nil"/>
              <w:right w:val="nil"/>
            </w:tcBorders>
            <w:shd w:val="clear" w:color="auto" w:fill="auto"/>
            <w:noWrap/>
            <w:vAlign w:val="center"/>
            <w:hideMark/>
          </w:tcPr>
          <w:p w14:paraId="4592A830"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Liquidez</w:t>
            </w:r>
          </w:p>
        </w:tc>
        <w:tc>
          <w:tcPr>
            <w:tcW w:w="0" w:type="auto"/>
            <w:tcBorders>
              <w:top w:val="nil"/>
              <w:left w:val="nil"/>
              <w:bottom w:val="nil"/>
              <w:right w:val="single" w:sz="4" w:space="0" w:color="auto"/>
            </w:tcBorders>
            <w:shd w:val="clear" w:color="auto" w:fill="auto"/>
            <w:vAlign w:val="center"/>
          </w:tcPr>
          <w:p w14:paraId="264B178D"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bottom"/>
          </w:tcPr>
          <w:p w14:paraId="29D33518"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101%</w:t>
            </w:r>
          </w:p>
        </w:tc>
      </w:tr>
      <w:tr w:rsidR="008F16FC" w:rsidRPr="008F16FC" w14:paraId="685362FB" w14:textId="77777777" w:rsidTr="00BA304B">
        <w:trPr>
          <w:trHeight w:val="74"/>
          <w:jc w:val="center"/>
        </w:trPr>
        <w:tc>
          <w:tcPr>
            <w:tcW w:w="2947" w:type="dxa"/>
            <w:tcBorders>
              <w:top w:val="nil"/>
              <w:left w:val="nil"/>
              <w:bottom w:val="nil"/>
              <w:right w:val="nil"/>
            </w:tcBorders>
            <w:shd w:val="clear" w:color="auto" w:fill="auto"/>
            <w:noWrap/>
            <w:vAlign w:val="center"/>
            <w:hideMark/>
          </w:tcPr>
          <w:p w14:paraId="3036EF8C" w14:textId="77777777" w:rsidR="008F16FC" w:rsidRPr="008F16FC" w:rsidRDefault="008F16FC" w:rsidP="008F16FC">
            <w:pPr>
              <w:rPr>
                <w:rFonts w:eastAsia="Calibri"/>
                <w:b/>
                <w:bCs/>
                <w:sz w:val="20"/>
                <w:szCs w:val="20"/>
                <w:lang w:val="es-MX"/>
              </w:rPr>
            </w:pPr>
          </w:p>
        </w:tc>
        <w:tc>
          <w:tcPr>
            <w:tcW w:w="0" w:type="auto"/>
            <w:tcBorders>
              <w:top w:val="nil"/>
              <w:left w:val="nil"/>
              <w:bottom w:val="nil"/>
              <w:right w:val="single" w:sz="4" w:space="0" w:color="auto"/>
            </w:tcBorders>
            <w:shd w:val="clear" w:color="auto" w:fill="auto"/>
            <w:vAlign w:val="center"/>
          </w:tcPr>
          <w:p w14:paraId="469090B2"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center"/>
          </w:tcPr>
          <w:p w14:paraId="330BD767" w14:textId="77777777" w:rsidR="008F16FC" w:rsidRPr="008F16FC" w:rsidRDefault="008F16FC" w:rsidP="008F16FC">
            <w:pPr>
              <w:jc w:val="right"/>
              <w:rPr>
                <w:rFonts w:eastAsia="Calibri"/>
                <w:b/>
                <w:sz w:val="20"/>
                <w:szCs w:val="20"/>
                <w:lang w:val="es-MX"/>
              </w:rPr>
            </w:pPr>
          </w:p>
        </w:tc>
      </w:tr>
      <w:tr w:rsidR="008F16FC" w:rsidRPr="008F16FC" w14:paraId="4251694F" w14:textId="77777777" w:rsidTr="00BA304B">
        <w:trPr>
          <w:trHeight w:val="300"/>
          <w:jc w:val="center"/>
        </w:trPr>
        <w:tc>
          <w:tcPr>
            <w:tcW w:w="2947" w:type="dxa"/>
            <w:tcBorders>
              <w:top w:val="nil"/>
              <w:left w:val="nil"/>
              <w:bottom w:val="nil"/>
              <w:right w:val="nil"/>
            </w:tcBorders>
            <w:shd w:val="clear" w:color="auto" w:fill="auto"/>
            <w:noWrap/>
            <w:vAlign w:val="center"/>
            <w:hideMark/>
          </w:tcPr>
          <w:p w14:paraId="62092BD8" w14:textId="77777777" w:rsidR="008F16FC" w:rsidRPr="008F16FC" w:rsidRDefault="008F16FC" w:rsidP="008F16FC">
            <w:pPr>
              <w:rPr>
                <w:rFonts w:eastAsia="Calibri"/>
                <w:sz w:val="20"/>
                <w:szCs w:val="20"/>
                <w:lang w:val="es-MX"/>
              </w:rPr>
            </w:pPr>
            <w:r w:rsidRPr="008F16FC">
              <w:rPr>
                <w:rFonts w:eastAsia="Calibri"/>
                <w:sz w:val="20"/>
                <w:szCs w:val="20"/>
                <w:lang w:val="es-MX"/>
              </w:rPr>
              <w:t>Total de Patrimonio Neto</w:t>
            </w:r>
          </w:p>
        </w:tc>
        <w:tc>
          <w:tcPr>
            <w:tcW w:w="0" w:type="auto"/>
            <w:tcBorders>
              <w:top w:val="nil"/>
              <w:left w:val="nil"/>
              <w:bottom w:val="nil"/>
              <w:right w:val="single" w:sz="4" w:space="0" w:color="auto"/>
            </w:tcBorders>
            <w:shd w:val="clear" w:color="auto" w:fill="auto"/>
            <w:vAlign w:val="center"/>
          </w:tcPr>
          <w:p w14:paraId="14E3F68E" w14:textId="77777777" w:rsidR="008F16FC" w:rsidRPr="008F16FC" w:rsidDel="007644DD" w:rsidRDefault="008F16FC" w:rsidP="008F16FC">
            <w:pPr>
              <w:jc w:val="right"/>
              <w:rPr>
                <w:rFonts w:eastAsia="Calibri"/>
                <w:sz w:val="20"/>
                <w:szCs w:val="20"/>
                <w:lang w:val="es-MX"/>
              </w:rPr>
            </w:pPr>
          </w:p>
        </w:tc>
        <w:tc>
          <w:tcPr>
            <w:tcW w:w="0" w:type="auto"/>
            <w:tcBorders>
              <w:top w:val="nil"/>
              <w:left w:val="single" w:sz="4" w:space="0" w:color="auto"/>
              <w:bottom w:val="nil"/>
              <w:right w:val="nil"/>
            </w:tcBorders>
            <w:shd w:val="clear" w:color="auto" w:fill="auto"/>
          </w:tcPr>
          <w:p w14:paraId="08766D72" w14:textId="77777777" w:rsidR="008F16FC" w:rsidRPr="008F16FC" w:rsidRDefault="008F16FC" w:rsidP="008F16FC">
            <w:pPr>
              <w:jc w:val="right"/>
              <w:rPr>
                <w:rFonts w:eastAsia="Calibri"/>
                <w:sz w:val="20"/>
                <w:szCs w:val="20"/>
                <w:lang w:val="es-MX"/>
              </w:rPr>
            </w:pPr>
            <w:r w:rsidRPr="00BA304B">
              <w:rPr>
                <w:color w:val="000000"/>
                <w:sz w:val="20"/>
              </w:rPr>
              <w:t>954.641</w:t>
            </w:r>
          </w:p>
        </w:tc>
      </w:tr>
      <w:tr w:rsidR="008F16FC" w:rsidRPr="008F16FC" w14:paraId="21DB3F5F" w14:textId="77777777" w:rsidTr="00BA304B">
        <w:trPr>
          <w:trHeight w:val="300"/>
          <w:jc w:val="center"/>
        </w:trPr>
        <w:tc>
          <w:tcPr>
            <w:tcW w:w="2947" w:type="dxa"/>
            <w:tcBorders>
              <w:top w:val="nil"/>
              <w:left w:val="nil"/>
              <w:bottom w:val="nil"/>
              <w:right w:val="nil"/>
            </w:tcBorders>
            <w:shd w:val="clear" w:color="auto" w:fill="auto"/>
            <w:noWrap/>
            <w:vAlign w:val="center"/>
            <w:hideMark/>
          </w:tcPr>
          <w:p w14:paraId="4841CCB2" w14:textId="77777777" w:rsidR="008F16FC" w:rsidRPr="008F16FC" w:rsidRDefault="008F16FC" w:rsidP="008F16FC">
            <w:pPr>
              <w:rPr>
                <w:rFonts w:eastAsia="Calibri"/>
                <w:sz w:val="20"/>
                <w:szCs w:val="20"/>
                <w:lang w:val="es-MX"/>
              </w:rPr>
            </w:pPr>
            <w:r w:rsidRPr="008F16FC">
              <w:rPr>
                <w:rFonts w:eastAsia="Calibri"/>
                <w:sz w:val="20"/>
                <w:szCs w:val="20"/>
                <w:lang w:val="es-MX"/>
              </w:rPr>
              <w:t>Total de Pasivos</w:t>
            </w:r>
          </w:p>
        </w:tc>
        <w:tc>
          <w:tcPr>
            <w:tcW w:w="0" w:type="auto"/>
            <w:tcBorders>
              <w:top w:val="nil"/>
              <w:left w:val="nil"/>
              <w:bottom w:val="single" w:sz="4" w:space="0" w:color="auto"/>
              <w:right w:val="single" w:sz="4" w:space="0" w:color="auto"/>
            </w:tcBorders>
            <w:shd w:val="clear" w:color="auto" w:fill="auto"/>
            <w:vAlign w:val="center"/>
          </w:tcPr>
          <w:p w14:paraId="1F56B011" w14:textId="77777777" w:rsidR="008F16FC" w:rsidRPr="008F16FC" w:rsidDel="007644DD" w:rsidRDefault="008F16FC" w:rsidP="008F16FC">
            <w:pPr>
              <w:jc w:val="right"/>
              <w:rPr>
                <w:rFonts w:eastAsia="Calibri"/>
                <w:sz w:val="20"/>
                <w:szCs w:val="20"/>
                <w:lang w:val="es-MX"/>
              </w:rPr>
            </w:pPr>
          </w:p>
        </w:tc>
        <w:tc>
          <w:tcPr>
            <w:tcW w:w="0" w:type="auto"/>
            <w:tcBorders>
              <w:top w:val="nil"/>
              <w:left w:val="single" w:sz="4" w:space="0" w:color="auto"/>
              <w:bottom w:val="single" w:sz="4" w:space="0" w:color="auto"/>
              <w:right w:val="nil"/>
            </w:tcBorders>
            <w:shd w:val="clear" w:color="auto" w:fill="auto"/>
          </w:tcPr>
          <w:p w14:paraId="5BAD4920" w14:textId="77777777" w:rsidR="008F16FC" w:rsidRPr="008F16FC" w:rsidRDefault="008F16FC" w:rsidP="008F16FC">
            <w:pPr>
              <w:jc w:val="right"/>
              <w:rPr>
                <w:rFonts w:eastAsia="Calibri"/>
                <w:sz w:val="20"/>
                <w:szCs w:val="20"/>
                <w:lang w:val="es-MX"/>
              </w:rPr>
            </w:pPr>
            <w:r w:rsidRPr="00BA304B">
              <w:rPr>
                <w:color w:val="000000"/>
                <w:sz w:val="20"/>
              </w:rPr>
              <w:t>4.271.046</w:t>
            </w:r>
          </w:p>
        </w:tc>
      </w:tr>
      <w:tr w:rsidR="008F16FC" w:rsidRPr="008F16FC" w14:paraId="5E0292CC" w14:textId="77777777" w:rsidTr="00BA304B">
        <w:trPr>
          <w:trHeight w:val="300"/>
          <w:jc w:val="center"/>
        </w:trPr>
        <w:tc>
          <w:tcPr>
            <w:tcW w:w="2947" w:type="dxa"/>
            <w:tcBorders>
              <w:top w:val="nil"/>
              <w:left w:val="nil"/>
              <w:bottom w:val="nil"/>
              <w:right w:val="nil"/>
            </w:tcBorders>
            <w:shd w:val="clear" w:color="auto" w:fill="auto"/>
            <w:noWrap/>
            <w:vAlign w:val="center"/>
            <w:hideMark/>
          </w:tcPr>
          <w:p w14:paraId="731AE4D1"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Solvencia</w:t>
            </w:r>
          </w:p>
        </w:tc>
        <w:tc>
          <w:tcPr>
            <w:tcW w:w="0" w:type="auto"/>
            <w:tcBorders>
              <w:top w:val="nil"/>
              <w:left w:val="nil"/>
              <w:bottom w:val="nil"/>
              <w:right w:val="single" w:sz="4" w:space="0" w:color="auto"/>
            </w:tcBorders>
            <w:shd w:val="clear" w:color="auto" w:fill="auto"/>
            <w:vAlign w:val="center"/>
          </w:tcPr>
          <w:p w14:paraId="69C926CD"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bottom"/>
          </w:tcPr>
          <w:p w14:paraId="64E2707F"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22%</w:t>
            </w:r>
          </w:p>
        </w:tc>
      </w:tr>
      <w:tr w:rsidR="008F16FC" w:rsidRPr="008F16FC" w14:paraId="5E5252DB" w14:textId="77777777" w:rsidTr="00BA304B">
        <w:trPr>
          <w:trHeight w:val="74"/>
          <w:jc w:val="center"/>
        </w:trPr>
        <w:tc>
          <w:tcPr>
            <w:tcW w:w="2947" w:type="dxa"/>
            <w:tcBorders>
              <w:top w:val="nil"/>
              <w:left w:val="nil"/>
              <w:bottom w:val="nil"/>
              <w:right w:val="nil"/>
            </w:tcBorders>
            <w:shd w:val="clear" w:color="auto" w:fill="auto"/>
            <w:noWrap/>
            <w:vAlign w:val="bottom"/>
            <w:hideMark/>
          </w:tcPr>
          <w:p w14:paraId="23C69412" w14:textId="77777777" w:rsidR="008F16FC" w:rsidRPr="008F16FC" w:rsidRDefault="008F16FC" w:rsidP="008F16FC">
            <w:pPr>
              <w:jc w:val="right"/>
              <w:rPr>
                <w:rFonts w:eastAsia="Calibri"/>
                <w:b/>
                <w:bCs/>
                <w:sz w:val="20"/>
                <w:szCs w:val="20"/>
                <w:lang w:val="es-MX"/>
              </w:rPr>
            </w:pPr>
          </w:p>
        </w:tc>
        <w:tc>
          <w:tcPr>
            <w:tcW w:w="0" w:type="auto"/>
            <w:tcBorders>
              <w:top w:val="nil"/>
              <w:left w:val="nil"/>
              <w:bottom w:val="nil"/>
              <w:right w:val="single" w:sz="4" w:space="0" w:color="auto"/>
            </w:tcBorders>
            <w:shd w:val="clear" w:color="auto" w:fill="auto"/>
            <w:vAlign w:val="center"/>
          </w:tcPr>
          <w:p w14:paraId="142B48F7"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nil"/>
              <w:right w:val="nil"/>
            </w:tcBorders>
            <w:shd w:val="clear" w:color="auto" w:fill="auto"/>
            <w:vAlign w:val="bottom"/>
          </w:tcPr>
          <w:p w14:paraId="5B9AD7B6" w14:textId="77777777" w:rsidR="008F16FC" w:rsidRPr="008F16FC" w:rsidRDefault="008F16FC" w:rsidP="008F16FC">
            <w:pPr>
              <w:rPr>
                <w:rFonts w:eastAsia="Calibri"/>
                <w:sz w:val="20"/>
                <w:szCs w:val="20"/>
                <w:lang w:val="es-MX"/>
              </w:rPr>
            </w:pPr>
          </w:p>
        </w:tc>
      </w:tr>
      <w:tr w:rsidR="008F16FC" w:rsidRPr="008F16FC" w14:paraId="4ABB626D" w14:textId="77777777" w:rsidTr="00BA304B">
        <w:trPr>
          <w:trHeight w:val="300"/>
          <w:jc w:val="center"/>
        </w:trPr>
        <w:tc>
          <w:tcPr>
            <w:tcW w:w="2947" w:type="dxa"/>
            <w:tcBorders>
              <w:top w:val="nil"/>
              <w:left w:val="nil"/>
              <w:bottom w:val="nil"/>
              <w:right w:val="nil"/>
            </w:tcBorders>
            <w:shd w:val="clear" w:color="auto" w:fill="auto"/>
            <w:noWrap/>
            <w:vAlign w:val="center"/>
            <w:hideMark/>
          </w:tcPr>
          <w:p w14:paraId="1741916C" w14:textId="77777777" w:rsidR="008F16FC" w:rsidRPr="008F16FC" w:rsidRDefault="008F16FC" w:rsidP="008F16FC">
            <w:pPr>
              <w:rPr>
                <w:rFonts w:eastAsia="Calibri"/>
                <w:sz w:val="20"/>
                <w:szCs w:val="20"/>
                <w:lang w:val="es-MX"/>
              </w:rPr>
            </w:pPr>
            <w:r w:rsidRPr="008F16FC">
              <w:rPr>
                <w:rFonts w:eastAsia="Calibri"/>
                <w:sz w:val="20"/>
                <w:szCs w:val="20"/>
                <w:lang w:val="es-MX"/>
              </w:rPr>
              <w:t>Total de Activos No Corrientes</w:t>
            </w:r>
          </w:p>
        </w:tc>
        <w:tc>
          <w:tcPr>
            <w:tcW w:w="360" w:type="dxa"/>
            <w:tcBorders>
              <w:top w:val="nil"/>
              <w:left w:val="nil"/>
              <w:bottom w:val="nil"/>
              <w:right w:val="single" w:sz="4" w:space="0" w:color="auto"/>
            </w:tcBorders>
            <w:shd w:val="clear" w:color="auto" w:fill="auto"/>
            <w:vAlign w:val="center"/>
          </w:tcPr>
          <w:p w14:paraId="4974AB5C" w14:textId="77777777" w:rsidR="008F16FC" w:rsidRPr="008F16FC" w:rsidRDefault="008F16FC" w:rsidP="008F16FC">
            <w:pPr>
              <w:jc w:val="right"/>
              <w:rPr>
                <w:rFonts w:eastAsia="Calibri"/>
                <w:sz w:val="20"/>
                <w:szCs w:val="20"/>
                <w:lang w:val="es-MX"/>
              </w:rPr>
            </w:pPr>
          </w:p>
        </w:tc>
        <w:tc>
          <w:tcPr>
            <w:tcW w:w="1670" w:type="dxa"/>
            <w:tcBorders>
              <w:top w:val="nil"/>
              <w:left w:val="single" w:sz="4" w:space="0" w:color="auto"/>
              <w:bottom w:val="nil"/>
              <w:right w:val="nil"/>
            </w:tcBorders>
            <w:shd w:val="clear" w:color="auto" w:fill="auto"/>
          </w:tcPr>
          <w:p w14:paraId="1BDEBB12" w14:textId="77777777" w:rsidR="008F16FC" w:rsidRPr="008F16FC" w:rsidRDefault="008F16FC" w:rsidP="008F16FC">
            <w:pPr>
              <w:jc w:val="right"/>
              <w:rPr>
                <w:rFonts w:eastAsia="Calibri"/>
                <w:sz w:val="20"/>
                <w:szCs w:val="20"/>
                <w:lang w:val="es-MX"/>
              </w:rPr>
            </w:pPr>
            <w:r w:rsidRPr="008F16FC">
              <w:rPr>
                <w:color w:val="000000"/>
                <w:sz w:val="20"/>
              </w:rPr>
              <w:t>1.190.797</w:t>
            </w:r>
          </w:p>
        </w:tc>
      </w:tr>
      <w:tr w:rsidR="008F16FC" w:rsidRPr="008F16FC" w14:paraId="276FEA17" w14:textId="77777777" w:rsidTr="00BA304B">
        <w:trPr>
          <w:trHeight w:val="300"/>
          <w:jc w:val="center"/>
        </w:trPr>
        <w:tc>
          <w:tcPr>
            <w:tcW w:w="2947" w:type="dxa"/>
            <w:tcBorders>
              <w:top w:val="nil"/>
              <w:left w:val="nil"/>
              <w:bottom w:val="nil"/>
              <w:right w:val="nil"/>
            </w:tcBorders>
            <w:shd w:val="clear" w:color="auto" w:fill="auto"/>
            <w:noWrap/>
            <w:vAlign w:val="center"/>
            <w:hideMark/>
          </w:tcPr>
          <w:p w14:paraId="11BBD4FB" w14:textId="77777777" w:rsidR="008F16FC" w:rsidRPr="008F16FC" w:rsidRDefault="008F16FC" w:rsidP="008F16FC">
            <w:pPr>
              <w:rPr>
                <w:rFonts w:eastAsia="Calibri"/>
                <w:sz w:val="20"/>
                <w:szCs w:val="20"/>
                <w:lang w:val="es-MX"/>
              </w:rPr>
            </w:pPr>
            <w:r w:rsidRPr="008F16FC">
              <w:rPr>
                <w:rFonts w:eastAsia="Calibri"/>
                <w:sz w:val="20"/>
                <w:szCs w:val="20"/>
                <w:lang w:val="es-MX"/>
              </w:rPr>
              <w:t>Total de Activos</w:t>
            </w:r>
          </w:p>
        </w:tc>
        <w:tc>
          <w:tcPr>
            <w:tcW w:w="0" w:type="auto"/>
            <w:tcBorders>
              <w:top w:val="nil"/>
              <w:left w:val="nil"/>
              <w:bottom w:val="single" w:sz="4" w:space="0" w:color="auto"/>
              <w:right w:val="single" w:sz="4" w:space="0" w:color="auto"/>
            </w:tcBorders>
            <w:shd w:val="clear" w:color="auto" w:fill="auto"/>
            <w:vAlign w:val="center"/>
          </w:tcPr>
          <w:p w14:paraId="6DE64B71" w14:textId="77777777" w:rsidR="008F16FC" w:rsidRPr="008F16FC" w:rsidDel="007644DD" w:rsidRDefault="008F16FC" w:rsidP="008F16FC">
            <w:pPr>
              <w:jc w:val="right"/>
              <w:rPr>
                <w:rFonts w:eastAsia="Calibri"/>
                <w:bCs/>
                <w:sz w:val="20"/>
                <w:szCs w:val="20"/>
                <w:lang w:val="es-MX"/>
              </w:rPr>
            </w:pPr>
          </w:p>
        </w:tc>
        <w:tc>
          <w:tcPr>
            <w:tcW w:w="0" w:type="auto"/>
            <w:tcBorders>
              <w:top w:val="nil"/>
              <w:left w:val="single" w:sz="4" w:space="0" w:color="auto"/>
              <w:bottom w:val="single" w:sz="4" w:space="0" w:color="auto"/>
              <w:right w:val="nil"/>
            </w:tcBorders>
            <w:shd w:val="clear" w:color="auto" w:fill="auto"/>
          </w:tcPr>
          <w:p w14:paraId="36E918F9" w14:textId="77777777" w:rsidR="008F16FC" w:rsidRPr="008F16FC" w:rsidRDefault="008F16FC" w:rsidP="008F16FC">
            <w:pPr>
              <w:jc w:val="right"/>
              <w:rPr>
                <w:rFonts w:eastAsia="Calibri"/>
                <w:sz w:val="20"/>
                <w:szCs w:val="20"/>
                <w:lang w:val="es-MX"/>
              </w:rPr>
            </w:pPr>
            <w:r w:rsidRPr="00BA304B">
              <w:rPr>
                <w:color w:val="000000"/>
                <w:sz w:val="20"/>
              </w:rPr>
              <w:t>5.225.687</w:t>
            </w:r>
          </w:p>
        </w:tc>
      </w:tr>
      <w:tr w:rsidR="008F16FC" w:rsidRPr="008F16FC" w14:paraId="1790211F" w14:textId="77777777" w:rsidTr="00BA304B">
        <w:trPr>
          <w:trHeight w:val="300"/>
          <w:jc w:val="center"/>
        </w:trPr>
        <w:tc>
          <w:tcPr>
            <w:tcW w:w="2947" w:type="dxa"/>
            <w:tcBorders>
              <w:top w:val="nil"/>
              <w:left w:val="nil"/>
              <w:bottom w:val="nil"/>
              <w:right w:val="nil"/>
            </w:tcBorders>
            <w:shd w:val="clear" w:color="auto" w:fill="auto"/>
            <w:noWrap/>
            <w:vAlign w:val="center"/>
            <w:hideMark/>
          </w:tcPr>
          <w:p w14:paraId="0B7441D6"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Inmovilización del capital</w:t>
            </w:r>
          </w:p>
        </w:tc>
        <w:tc>
          <w:tcPr>
            <w:tcW w:w="0" w:type="auto"/>
            <w:tcBorders>
              <w:top w:val="nil"/>
              <w:left w:val="nil"/>
              <w:bottom w:val="nil"/>
              <w:right w:val="single" w:sz="4" w:space="0" w:color="auto"/>
            </w:tcBorders>
            <w:shd w:val="clear" w:color="auto" w:fill="auto"/>
            <w:vAlign w:val="center"/>
          </w:tcPr>
          <w:p w14:paraId="060E5B2E"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bottom"/>
          </w:tcPr>
          <w:p w14:paraId="6FCC9C2B"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23%</w:t>
            </w:r>
          </w:p>
        </w:tc>
      </w:tr>
      <w:tr w:rsidR="008F16FC" w:rsidRPr="008F16FC" w14:paraId="6BCDE165" w14:textId="77777777" w:rsidTr="00BA304B">
        <w:trPr>
          <w:trHeight w:val="74"/>
          <w:jc w:val="center"/>
        </w:trPr>
        <w:tc>
          <w:tcPr>
            <w:tcW w:w="2947" w:type="dxa"/>
            <w:tcBorders>
              <w:top w:val="nil"/>
              <w:left w:val="nil"/>
              <w:bottom w:val="nil"/>
              <w:right w:val="nil"/>
            </w:tcBorders>
            <w:shd w:val="clear" w:color="auto" w:fill="auto"/>
            <w:noWrap/>
            <w:vAlign w:val="bottom"/>
            <w:hideMark/>
          </w:tcPr>
          <w:p w14:paraId="0F5373B6" w14:textId="77777777" w:rsidR="008F16FC" w:rsidRPr="008F16FC" w:rsidRDefault="008F16FC" w:rsidP="008F16FC">
            <w:pPr>
              <w:jc w:val="right"/>
              <w:rPr>
                <w:rFonts w:eastAsia="Calibri"/>
                <w:b/>
                <w:bCs/>
                <w:sz w:val="20"/>
                <w:szCs w:val="20"/>
                <w:lang w:val="es-MX"/>
              </w:rPr>
            </w:pPr>
          </w:p>
        </w:tc>
        <w:tc>
          <w:tcPr>
            <w:tcW w:w="0" w:type="auto"/>
            <w:tcBorders>
              <w:top w:val="nil"/>
              <w:left w:val="nil"/>
              <w:bottom w:val="nil"/>
              <w:right w:val="single" w:sz="4" w:space="0" w:color="auto"/>
            </w:tcBorders>
            <w:shd w:val="clear" w:color="auto" w:fill="auto"/>
            <w:vAlign w:val="center"/>
          </w:tcPr>
          <w:p w14:paraId="0F8AD19B"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nil"/>
              <w:right w:val="nil"/>
            </w:tcBorders>
            <w:shd w:val="clear" w:color="auto" w:fill="auto"/>
            <w:vAlign w:val="bottom"/>
          </w:tcPr>
          <w:p w14:paraId="5B97DB88" w14:textId="77777777" w:rsidR="008F16FC" w:rsidRPr="008F16FC" w:rsidRDefault="008F16FC" w:rsidP="008F16FC">
            <w:pPr>
              <w:rPr>
                <w:rFonts w:eastAsia="Calibri"/>
                <w:sz w:val="20"/>
                <w:szCs w:val="20"/>
                <w:lang w:val="es-MX"/>
              </w:rPr>
            </w:pPr>
          </w:p>
        </w:tc>
      </w:tr>
      <w:tr w:rsidR="008F16FC" w:rsidRPr="008F16FC" w14:paraId="2D80240B" w14:textId="77777777" w:rsidTr="00BA304B">
        <w:trPr>
          <w:trHeight w:val="300"/>
          <w:jc w:val="center"/>
        </w:trPr>
        <w:tc>
          <w:tcPr>
            <w:tcW w:w="2947" w:type="dxa"/>
            <w:tcBorders>
              <w:top w:val="nil"/>
              <w:left w:val="nil"/>
              <w:bottom w:val="nil"/>
              <w:right w:val="nil"/>
            </w:tcBorders>
            <w:shd w:val="clear" w:color="auto" w:fill="auto"/>
            <w:noWrap/>
            <w:vAlign w:val="center"/>
            <w:hideMark/>
          </w:tcPr>
          <w:p w14:paraId="544CDC99" w14:textId="77777777" w:rsidR="008F16FC" w:rsidRPr="008F16FC" w:rsidRDefault="008F16FC" w:rsidP="008F16FC">
            <w:pPr>
              <w:rPr>
                <w:rFonts w:eastAsia="Calibri"/>
                <w:sz w:val="20"/>
                <w:szCs w:val="20"/>
                <w:lang w:val="es-MX"/>
              </w:rPr>
            </w:pPr>
            <w:r w:rsidRPr="008F16FC">
              <w:rPr>
                <w:rFonts w:eastAsia="Calibri"/>
                <w:sz w:val="20"/>
                <w:szCs w:val="20"/>
                <w:lang w:val="es-MX"/>
              </w:rPr>
              <w:t>Resultado del ejercicio</w:t>
            </w:r>
          </w:p>
        </w:tc>
        <w:tc>
          <w:tcPr>
            <w:tcW w:w="0" w:type="auto"/>
            <w:tcBorders>
              <w:top w:val="nil"/>
              <w:left w:val="nil"/>
              <w:bottom w:val="nil"/>
              <w:right w:val="single" w:sz="4" w:space="0" w:color="auto"/>
            </w:tcBorders>
            <w:shd w:val="clear" w:color="auto" w:fill="auto"/>
            <w:vAlign w:val="center"/>
          </w:tcPr>
          <w:p w14:paraId="23B7ABA1" w14:textId="77777777" w:rsidR="008F16FC" w:rsidRPr="008F16FC" w:rsidRDefault="008F16FC" w:rsidP="008F16FC">
            <w:pPr>
              <w:jc w:val="right"/>
              <w:rPr>
                <w:rFonts w:eastAsia="Calibri"/>
                <w:bCs/>
                <w:sz w:val="20"/>
                <w:szCs w:val="20"/>
                <w:lang w:val="es-MX"/>
              </w:rPr>
            </w:pPr>
          </w:p>
        </w:tc>
        <w:tc>
          <w:tcPr>
            <w:tcW w:w="0" w:type="auto"/>
            <w:tcBorders>
              <w:top w:val="nil"/>
              <w:left w:val="single" w:sz="4" w:space="0" w:color="auto"/>
              <w:bottom w:val="nil"/>
              <w:right w:val="nil"/>
            </w:tcBorders>
            <w:shd w:val="clear" w:color="auto" w:fill="auto"/>
            <w:vAlign w:val="center"/>
          </w:tcPr>
          <w:p w14:paraId="5840155B" w14:textId="77777777" w:rsidR="008F16FC" w:rsidRPr="008F16FC" w:rsidRDefault="008F16FC" w:rsidP="008F16FC">
            <w:pPr>
              <w:jc w:val="right"/>
              <w:rPr>
                <w:rFonts w:eastAsia="Calibri"/>
                <w:sz w:val="20"/>
                <w:szCs w:val="20"/>
                <w:lang w:val="es-MX"/>
              </w:rPr>
            </w:pPr>
            <w:r w:rsidRPr="008F16FC">
              <w:rPr>
                <w:color w:val="000000"/>
                <w:sz w:val="20"/>
              </w:rPr>
              <w:t>25.038</w:t>
            </w:r>
          </w:p>
        </w:tc>
      </w:tr>
      <w:tr w:rsidR="008F16FC" w:rsidRPr="008F16FC" w14:paraId="31393DBB" w14:textId="77777777" w:rsidTr="00BA304B">
        <w:trPr>
          <w:trHeight w:val="300"/>
          <w:jc w:val="center"/>
        </w:trPr>
        <w:tc>
          <w:tcPr>
            <w:tcW w:w="2947" w:type="dxa"/>
            <w:tcBorders>
              <w:top w:val="nil"/>
              <w:left w:val="nil"/>
              <w:bottom w:val="nil"/>
              <w:right w:val="nil"/>
            </w:tcBorders>
            <w:shd w:val="clear" w:color="auto" w:fill="auto"/>
            <w:noWrap/>
            <w:vAlign w:val="center"/>
            <w:hideMark/>
          </w:tcPr>
          <w:p w14:paraId="27F387A0" w14:textId="77777777" w:rsidR="008F16FC" w:rsidRPr="008F16FC" w:rsidRDefault="008F16FC" w:rsidP="008F16FC">
            <w:pPr>
              <w:rPr>
                <w:rFonts w:eastAsia="Calibri"/>
                <w:sz w:val="20"/>
                <w:szCs w:val="20"/>
                <w:lang w:val="es-MX"/>
              </w:rPr>
            </w:pPr>
            <w:r w:rsidRPr="008F16FC">
              <w:rPr>
                <w:rFonts w:eastAsia="Calibri"/>
                <w:sz w:val="20"/>
                <w:szCs w:val="20"/>
                <w:lang w:val="es-MX"/>
              </w:rPr>
              <w:t>Total de Patrimonio Neto al inicio</w:t>
            </w:r>
          </w:p>
        </w:tc>
        <w:tc>
          <w:tcPr>
            <w:tcW w:w="0" w:type="auto"/>
            <w:tcBorders>
              <w:top w:val="nil"/>
              <w:left w:val="nil"/>
              <w:bottom w:val="nil"/>
              <w:right w:val="single" w:sz="4" w:space="0" w:color="auto"/>
            </w:tcBorders>
            <w:shd w:val="clear" w:color="auto" w:fill="auto"/>
            <w:vAlign w:val="center"/>
          </w:tcPr>
          <w:p w14:paraId="44A6BF7F"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nil"/>
              <w:right w:val="nil"/>
            </w:tcBorders>
            <w:shd w:val="clear" w:color="auto" w:fill="auto"/>
          </w:tcPr>
          <w:p w14:paraId="4C0D31B8" w14:textId="77777777" w:rsidR="008F16FC" w:rsidRPr="008F16FC" w:rsidRDefault="008F16FC" w:rsidP="008F16FC">
            <w:pPr>
              <w:jc w:val="right"/>
              <w:rPr>
                <w:rFonts w:eastAsia="Calibri"/>
                <w:sz w:val="20"/>
                <w:szCs w:val="20"/>
                <w:lang w:val="es-MX"/>
              </w:rPr>
            </w:pPr>
            <w:r w:rsidRPr="008F16FC">
              <w:rPr>
                <w:rFonts w:eastAsia="Calibri"/>
                <w:sz w:val="20"/>
                <w:szCs w:val="20"/>
                <w:lang w:val="es-MX"/>
              </w:rPr>
              <w:t>934.900</w:t>
            </w:r>
          </w:p>
        </w:tc>
      </w:tr>
      <w:tr w:rsidR="008F16FC" w:rsidRPr="008F16FC" w14:paraId="31921D71" w14:textId="77777777" w:rsidTr="00BA304B">
        <w:trPr>
          <w:trHeight w:val="300"/>
          <w:jc w:val="center"/>
        </w:trPr>
        <w:tc>
          <w:tcPr>
            <w:tcW w:w="2947" w:type="dxa"/>
            <w:tcBorders>
              <w:top w:val="nil"/>
              <w:left w:val="nil"/>
              <w:bottom w:val="nil"/>
              <w:right w:val="nil"/>
            </w:tcBorders>
            <w:shd w:val="clear" w:color="auto" w:fill="auto"/>
            <w:noWrap/>
            <w:vAlign w:val="center"/>
            <w:hideMark/>
          </w:tcPr>
          <w:p w14:paraId="7C01F942" w14:textId="77777777" w:rsidR="008F16FC" w:rsidRPr="008F16FC" w:rsidRDefault="008F16FC" w:rsidP="008F16FC">
            <w:pPr>
              <w:rPr>
                <w:rFonts w:eastAsia="Calibri"/>
                <w:sz w:val="20"/>
                <w:szCs w:val="20"/>
                <w:lang w:val="es-MX"/>
              </w:rPr>
            </w:pPr>
            <w:r w:rsidRPr="008F16FC">
              <w:rPr>
                <w:rFonts w:eastAsia="Calibri"/>
                <w:sz w:val="20"/>
                <w:szCs w:val="20"/>
                <w:lang w:val="es-MX"/>
              </w:rPr>
              <w:t>Total de Patrimonio Neto al cierre</w:t>
            </w:r>
          </w:p>
        </w:tc>
        <w:tc>
          <w:tcPr>
            <w:tcW w:w="0" w:type="auto"/>
            <w:tcBorders>
              <w:top w:val="nil"/>
              <w:left w:val="nil"/>
              <w:bottom w:val="single" w:sz="4" w:space="0" w:color="auto"/>
              <w:right w:val="single" w:sz="4" w:space="0" w:color="auto"/>
            </w:tcBorders>
            <w:shd w:val="clear" w:color="auto" w:fill="auto"/>
            <w:vAlign w:val="center"/>
          </w:tcPr>
          <w:p w14:paraId="72C4605F"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single" w:sz="4" w:space="0" w:color="auto"/>
              <w:right w:val="nil"/>
            </w:tcBorders>
            <w:shd w:val="clear" w:color="auto" w:fill="auto"/>
          </w:tcPr>
          <w:p w14:paraId="72B1FF0A" w14:textId="77777777" w:rsidR="008F16FC" w:rsidRPr="008F16FC" w:rsidRDefault="008F16FC" w:rsidP="008F16FC">
            <w:pPr>
              <w:jc w:val="right"/>
              <w:rPr>
                <w:rFonts w:eastAsia="Calibri"/>
                <w:sz w:val="20"/>
                <w:szCs w:val="20"/>
                <w:lang w:val="es-MX"/>
              </w:rPr>
            </w:pPr>
            <w:r w:rsidRPr="00BA304B">
              <w:rPr>
                <w:color w:val="000000"/>
                <w:sz w:val="20"/>
              </w:rPr>
              <w:t>954.641</w:t>
            </w:r>
          </w:p>
        </w:tc>
      </w:tr>
      <w:tr w:rsidR="008F16FC" w:rsidRPr="008F16FC" w14:paraId="6076970B" w14:textId="77777777" w:rsidTr="00BA304B">
        <w:trPr>
          <w:trHeight w:val="300"/>
          <w:jc w:val="center"/>
        </w:trPr>
        <w:tc>
          <w:tcPr>
            <w:tcW w:w="2947" w:type="dxa"/>
            <w:tcBorders>
              <w:top w:val="nil"/>
              <w:left w:val="nil"/>
              <w:bottom w:val="nil"/>
              <w:right w:val="nil"/>
            </w:tcBorders>
            <w:shd w:val="clear" w:color="auto" w:fill="auto"/>
            <w:noWrap/>
            <w:vAlign w:val="center"/>
            <w:hideMark/>
          </w:tcPr>
          <w:p w14:paraId="4D8046CD"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Rentabilidad</w:t>
            </w:r>
          </w:p>
        </w:tc>
        <w:tc>
          <w:tcPr>
            <w:tcW w:w="0" w:type="auto"/>
            <w:tcBorders>
              <w:top w:val="nil"/>
              <w:left w:val="nil"/>
              <w:bottom w:val="nil"/>
              <w:right w:val="single" w:sz="4" w:space="0" w:color="auto"/>
            </w:tcBorders>
            <w:shd w:val="clear" w:color="auto" w:fill="auto"/>
            <w:vAlign w:val="center"/>
          </w:tcPr>
          <w:p w14:paraId="4D28FCA4"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bottom"/>
          </w:tcPr>
          <w:p w14:paraId="3870F512"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3%</w:t>
            </w:r>
          </w:p>
        </w:tc>
      </w:tr>
    </w:tbl>
    <w:p w14:paraId="408D633A" w14:textId="77777777" w:rsidR="008F16FC" w:rsidRPr="008F16FC" w:rsidRDefault="008F16FC" w:rsidP="008F16FC">
      <w:pPr>
        <w:rPr>
          <w:rFonts w:eastAsia="Calibri"/>
          <w:b/>
          <w:bCs/>
          <w:sz w:val="20"/>
          <w:szCs w:val="20"/>
          <w:lang w:val="es-MX"/>
        </w:rPr>
      </w:pPr>
    </w:p>
    <w:p w14:paraId="0B2486EF" w14:textId="77777777" w:rsidR="008F16FC" w:rsidRPr="008F16FC" w:rsidRDefault="008F16FC" w:rsidP="008F16FC">
      <w:pPr>
        <w:jc w:val="both"/>
        <w:rPr>
          <w:rFonts w:eastAsia="Calibri"/>
          <w:b/>
          <w:sz w:val="20"/>
          <w:szCs w:val="20"/>
          <w:lang w:val="es-MX"/>
        </w:rPr>
      </w:pPr>
      <w:r w:rsidRPr="008F16FC">
        <w:rPr>
          <w:rFonts w:eastAsia="Calibri"/>
          <w:color w:val="000000"/>
          <w:sz w:val="20"/>
          <w:szCs w:val="20"/>
          <w:lang w:val="es-MX"/>
        </w:rPr>
        <w:t>El cuadro expuesto a continuación presenta los principales indicadores de INVAP para el período intermedio de tres meses finalizado el 30 de septiembre de 2019, en comparación a los principales indicadores de INVAP para el ejercicio económico finalizado el 30 de junio de 2019:</w:t>
      </w:r>
    </w:p>
    <w:p w14:paraId="135930A8" w14:textId="77777777" w:rsidR="008F16FC" w:rsidRPr="008F16FC" w:rsidRDefault="008F16FC" w:rsidP="008F16FC">
      <w:pPr>
        <w:rPr>
          <w:rFonts w:eastAsia="Calibri"/>
          <w:b/>
          <w:bCs/>
          <w:sz w:val="20"/>
          <w:szCs w:val="20"/>
          <w:lang w:val="es-MX"/>
        </w:rPr>
      </w:pPr>
    </w:p>
    <w:tbl>
      <w:tblPr>
        <w:tblW w:w="0" w:type="auto"/>
        <w:jc w:val="center"/>
        <w:tblCellMar>
          <w:left w:w="70" w:type="dxa"/>
          <w:right w:w="70" w:type="dxa"/>
        </w:tblCellMar>
        <w:tblLook w:val="04A0" w:firstRow="1" w:lastRow="0" w:firstColumn="1" w:lastColumn="0" w:noHBand="0" w:noVBand="1"/>
      </w:tblPr>
      <w:tblGrid>
        <w:gridCol w:w="2947"/>
        <w:gridCol w:w="360"/>
        <w:gridCol w:w="1670"/>
        <w:gridCol w:w="1670"/>
      </w:tblGrid>
      <w:tr w:rsidR="008F16FC" w:rsidRPr="008F16FC" w14:paraId="4C721217" w14:textId="77777777" w:rsidTr="008F16FC">
        <w:trPr>
          <w:trHeight w:val="300"/>
          <w:jc w:val="center"/>
        </w:trPr>
        <w:tc>
          <w:tcPr>
            <w:tcW w:w="2947" w:type="dxa"/>
            <w:tcBorders>
              <w:top w:val="nil"/>
              <w:left w:val="nil"/>
              <w:bottom w:val="nil"/>
              <w:right w:val="nil"/>
            </w:tcBorders>
            <w:shd w:val="clear" w:color="auto" w:fill="auto"/>
            <w:noWrap/>
            <w:vAlign w:val="bottom"/>
            <w:hideMark/>
          </w:tcPr>
          <w:p w14:paraId="5FAC487D"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 </w:t>
            </w:r>
          </w:p>
        </w:tc>
        <w:tc>
          <w:tcPr>
            <w:tcW w:w="0" w:type="auto"/>
            <w:tcBorders>
              <w:top w:val="nil"/>
              <w:left w:val="nil"/>
              <w:bottom w:val="nil"/>
              <w:right w:val="single" w:sz="4" w:space="0" w:color="auto"/>
            </w:tcBorders>
            <w:shd w:val="clear" w:color="auto" w:fill="auto"/>
            <w:vAlign w:val="center"/>
          </w:tcPr>
          <w:p w14:paraId="6F65CABC"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center"/>
            <w:hideMark/>
          </w:tcPr>
          <w:p w14:paraId="2F1F7AA5" w14:textId="77777777" w:rsidR="008F16FC" w:rsidRPr="008F16FC" w:rsidRDefault="008F16FC" w:rsidP="008F16FC">
            <w:pPr>
              <w:jc w:val="right"/>
              <w:rPr>
                <w:rFonts w:eastAsia="Calibri"/>
                <w:b/>
                <w:bCs/>
                <w:sz w:val="20"/>
                <w:szCs w:val="20"/>
                <w:lang w:val="es-MX"/>
              </w:rPr>
            </w:pPr>
            <w:r w:rsidRPr="008F16FC">
              <w:rPr>
                <w:rFonts w:eastAsia="Calibri"/>
                <w:b/>
                <w:bCs/>
                <w:sz w:val="20"/>
                <w:szCs w:val="20"/>
                <w:lang w:val="es-MX"/>
              </w:rPr>
              <w:t>30 sep 19</w:t>
            </w:r>
          </w:p>
        </w:tc>
        <w:tc>
          <w:tcPr>
            <w:tcW w:w="0" w:type="auto"/>
            <w:tcBorders>
              <w:top w:val="nil"/>
              <w:left w:val="single" w:sz="4" w:space="0" w:color="auto"/>
              <w:bottom w:val="nil"/>
              <w:right w:val="nil"/>
            </w:tcBorders>
            <w:shd w:val="clear" w:color="auto" w:fill="auto"/>
            <w:noWrap/>
            <w:vAlign w:val="center"/>
            <w:hideMark/>
          </w:tcPr>
          <w:p w14:paraId="65B0D897" w14:textId="77777777" w:rsidR="008F16FC" w:rsidRPr="008F16FC" w:rsidRDefault="008F16FC" w:rsidP="008F16FC">
            <w:pPr>
              <w:jc w:val="right"/>
              <w:rPr>
                <w:rFonts w:eastAsia="Calibri"/>
                <w:b/>
                <w:bCs/>
                <w:sz w:val="20"/>
                <w:szCs w:val="20"/>
                <w:lang w:val="es-MX"/>
              </w:rPr>
            </w:pPr>
            <w:r w:rsidRPr="008F16FC">
              <w:rPr>
                <w:rFonts w:eastAsia="Calibri"/>
                <w:b/>
                <w:bCs/>
                <w:sz w:val="20"/>
                <w:szCs w:val="20"/>
                <w:lang w:val="es-MX"/>
              </w:rPr>
              <w:t xml:space="preserve">30 jun 19 </w:t>
            </w:r>
          </w:p>
        </w:tc>
      </w:tr>
      <w:tr w:rsidR="008F16FC" w:rsidRPr="008F16FC" w14:paraId="776FDD97"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4F2CD226" w14:textId="77777777" w:rsidR="008F16FC" w:rsidRPr="008F16FC" w:rsidRDefault="008F16FC" w:rsidP="008F16FC">
            <w:pPr>
              <w:rPr>
                <w:rFonts w:eastAsia="Calibri"/>
                <w:sz w:val="20"/>
                <w:szCs w:val="20"/>
                <w:lang w:val="es-MX"/>
              </w:rPr>
            </w:pPr>
            <w:r w:rsidRPr="008F16FC">
              <w:rPr>
                <w:rFonts w:eastAsia="Calibri"/>
                <w:sz w:val="20"/>
                <w:szCs w:val="20"/>
                <w:lang w:val="es-MX"/>
              </w:rPr>
              <w:t>Total de Activos Corrientes</w:t>
            </w:r>
          </w:p>
        </w:tc>
        <w:tc>
          <w:tcPr>
            <w:tcW w:w="0" w:type="auto"/>
            <w:tcBorders>
              <w:top w:val="nil"/>
              <w:left w:val="nil"/>
              <w:bottom w:val="nil"/>
              <w:right w:val="single" w:sz="4" w:space="0" w:color="auto"/>
            </w:tcBorders>
            <w:shd w:val="clear" w:color="auto" w:fill="auto"/>
            <w:vAlign w:val="center"/>
          </w:tcPr>
          <w:p w14:paraId="0586D4D3"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nil"/>
              <w:right w:val="nil"/>
            </w:tcBorders>
            <w:shd w:val="clear" w:color="auto" w:fill="auto"/>
          </w:tcPr>
          <w:p w14:paraId="209F4E0A" w14:textId="77777777" w:rsidR="008F16FC" w:rsidRPr="008F16FC" w:rsidRDefault="008F16FC" w:rsidP="008F16FC">
            <w:pPr>
              <w:jc w:val="right"/>
              <w:rPr>
                <w:rFonts w:eastAsia="Calibri"/>
                <w:sz w:val="20"/>
                <w:szCs w:val="20"/>
                <w:lang w:val="es-MX"/>
              </w:rPr>
            </w:pPr>
            <w:r w:rsidRPr="008F16FC">
              <w:rPr>
                <w:rFonts w:eastAsia="Calibri"/>
                <w:sz w:val="20"/>
                <w:szCs w:val="20"/>
                <w:lang w:val="es-MX"/>
              </w:rPr>
              <w:t>7.967.165</w:t>
            </w:r>
          </w:p>
        </w:tc>
        <w:tc>
          <w:tcPr>
            <w:tcW w:w="0" w:type="auto"/>
            <w:tcBorders>
              <w:top w:val="nil"/>
              <w:left w:val="single" w:sz="4" w:space="0" w:color="auto"/>
              <w:bottom w:val="nil"/>
              <w:right w:val="nil"/>
            </w:tcBorders>
            <w:shd w:val="clear" w:color="auto" w:fill="auto"/>
            <w:noWrap/>
          </w:tcPr>
          <w:p w14:paraId="1A818FA1" w14:textId="77777777" w:rsidR="008F16FC" w:rsidRPr="008F16FC" w:rsidRDefault="008F16FC" w:rsidP="008F16FC">
            <w:pPr>
              <w:jc w:val="right"/>
              <w:rPr>
                <w:rFonts w:eastAsia="Calibri"/>
                <w:sz w:val="20"/>
                <w:szCs w:val="20"/>
                <w:lang w:val="es-MX"/>
              </w:rPr>
            </w:pPr>
            <w:r w:rsidRPr="008F16FC">
              <w:rPr>
                <w:color w:val="000000"/>
                <w:sz w:val="20"/>
              </w:rPr>
              <w:t>8.236.375</w:t>
            </w:r>
          </w:p>
        </w:tc>
      </w:tr>
      <w:tr w:rsidR="008F16FC" w:rsidRPr="008F16FC" w14:paraId="617F393B"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1994DC59" w14:textId="77777777" w:rsidR="008F16FC" w:rsidRPr="008F16FC" w:rsidRDefault="008F16FC" w:rsidP="008F16FC">
            <w:pPr>
              <w:rPr>
                <w:rFonts w:eastAsia="Calibri"/>
                <w:sz w:val="20"/>
                <w:szCs w:val="20"/>
                <w:lang w:val="es-MX"/>
              </w:rPr>
            </w:pPr>
            <w:r w:rsidRPr="008F16FC">
              <w:rPr>
                <w:rFonts w:eastAsia="Calibri"/>
                <w:sz w:val="20"/>
                <w:szCs w:val="20"/>
                <w:lang w:val="es-MX"/>
              </w:rPr>
              <w:t>Total de Pasivos Corrientes</w:t>
            </w:r>
          </w:p>
        </w:tc>
        <w:tc>
          <w:tcPr>
            <w:tcW w:w="0" w:type="auto"/>
            <w:tcBorders>
              <w:top w:val="nil"/>
              <w:left w:val="nil"/>
              <w:bottom w:val="single" w:sz="4" w:space="0" w:color="auto"/>
              <w:right w:val="single" w:sz="4" w:space="0" w:color="auto"/>
            </w:tcBorders>
            <w:shd w:val="clear" w:color="auto" w:fill="auto"/>
            <w:vAlign w:val="center"/>
          </w:tcPr>
          <w:p w14:paraId="7ED60AC9"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single" w:sz="4" w:space="0" w:color="auto"/>
              <w:right w:val="nil"/>
            </w:tcBorders>
            <w:shd w:val="clear" w:color="auto" w:fill="auto"/>
          </w:tcPr>
          <w:p w14:paraId="7468B3A8" w14:textId="77777777" w:rsidR="008F16FC" w:rsidRPr="008F16FC" w:rsidRDefault="008F16FC" w:rsidP="008F16FC">
            <w:pPr>
              <w:jc w:val="right"/>
              <w:rPr>
                <w:rFonts w:eastAsia="Calibri"/>
                <w:sz w:val="20"/>
                <w:szCs w:val="20"/>
                <w:lang w:val="es-MX"/>
              </w:rPr>
            </w:pPr>
            <w:r w:rsidRPr="008F16FC">
              <w:rPr>
                <w:rFonts w:eastAsia="Calibri"/>
                <w:sz w:val="20"/>
                <w:szCs w:val="20"/>
                <w:lang w:val="es-MX"/>
              </w:rPr>
              <w:t>7.464.950</w:t>
            </w:r>
          </w:p>
        </w:tc>
        <w:tc>
          <w:tcPr>
            <w:tcW w:w="0" w:type="auto"/>
            <w:tcBorders>
              <w:top w:val="nil"/>
              <w:left w:val="single" w:sz="4" w:space="0" w:color="auto"/>
              <w:bottom w:val="single" w:sz="4" w:space="0" w:color="auto"/>
              <w:right w:val="nil"/>
            </w:tcBorders>
            <w:shd w:val="clear" w:color="auto" w:fill="auto"/>
            <w:noWrap/>
          </w:tcPr>
          <w:p w14:paraId="6FC130EF" w14:textId="77777777" w:rsidR="008F16FC" w:rsidRPr="008F16FC" w:rsidRDefault="008F16FC" w:rsidP="008F16FC">
            <w:pPr>
              <w:jc w:val="right"/>
              <w:rPr>
                <w:rFonts w:eastAsia="Calibri"/>
                <w:sz w:val="20"/>
                <w:szCs w:val="20"/>
                <w:lang w:val="es-MX"/>
              </w:rPr>
            </w:pPr>
            <w:r w:rsidRPr="008F16FC">
              <w:rPr>
                <w:color w:val="000000"/>
                <w:sz w:val="20"/>
              </w:rPr>
              <w:t>7.767.746</w:t>
            </w:r>
          </w:p>
        </w:tc>
      </w:tr>
      <w:tr w:rsidR="008F16FC" w:rsidRPr="008F16FC" w14:paraId="2AC3F596"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68C388BD"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Liquidez</w:t>
            </w:r>
          </w:p>
        </w:tc>
        <w:tc>
          <w:tcPr>
            <w:tcW w:w="0" w:type="auto"/>
            <w:tcBorders>
              <w:top w:val="nil"/>
              <w:left w:val="nil"/>
              <w:bottom w:val="nil"/>
              <w:right w:val="single" w:sz="4" w:space="0" w:color="auto"/>
            </w:tcBorders>
            <w:shd w:val="clear" w:color="auto" w:fill="auto"/>
            <w:vAlign w:val="center"/>
          </w:tcPr>
          <w:p w14:paraId="3061A19D"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bottom"/>
          </w:tcPr>
          <w:p w14:paraId="2C81CD8B"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107%</w:t>
            </w:r>
          </w:p>
        </w:tc>
        <w:tc>
          <w:tcPr>
            <w:tcW w:w="0" w:type="auto"/>
            <w:tcBorders>
              <w:top w:val="nil"/>
              <w:left w:val="single" w:sz="4" w:space="0" w:color="auto"/>
              <w:bottom w:val="nil"/>
              <w:right w:val="nil"/>
            </w:tcBorders>
            <w:shd w:val="clear" w:color="auto" w:fill="auto"/>
            <w:noWrap/>
            <w:vAlign w:val="bottom"/>
          </w:tcPr>
          <w:p w14:paraId="0AB7083E"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106%</w:t>
            </w:r>
          </w:p>
        </w:tc>
      </w:tr>
      <w:tr w:rsidR="008F16FC" w:rsidRPr="008F16FC" w14:paraId="78B63F9E" w14:textId="77777777" w:rsidTr="008F16FC">
        <w:trPr>
          <w:trHeight w:val="74"/>
          <w:jc w:val="center"/>
        </w:trPr>
        <w:tc>
          <w:tcPr>
            <w:tcW w:w="2947" w:type="dxa"/>
            <w:tcBorders>
              <w:top w:val="nil"/>
              <w:left w:val="nil"/>
              <w:bottom w:val="nil"/>
              <w:right w:val="nil"/>
            </w:tcBorders>
            <w:shd w:val="clear" w:color="auto" w:fill="auto"/>
            <w:noWrap/>
            <w:vAlign w:val="center"/>
            <w:hideMark/>
          </w:tcPr>
          <w:p w14:paraId="3AB144C6" w14:textId="77777777" w:rsidR="008F16FC" w:rsidRPr="008F16FC" w:rsidRDefault="008F16FC" w:rsidP="008F16FC">
            <w:pPr>
              <w:rPr>
                <w:rFonts w:eastAsia="Calibri"/>
                <w:b/>
                <w:bCs/>
                <w:sz w:val="20"/>
                <w:szCs w:val="20"/>
                <w:lang w:val="es-MX"/>
              </w:rPr>
            </w:pPr>
          </w:p>
        </w:tc>
        <w:tc>
          <w:tcPr>
            <w:tcW w:w="0" w:type="auto"/>
            <w:tcBorders>
              <w:top w:val="nil"/>
              <w:left w:val="nil"/>
              <w:bottom w:val="nil"/>
              <w:right w:val="single" w:sz="4" w:space="0" w:color="auto"/>
            </w:tcBorders>
            <w:shd w:val="clear" w:color="auto" w:fill="auto"/>
            <w:vAlign w:val="center"/>
          </w:tcPr>
          <w:p w14:paraId="3DA82C22"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center"/>
          </w:tcPr>
          <w:p w14:paraId="77B1E3C6" w14:textId="77777777" w:rsidR="008F16FC" w:rsidRPr="008F16FC" w:rsidRDefault="008F16FC" w:rsidP="008F16FC">
            <w:pPr>
              <w:jc w:val="right"/>
              <w:rPr>
                <w:rFonts w:eastAsia="Calibri"/>
                <w:b/>
                <w:sz w:val="20"/>
                <w:szCs w:val="20"/>
                <w:lang w:val="es-MX"/>
              </w:rPr>
            </w:pPr>
          </w:p>
        </w:tc>
        <w:tc>
          <w:tcPr>
            <w:tcW w:w="0" w:type="auto"/>
            <w:tcBorders>
              <w:top w:val="nil"/>
              <w:left w:val="single" w:sz="4" w:space="0" w:color="auto"/>
              <w:bottom w:val="nil"/>
              <w:right w:val="nil"/>
            </w:tcBorders>
            <w:shd w:val="clear" w:color="auto" w:fill="auto"/>
            <w:noWrap/>
            <w:vAlign w:val="center"/>
          </w:tcPr>
          <w:p w14:paraId="7E7C1172" w14:textId="77777777" w:rsidR="008F16FC" w:rsidRPr="008F16FC" w:rsidRDefault="008F16FC" w:rsidP="008F16FC">
            <w:pPr>
              <w:jc w:val="right"/>
              <w:rPr>
                <w:rFonts w:eastAsia="Calibri"/>
                <w:b/>
                <w:sz w:val="20"/>
                <w:szCs w:val="20"/>
                <w:lang w:val="es-MX"/>
              </w:rPr>
            </w:pPr>
          </w:p>
        </w:tc>
      </w:tr>
      <w:tr w:rsidR="008F16FC" w:rsidRPr="008F16FC" w14:paraId="19CCD4E4"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02B37E53" w14:textId="77777777" w:rsidR="008F16FC" w:rsidRPr="008F16FC" w:rsidRDefault="008F16FC" w:rsidP="008F16FC">
            <w:pPr>
              <w:rPr>
                <w:rFonts w:eastAsia="Calibri"/>
                <w:sz w:val="20"/>
                <w:szCs w:val="20"/>
                <w:lang w:val="es-MX"/>
              </w:rPr>
            </w:pPr>
            <w:r w:rsidRPr="008F16FC">
              <w:rPr>
                <w:rFonts w:eastAsia="Calibri"/>
                <w:sz w:val="20"/>
                <w:szCs w:val="20"/>
                <w:lang w:val="es-MX"/>
              </w:rPr>
              <w:t>Total de Patrimonio Neto</w:t>
            </w:r>
          </w:p>
        </w:tc>
        <w:tc>
          <w:tcPr>
            <w:tcW w:w="0" w:type="auto"/>
            <w:tcBorders>
              <w:top w:val="nil"/>
              <w:left w:val="nil"/>
              <w:bottom w:val="nil"/>
              <w:right w:val="single" w:sz="4" w:space="0" w:color="auto"/>
            </w:tcBorders>
            <w:shd w:val="clear" w:color="auto" w:fill="auto"/>
            <w:vAlign w:val="center"/>
          </w:tcPr>
          <w:p w14:paraId="3B01D540" w14:textId="77777777" w:rsidR="008F16FC" w:rsidRPr="008F16FC" w:rsidDel="007644DD" w:rsidRDefault="008F16FC" w:rsidP="008F16FC">
            <w:pPr>
              <w:jc w:val="right"/>
              <w:rPr>
                <w:rFonts w:eastAsia="Calibri"/>
                <w:sz w:val="20"/>
                <w:szCs w:val="20"/>
                <w:lang w:val="es-MX"/>
              </w:rPr>
            </w:pPr>
          </w:p>
        </w:tc>
        <w:tc>
          <w:tcPr>
            <w:tcW w:w="0" w:type="auto"/>
            <w:tcBorders>
              <w:top w:val="nil"/>
              <w:left w:val="single" w:sz="4" w:space="0" w:color="auto"/>
              <w:bottom w:val="nil"/>
              <w:right w:val="nil"/>
            </w:tcBorders>
            <w:shd w:val="clear" w:color="auto" w:fill="auto"/>
          </w:tcPr>
          <w:p w14:paraId="505EBA57" w14:textId="77777777" w:rsidR="008F16FC" w:rsidRPr="008F16FC" w:rsidRDefault="008F16FC" w:rsidP="008F16FC">
            <w:pPr>
              <w:jc w:val="right"/>
              <w:rPr>
                <w:rFonts w:eastAsia="Calibri"/>
                <w:sz w:val="20"/>
                <w:szCs w:val="20"/>
                <w:lang w:val="es-MX"/>
              </w:rPr>
            </w:pPr>
            <w:r w:rsidRPr="008F16FC">
              <w:rPr>
                <w:rFonts w:eastAsia="Calibri"/>
                <w:sz w:val="20"/>
                <w:szCs w:val="20"/>
                <w:lang w:val="es-MX"/>
              </w:rPr>
              <w:t>3.209.885</w:t>
            </w:r>
          </w:p>
        </w:tc>
        <w:tc>
          <w:tcPr>
            <w:tcW w:w="0" w:type="auto"/>
            <w:tcBorders>
              <w:top w:val="nil"/>
              <w:left w:val="single" w:sz="4" w:space="0" w:color="auto"/>
              <w:bottom w:val="nil"/>
              <w:right w:val="nil"/>
            </w:tcBorders>
            <w:shd w:val="clear" w:color="auto" w:fill="auto"/>
            <w:noWrap/>
          </w:tcPr>
          <w:p w14:paraId="5D1F6E06" w14:textId="77777777" w:rsidR="008F16FC" w:rsidRPr="008F16FC" w:rsidRDefault="008F16FC" w:rsidP="008F16FC">
            <w:pPr>
              <w:jc w:val="right"/>
              <w:rPr>
                <w:rFonts w:eastAsia="Calibri"/>
                <w:sz w:val="20"/>
                <w:szCs w:val="20"/>
                <w:lang w:val="es-MX"/>
              </w:rPr>
            </w:pPr>
            <w:r w:rsidRPr="008F16FC">
              <w:rPr>
                <w:color w:val="000000"/>
                <w:sz w:val="20"/>
              </w:rPr>
              <w:t>2.829.057</w:t>
            </w:r>
          </w:p>
        </w:tc>
      </w:tr>
      <w:tr w:rsidR="008F16FC" w:rsidRPr="008F16FC" w14:paraId="1685D117"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620FFA34" w14:textId="77777777" w:rsidR="008F16FC" w:rsidRPr="008F16FC" w:rsidRDefault="008F16FC" w:rsidP="008F16FC">
            <w:pPr>
              <w:rPr>
                <w:rFonts w:eastAsia="Calibri"/>
                <w:sz w:val="20"/>
                <w:szCs w:val="20"/>
                <w:lang w:val="es-MX"/>
              </w:rPr>
            </w:pPr>
            <w:r w:rsidRPr="008F16FC">
              <w:rPr>
                <w:rFonts w:eastAsia="Calibri"/>
                <w:sz w:val="20"/>
                <w:szCs w:val="20"/>
                <w:lang w:val="es-MX"/>
              </w:rPr>
              <w:t>Total de Pasivos</w:t>
            </w:r>
          </w:p>
        </w:tc>
        <w:tc>
          <w:tcPr>
            <w:tcW w:w="0" w:type="auto"/>
            <w:tcBorders>
              <w:top w:val="nil"/>
              <w:left w:val="nil"/>
              <w:bottom w:val="single" w:sz="4" w:space="0" w:color="auto"/>
              <w:right w:val="single" w:sz="4" w:space="0" w:color="auto"/>
            </w:tcBorders>
            <w:shd w:val="clear" w:color="auto" w:fill="auto"/>
            <w:vAlign w:val="center"/>
          </w:tcPr>
          <w:p w14:paraId="19FE92C1" w14:textId="77777777" w:rsidR="008F16FC" w:rsidRPr="008F16FC" w:rsidDel="007644DD" w:rsidRDefault="008F16FC" w:rsidP="008F16FC">
            <w:pPr>
              <w:jc w:val="right"/>
              <w:rPr>
                <w:rFonts w:eastAsia="Calibri"/>
                <w:sz w:val="20"/>
                <w:szCs w:val="20"/>
                <w:lang w:val="es-MX"/>
              </w:rPr>
            </w:pPr>
          </w:p>
        </w:tc>
        <w:tc>
          <w:tcPr>
            <w:tcW w:w="0" w:type="auto"/>
            <w:tcBorders>
              <w:top w:val="nil"/>
              <w:left w:val="single" w:sz="4" w:space="0" w:color="auto"/>
              <w:bottom w:val="single" w:sz="4" w:space="0" w:color="auto"/>
              <w:right w:val="nil"/>
            </w:tcBorders>
            <w:shd w:val="clear" w:color="auto" w:fill="auto"/>
          </w:tcPr>
          <w:p w14:paraId="5650C53D" w14:textId="77777777" w:rsidR="008F16FC" w:rsidRPr="008F16FC" w:rsidRDefault="008F16FC" w:rsidP="008F16FC">
            <w:pPr>
              <w:jc w:val="right"/>
              <w:rPr>
                <w:rFonts w:eastAsia="Calibri"/>
                <w:sz w:val="20"/>
                <w:szCs w:val="20"/>
                <w:lang w:val="es-MX"/>
              </w:rPr>
            </w:pPr>
            <w:r w:rsidRPr="008F16FC">
              <w:rPr>
                <w:rFonts w:eastAsia="Calibri"/>
                <w:sz w:val="20"/>
                <w:szCs w:val="20"/>
                <w:lang w:val="es-MX"/>
              </w:rPr>
              <w:t>8.365.702</w:t>
            </w:r>
          </w:p>
        </w:tc>
        <w:tc>
          <w:tcPr>
            <w:tcW w:w="0" w:type="auto"/>
            <w:tcBorders>
              <w:top w:val="nil"/>
              <w:left w:val="single" w:sz="4" w:space="0" w:color="auto"/>
              <w:bottom w:val="single" w:sz="4" w:space="0" w:color="auto"/>
              <w:right w:val="nil"/>
            </w:tcBorders>
            <w:shd w:val="clear" w:color="auto" w:fill="auto"/>
            <w:noWrap/>
          </w:tcPr>
          <w:p w14:paraId="73AB87CE" w14:textId="77777777" w:rsidR="008F16FC" w:rsidRPr="008F16FC" w:rsidRDefault="008F16FC" w:rsidP="008F16FC">
            <w:pPr>
              <w:jc w:val="right"/>
              <w:rPr>
                <w:rFonts w:eastAsia="Calibri"/>
                <w:sz w:val="20"/>
                <w:szCs w:val="20"/>
                <w:lang w:val="es-MX"/>
              </w:rPr>
            </w:pPr>
            <w:r w:rsidRPr="008F16FC">
              <w:rPr>
                <w:color w:val="000000"/>
                <w:sz w:val="20"/>
              </w:rPr>
              <w:t>8.638.308</w:t>
            </w:r>
          </w:p>
        </w:tc>
      </w:tr>
      <w:tr w:rsidR="008F16FC" w:rsidRPr="008F16FC" w14:paraId="0C3D9F29"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26B31E86"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Solvencia</w:t>
            </w:r>
          </w:p>
        </w:tc>
        <w:tc>
          <w:tcPr>
            <w:tcW w:w="0" w:type="auto"/>
            <w:tcBorders>
              <w:top w:val="nil"/>
              <w:left w:val="nil"/>
              <w:bottom w:val="nil"/>
              <w:right w:val="single" w:sz="4" w:space="0" w:color="auto"/>
            </w:tcBorders>
            <w:shd w:val="clear" w:color="auto" w:fill="auto"/>
            <w:vAlign w:val="center"/>
          </w:tcPr>
          <w:p w14:paraId="40A6B2E0"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bottom"/>
          </w:tcPr>
          <w:p w14:paraId="56291E0E"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38%</w:t>
            </w:r>
          </w:p>
        </w:tc>
        <w:tc>
          <w:tcPr>
            <w:tcW w:w="0" w:type="auto"/>
            <w:tcBorders>
              <w:top w:val="nil"/>
              <w:left w:val="single" w:sz="4" w:space="0" w:color="auto"/>
              <w:bottom w:val="nil"/>
              <w:right w:val="nil"/>
            </w:tcBorders>
            <w:shd w:val="clear" w:color="auto" w:fill="auto"/>
            <w:noWrap/>
            <w:vAlign w:val="bottom"/>
          </w:tcPr>
          <w:p w14:paraId="0272E165"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33%</w:t>
            </w:r>
          </w:p>
        </w:tc>
      </w:tr>
      <w:tr w:rsidR="008F16FC" w:rsidRPr="008F16FC" w14:paraId="4E797A3D" w14:textId="77777777" w:rsidTr="008F16FC">
        <w:trPr>
          <w:trHeight w:val="74"/>
          <w:jc w:val="center"/>
        </w:trPr>
        <w:tc>
          <w:tcPr>
            <w:tcW w:w="2947" w:type="dxa"/>
            <w:tcBorders>
              <w:top w:val="nil"/>
              <w:left w:val="nil"/>
              <w:bottom w:val="nil"/>
              <w:right w:val="nil"/>
            </w:tcBorders>
            <w:shd w:val="clear" w:color="auto" w:fill="auto"/>
            <w:noWrap/>
            <w:vAlign w:val="bottom"/>
            <w:hideMark/>
          </w:tcPr>
          <w:p w14:paraId="330F959B" w14:textId="77777777" w:rsidR="008F16FC" w:rsidRPr="008F16FC" w:rsidRDefault="008F16FC" w:rsidP="008F16FC">
            <w:pPr>
              <w:jc w:val="right"/>
              <w:rPr>
                <w:rFonts w:eastAsia="Calibri"/>
                <w:b/>
                <w:bCs/>
                <w:sz w:val="20"/>
                <w:szCs w:val="20"/>
                <w:lang w:val="es-MX"/>
              </w:rPr>
            </w:pPr>
          </w:p>
        </w:tc>
        <w:tc>
          <w:tcPr>
            <w:tcW w:w="0" w:type="auto"/>
            <w:tcBorders>
              <w:top w:val="nil"/>
              <w:left w:val="nil"/>
              <w:bottom w:val="nil"/>
              <w:right w:val="single" w:sz="4" w:space="0" w:color="auto"/>
            </w:tcBorders>
            <w:shd w:val="clear" w:color="auto" w:fill="auto"/>
            <w:vAlign w:val="center"/>
          </w:tcPr>
          <w:p w14:paraId="77EB1E22"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nil"/>
              <w:right w:val="nil"/>
            </w:tcBorders>
            <w:shd w:val="clear" w:color="auto" w:fill="auto"/>
            <w:vAlign w:val="bottom"/>
          </w:tcPr>
          <w:p w14:paraId="11EFF035" w14:textId="77777777" w:rsidR="008F16FC" w:rsidRPr="008F16FC" w:rsidRDefault="008F16FC" w:rsidP="008F16FC">
            <w:pPr>
              <w:rPr>
                <w:rFonts w:eastAsia="Calibri"/>
                <w:sz w:val="20"/>
                <w:szCs w:val="20"/>
                <w:lang w:val="es-MX"/>
              </w:rPr>
            </w:pPr>
          </w:p>
        </w:tc>
        <w:tc>
          <w:tcPr>
            <w:tcW w:w="0" w:type="auto"/>
            <w:tcBorders>
              <w:top w:val="nil"/>
              <w:left w:val="single" w:sz="4" w:space="0" w:color="auto"/>
              <w:bottom w:val="nil"/>
              <w:right w:val="nil"/>
            </w:tcBorders>
            <w:shd w:val="clear" w:color="auto" w:fill="auto"/>
            <w:noWrap/>
            <w:vAlign w:val="bottom"/>
          </w:tcPr>
          <w:p w14:paraId="3CDEE810" w14:textId="77777777" w:rsidR="008F16FC" w:rsidRPr="008F16FC" w:rsidRDefault="008F16FC" w:rsidP="008F16FC">
            <w:pPr>
              <w:rPr>
                <w:rFonts w:eastAsia="Calibri"/>
                <w:sz w:val="20"/>
                <w:szCs w:val="20"/>
                <w:lang w:val="es-MX"/>
              </w:rPr>
            </w:pPr>
          </w:p>
        </w:tc>
      </w:tr>
      <w:tr w:rsidR="008F16FC" w:rsidRPr="008F16FC" w14:paraId="3E7E665C"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25535A7E" w14:textId="77777777" w:rsidR="008F16FC" w:rsidRPr="008F16FC" w:rsidRDefault="008F16FC" w:rsidP="008F16FC">
            <w:pPr>
              <w:rPr>
                <w:rFonts w:eastAsia="Calibri"/>
                <w:sz w:val="20"/>
                <w:szCs w:val="20"/>
                <w:lang w:val="es-MX"/>
              </w:rPr>
            </w:pPr>
            <w:r w:rsidRPr="008F16FC">
              <w:rPr>
                <w:rFonts w:eastAsia="Calibri"/>
                <w:sz w:val="20"/>
                <w:szCs w:val="20"/>
                <w:lang w:val="es-MX"/>
              </w:rPr>
              <w:t>Total de Activos No Corrientes</w:t>
            </w:r>
          </w:p>
        </w:tc>
        <w:tc>
          <w:tcPr>
            <w:tcW w:w="360" w:type="dxa"/>
            <w:tcBorders>
              <w:top w:val="nil"/>
              <w:left w:val="nil"/>
              <w:bottom w:val="nil"/>
              <w:right w:val="single" w:sz="4" w:space="0" w:color="auto"/>
            </w:tcBorders>
            <w:shd w:val="clear" w:color="auto" w:fill="auto"/>
            <w:vAlign w:val="center"/>
          </w:tcPr>
          <w:p w14:paraId="09C34F92" w14:textId="77777777" w:rsidR="008F16FC" w:rsidRPr="008F16FC" w:rsidRDefault="008F16FC" w:rsidP="008F16FC">
            <w:pPr>
              <w:jc w:val="right"/>
              <w:rPr>
                <w:rFonts w:eastAsia="Calibri"/>
                <w:sz w:val="20"/>
                <w:szCs w:val="20"/>
                <w:lang w:val="es-MX"/>
              </w:rPr>
            </w:pPr>
          </w:p>
        </w:tc>
        <w:tc>
          <w:tcPr>
            <w:tcW w:w="1670" w:type="dxa"/>
            <w:tcBorders>
              <w:top w:val="nil"/>
              <w:left w:val="single" w:sz="4" w:space="0" w:color="auto"/>
              <w:bottom w:val="nil"/>
              <w:right w:val="nil"/>
            </w:tcBorders>
            <w:shd w:val="clear" w:color="auto" w:fill="auto"/>
          </w:tcPr>
          <w:p w14:paraId="24D04592" w14:textId="77777777" w:rsidR="008F16FC" w:rsidRPr="008F16FC" w:rsidRDefault="008F16FC" w:rsidP="008F16FC">
            <w:pPr>
              <w:jc w:val="right"/>
              <w:rPr>
                <w:rFonts w:eastAsia="Calibri"/>
                <w:sz w:val="20"/>
                <w:szCs w:val="20"/>
                <w:lang w:val="es-MX"/>
              </w:rPr>
            </w:pPr>
            <w:r w:rsidRPr="008F16FC">
              <w:rPr>
                <w:rFonts w:eastAsia="Calibri"/>
                <w:sz w:val="20"/>
                <w:szCs w:val="20"/>
                <w:lang w:val="es-MX"/>
              </w:rPr>
              <w:t>3.608.422</w:t>
            </w:r>
          </w:p>
        </w:tc>
        <w:tc>
          <w:tcPr>
            <w:tcW w:w="1670" w:type="dxa"/>
            <w:tcBorders>
              <w:top w:val="nil"/>
              <w:left w:val="single" w:sz="4" w:space="0" w:color="auto"/>
              <w:bottom w:val="nil"/>
              <w:right w:val="nil"/>
            </w:tcBorders>
            <w:shd w:val="clear" w:color="auto" w:fill="auto"/>
            <w:noWrap/>
          </w:tcPr>
          <w:p w14:paraId="6509A7FC" w14:textId="77777777" w:rsidR="008F16FC" w:rsidRPr="008F16FC" w:rsidRDefault="008F16FC" w:rsidP="008F16FC">
            <w:pPr>
              <w:jc w:val="right"/>
              <w:rPr>
                <w:rFonts w:eastAsia="Calibri"/>
                <w:sz w:val="20"/>
                <w:szCs w:val="20"/>
                <w:lang w:val="es-MX"/>
              </w:rPr>
            </w:pPr>
            <w:r w:rsidRPr="008F16FC">
              <w:rPr>
                <w:color w:val="000000"/>
                <w:sz w:val="20"/>
              </w:rPr>
              <w:t>3.230.990</w:t>
            </w:r>
          </w:p>
        </w:tc>
      </w:tr>
      <w:tr w:rsidR="008F16FC" w:rsidRPr="008F16FC" w14:paraId="6B80373B"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12299BE9" w14:textId="77777777" w:rsidR="008F16FC" w:rsidRPr="008F16FC" w:rsidRDefault="008F16FC" w:rsidP="008F16FC">
            <w:pPr>
              <w:rPr>
                <w:rFonts w:eastAsia="Calibri"/>
                <w:sz w:val="20"/>
                <w:szCs w:val="20"/>
                <w:lang w:val="es-MX"/>
              </w:rPr>
            </w:pPr>
            <w:r w:rsidRPr="008F16FC">
              <w:rPr>
                <w:rFonts w:eastAsia="Calibri"/>
                <w:sz w:val="20"/>
                <w:szCs w:val="20"/>
                <w:lang w:val="es-MX"/>
              </w:rPr>
              <w:t>Total de Activos</w:t>
            </w:r>
          </w:p>
        </w:tc>
        <w:tc>
          <w:tcPr>
            <w:tcW w:w="0" w:type="auto"/>
            <w:tcBorders>
              <w:top w:val="nil"/>
              <w:left w:val="nil"/>
              <w:bottom w:val="single" w:sz="4" w:space="0" w:color="auto"/>
              <w:right w:val="single" w:sz="4" w:space="0" w:color="auto"/>
            </w:tcBorders>
            <w:shd w:val="clear" w:color="auto" w:fill="auto"/>
            <w:vAlign w:val="center"/>
          </w:tcPr>
          <w:p w14:paraId="614EEDDE" w14:textId="77777777" w:rsidR="008F16FC" w:rsidRPr="008F16FC" w:rsidDel="007644DD" w:rsidRDefault="008F16FC" w:rsidP="008F16FC">
            <w:pPr>
              <w:jc w:val="right"/>
              <w:rPr>
                <w:rFonts w:eastAsia="Calibri"/>
                <w:bCs/>
                <w:sz w:val="20"/>
                <w:szCs w:val="20"/>
                <w:lang w:val="es-MX"/>
              </w:rPr>
            </w:pPr>
          </w:p>
        </w:tc>
        <w:tc>
          <w:tcPr>
            <w:tcW w:w="0" w:type="auto"/>
            <w:tcBorders>
              <w:top w:val="nil"/>
              <w:left w:val="single" w:sz="4" w:space="0" w:color="auto"/>
              <w:bottom w:val="single" w:sz="4" w:space="0" w:color="auto"/>
              <w:right w:val="nil"/>
            </w:tcBorders>
            <w:shd w:val="clear" w:color="auto" w:fill="auto"/>
          </w:tcPr>
          <w:p w14:paraId="2C084EA4" w14:textId="77777777" w:rsidR="008F16FC" w:rsidRPr="008F16FC" w:rsidRDefault="008F16FC" w:rsidP="008F16FC">
            <w:pPr>
              <w:jc w:val="right"/>
              <w:rPr>
                <w:rFonts w:eastAsia="Calibri"/>
                <w:sz w:val="20"/>
                <w:szCs w:val="20"/>
                <w:lang w:val="es-MX"/>
              </w:rPr>
            </w:pPr>
            <w:r w:rsidRPr="008F16FC">
              <w:rPr>
                <w:rFonts w:eastAsia="Calibri"/>
                <w:sz w:val="20"/>
                <w:szCs w:val="20"/>
                <w:lang w:val="es-MX"/>
              </w:rPr>
              <w:t>11.575.587</w:t>
            </w:r>
          </w:p>
        </w:tc>
        <w:tc>
          <w:tcPr>
            <w:tcW w:w="0" w:type="auto"/>
            <w:tcBorders>
              <w:top w:val="nil"/>
              <w:left w:val="single" w:sz="4" w:space="0" w:color="auto"/>
              <w:bottom w:val="single" w:sz="4" w:space="0" w:color="auto"/>
              <w:right w:val="nil"/>
            </w:tcBorders>
            <w:shd w:val="clear" w:color="auto" w:fill="auto"/>
            <w:noWrap/>
          </w:tcPr>
          <w:p w14:paraId="55BDC01F" w14:textId="77777777" w:rsidR="008F16FC" w:rsidRPr="008F16FC" w:rsidRDefault="008F16FC" w:rsidP="008F16FC">
            <w:pPr>
              <w:jc w:val="right"/>
              <w:rPr>
                <w:rFonts w:eastAsia="Calibri"/>
                <w:sz w:val="20"/>
                <w:szCs w:val="20"/>
                <w:lang w:val="es-MX"/>
              </w:rPr>
            </w:pPr>
            <w:r w:rsidRPr="008F16FC">
              <w:rPr>
                <w:color w:val="000000"/>
                <w:sz w:val="20"/>
              </w:rPr>
              <w:t>11.467.365</w:t>
            </w:r>
          </w:p>
        </w:tc>
      </w:tr>
      <w:tr w:rsidR="008F16FC" w:rsidRPr="008F16FC" w14:paraId="6074571A"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30D3C7B3"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Inmovilización del capital</w:t>
            </w:r>
          </w:p>
        </w:tc>
        <w:tc>
          <w:tcPr>
            <w:tcW w:w="0" w:type="auto"/>
            <w:tcBorders>
              <w:top w:val="nil"/>
              <w:left w:val="nil"/>
              <w:bottom w:val="nil"/>
              <w:right w:val="single" w:sz="4" w:space="0" w:color="auto"/>
            </w:tcBorders>
            <w:shd w:val="clear" w:color="auto" w:fill="auto"/>
            <w:vAlign w:val="center"/>
          </w:tcPr>
          <w:p w14:paraId="47A0DBD8"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bottom"/>
          </w:tcPr>
          <w:p w14:paraId="011EC1B1"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31%</w:t>
            </w:r>
          </w:p>
        </w:tc>
        <w:tc>
          <w:tcPr>
            <w:tcW w:w="0" w:type="auto"/>
            <w:tcBorders>
              <w:top w:val="nil"/>
              <w:left w:val="single" w:sz="4" w:space="0" w:color="auto"/>
              <w:bottom w:val="nil"/>
              <w:right w:val="nil"/>
            </w:tcBorders>
            <w:shd w:val="clear" w:color="auto" w:fill="auto"/>
            <w:noWrap/>
            <w:vAlign w:val="bottom"/>
          </w:tcPr>
          <w:p w14:paraId="13F95D13"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28%</w:t>
            </w:r>
          </w:p>
        </w:tc>
      </w:tr>
      <w:tr w:rsidR="008F16FC" w:rsidRPr="008F16FC" w14:paraId="7CFA69D7" w14:textId="77777777" w:rsidTr="008F16FC">
        <w:trPr>
          <w:trHeight w:val="74"/>
          <w:jc w:val="center"/>
        </w:trPr>
        <w:tc>
          <w:tcPr>
            <w:tcW w:w="2947" w:type="dxa"/>
            <w:tcBorders>
              <w:top w:val="nil"/>
              <w:left w:val="nil"/>
              <w:bottom w:val="nil"/>
              <w:right w:val="nil"/>
            </w:tcBorders>
            <w:shd w:val="clear" w:color="auto" w:fill="auto"/>
            <w:noWrap/>
            <w:vAlign w:val="bottom"/>
            <w:hideMark/>
          </w:tcPr>
          <w:p w14:paraId="6A3E646F" w14:textId="77777777" w:rsidR="008F16FC" w:rsidRPr="008F16FC" w:rsidRDefault="008F16FC" w:rsidP="008F16FC">
            <w:pPr>
              <w:jc w:val="right"/>
              <w:rPr>
                <w:rFonts w:eastAsia="Calibri"/>
                <w:b/>
                <w:bCs/>
                <w:sz w:val="20"/>
                <w:szCs w:val="20"/>
                <w:lang w:val="es-MX"/>
              </w:rPr>
            </w:pPr>
          </w:p>
        </w:tc>
        <w:tc>
          <w:tcPr>
            <w:tcW w:w="0" w:type="auto"/>
            <w:tcBorders>
              <w:top w:val="nil"/>
              <w:left w:val="nil"/>
              <w:bottom w:val="nil"/>
              <w:right w:val="single" w:sz="4" w:space="0" w:color="auto"/>
            </w:tcBorders>
            <w:shd w:val="clear" w:color="auto" w:fill="auto"/>
            <w:vAlign w:val="center"/>
          </w:tcPr>
          <w:p w14:paraId="769FF2B4"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nil"/>
              <w:right w:val="nil"/>
            </w:tcBorders>
            <w:shd w:val="clear" w:color="auto" w:fill="auto"/>
            <w:vAlign w:val="bottom"/>
          </w:tcPr>
          <w:p w14:paraId="712ED14F" w14:textId="77777777" w:rsidR="008F16FC" w:rsidRPr="008F16FC" w:rsidRDefault="008F16FC" w:rsidP="008F16FC">
            <w:pPr>
              <w:rPr>
                <w:rFonts w:eastAsia="Calibri"/>
                <w:sz w:val="20"/>
                <w:szCs w:val="20"/>
                <w:lang w:val="es-MX"/>
              </w:rPr>
            </w:pPr>
          </w:p>
        </w:tc>
        <w:tc>
          <w:tcPr>
            <w:tcW w:w="0" w:type="auto"/>
            <w:tcBorders>
              <w:top w:val="nil"/>
              <w:left w:val="single" w:sz="4" w:space="0" w:color="auto"/>
              <w:bottom w:val="nil"/>
              <w:right w:val="nil"/>
            </w:tcBorders>
            <w:shd w:val="clear" w:color="auto" w:fill="auto"/>
            <w:noWrap/>
            <w:vAlign w:val="bottom"/>
          </w:tcPr>
          <w:p w14:paraId="2C20AF86" w14:textId="77777777" w:rsidR="008F16FC" w:rsidRPr="008F16FC" w:rsidRDefault="008F16FC" w:rsidP="008F16FC">
            <w:pPr>
              <w:rPr>
                <w:rFonts w:eastAsia="Calibri"/>
                <w:sz w:val="20"/>
                <w:szCs w:val="20"/>
                <w:lang w:val="es-MX"/>
              </w:rPr>
            </w:pPr>
          </w:p>
        </w:tc>
      </w:tr>
      <w:tr w:rsidR="008F16FC" w:rsidRPr="008F16FC" w14:paraId="7E27931A"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2DBB45DB" w14:textId="77777777" w:rsidR="008F16FC" w:rsidRPr="008F16FC" w:rsidRDefault="008F16FC" w:rsidP="008F16FC">
            <w:pPr>
              <w:rPr>
                <w:rFonts w:eastAsia="Calibri"/>
                <w:sz w:val="20"/>
                <w:szCs w:val="20"/>
                <w:lang w:val="es-MX"/>
              </w:rPr>
            </w:pPr>
            <w:r w:rsidRPr="008F16FC">
              <w:rPr>
                <w:rFonts w:eastAsia="Calibri"/>
                <w:sz w:val="20"/>
                <w:szCs w:val="20"/>
                <w:lang w:val="es-MX"/>
              </w:rPr>
              <w:t>Resultado del ejercicio</w:t>
            </w:r>
          </w:p>
        </w:tc>
        <w:tc>
          <w:tcPr>
            <w:tcW w:w="0" w:type="auto"/>
            <w:tcBorders>
              <w:top w:val="nil"/>
              <w:left w:val="nil"/>
              <w:bottom w:val="nil"/>
              <w:right w:val="single" w:sz="4" w:space="0" w:color="auto"/>
            </w:tcBorders>
            <w:shd w:val="clear" w:color="auto" w:fill="auto"/>
            <w:vAlign w:val="center"/>
          </w:tcPr>
          <w:p w14:paraId="0473BA01" w14:textId="77777777" w:rsidR="008F16FC" w:rsidRPr="008F16FC" w:rsidRDefault="008F16FC" w:rsidP="008F16FC">
            <w:pPr>
              <w:jc w:val="right"/>
              <w:rPr>
                <w:rFonts w:eastAsia="Calibri"/>
                <w:bCs/>
                <w:sz w:val="20"/>
                <w:szCs w:val="20"/>
                <w:lang w:val="es-MX"/>
              </w:rPr>
            </w:pPr>
          </w:p>
        </w:tc>
        <w:tc>
          <w:tcPr>
            <w:tcW w:w="0" w:type="auto"/>
            <w:tcBorders>
              <w:top w:val="nil"/>
              <w:left w:val="single" w:sz="4" w:space="0" w:color="auto"/>
              <w:bottom w:val="nil"/>
              <w:right w:val="nil"/>
            </w:tcBorders>
            <w:shd w:val="clear" w:color="auto" w:fill="auto"/>
            <w:vAlign w:val="center"/>
          </w:tcPr>
          <w:p w14:paraId="66B36ADD" w14:textId="77777777" w:rsidR="008F16FC" w:rsidRPr="008F16FC" w:rsidRDefault="008F16FC" w:rsidP="008F16FC">
            <w:pPr>
              <w:jc w:val="right"/>
              <w:rPr>
                <w:rFonts w:eastAsia="Calibri"/>
                <w:sz w:val="20"/>
                <w:szCs w:val="20"/>
                <w:lang w:val="es-MX"/>
              </w:rPr>
            </w:pPr>
            <w:r w:rsidRPr="008F16FC">
              <w:rPr>
                <w:rFonts w:eastAsia="Calibri"/>
                <w:sz w:val="20"/>
                <w:szCs w:val="20"/>
                <w:lang w:val="es-MX"/>
              </w:rPr>
              <w:t>77.399</w:t>
            </w:r>
          </w:p>
        </w:tc>
        <w:tc>
          <w:tcPr>
            <w:tcW w:w="0" w:type="auto"/>
            <w:tcBorders>
              <w:top w:val="nil"/>
              <w:left w:val="single" w:sz="4" w:space="0" w:color="auto"/>
              <w:bottom w:val="nil"/>
              <w:right w:val="nil"/>
            </w:tcBorders>
            <w:shd w:val="clear" w:color="auto" w:fill="auto"/>
            <w:noWrap/>
            <w:vAlign w:val="center"/>
          </w:tcPr>
          <w:p w14:paraId="0C178A76" w14:textId="77777777" w:rsidR="008F16FC" w:rsidRPr="008F16FC" w:rsidRDefault="008F16FC" w:rsidP="008F16FC">
            <w:pPr>
              <w:jc w:val="right"/>
              <w:rPr>
                <w:rFonts w:eastAsia="Calibri"/>
                <w:sz w:val="20"/>
                <w:szCs w:val="20"/>
                <w:lang w:val="es-MX"/>
              </w:rPr>
            </w:pPr>
            <w:r w:rsidRPr="008F16FC">
              <w:rPr>
                <w:rFonts w:eastAsia="Calibri"/>
                <w:sz w:val="20"/>
                <w:szCs w:val="20"/>
                <w:lang w:val="es-MX"/>
              </w:rPr>
              <w:t>301.743</w:t>
            </w:r>
          </w:p>
        </w:tc>
      </w:tr>
      <w:tr w:rsidR="008F16FC" w:rsidRPr="008F16FC" w14:paraId="32EFE73F"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4F433C2A" w14:textId="77777777" w:rsidR="008F16FC" w:rsidRPr="008F16FC" w:rsidRDefault="008F16FC" w:rsidP="008F16FC">
            <w:pPr>
              <w:rPr>
                <w:rFonts w:eastAsia="Calibri"/>
                <w:sz w:val="20"/>
                <w:szCs w:val="20"/>
                <w:lang w:val="es-MX"/>
              </w:rPr>
            </w:pPr>
            <w:r w:rsidRPr="008F16FC">
              <w:rPr>
                <w:rFonts w:eastAsia="Calibri"/>
                <w:sz w:val="20"/>
                <w:szCs w:val="20"/>
                <w:lang w:val="es-MX"/>
              </w:rPr>
              <w:t>Total de Patrimonio Neto al inicio</w:t>
            </w:r>
          </w:p>
        </w:tc>
        <w:tc>
          <w:tcPr>
            <w:tcW w:w="0" w:type="auto"/>
            <w:tcBorders>
              <w:top w:val="nil"/>
              <w:left w:val="nil"/>
              <w:bottom w:val="nil"/>
              <w:right w:val="single" w:sz="4" w:space="0" w:color="auto"/>
            </w:tcBorders>
            <w:shd w:val="clear" w:color="auto" w:fill="auto"/>
            <w:vAlign w:val="center"/>
          </w:tcPr>
          <w:p w14:paraId="6167EA80"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nil"/>
              <w:right w:val="nil"/>
            </w:tcBorders>
            <w:shd w:val="clear" w:color="auto" w:fill="auto"/>
          </w:tcPr>
          <w:p w14:paraId="6A9C2922" w14:textId="77777777" w:rsidR="008F16FC" w:rsidRPr="008F16FC" w:rsidRDefault="008F16FC" w:rsidP="008F16FC">
            <w:pPr>
              <w:jc w:val="right"/>
              <w:rPr>
                <w:rFonts w:eastAsia="Calibri"/>
                <w:sz w:val="20"/>
                <w:szCs w:val="20"/>
                <w:lang w:val="es-MX"/>
              </w:rPr>
            </w:pPr>
            <w:r w:rsidRPr="008F16FC">
              <w:rPr>
                <w:rFonts w:eastAsia="Calibri"/>
                <w:sz w:val="20"/>
                <w:szCs w:val="20"/>
                <w:lang w:val="es-MX"/>
              </w:rPr>
              <w:t>2.829.057</w:t>
            </w:r>
          </w:p>
        </w:tc>
        <w:tc>
          <w:tcPr>
            <w:tcW w:w="0" w:type="auto"/>
            <w:tcBorders>
              <w:top w:val="nil"/>
              <w:left w:val="single" w:sz="4" w:space="0" w:color="auto"/>
              <w:bottom w:val="nil"/>
              <w:right w:val="nil"/>
            </w:tcBorders>
            <w:shd w:val="clear" w:color="auto" w:fill="auto"/>
            <w:noWrap/>
          </w:tcPr>
          <w:p w14:paraId="03E2E821" w14:textId="77777777" w:rsidR="008F16FC" w:rsidRPr="008F16FC" w:rsidRDefault="008F16FC" w:rsidP="008F16FC">
            <w:pPr>
              <w:jc w:val="right"/>
              <w:rPr>
                <w:rFonts w:eastAsia="Calibri"/>
                <w:sz w:val="20"/>
                <w:szCs w:val="20"/>
                <w:lang w:val="es-MX"/>
              </w:rPr>
            </w:pPr>
            <w:r w:rsidRPr="008F16FC">
              <w:rPr>
                <w:color w:val="000000"/>
                <w:sz w:val="20"/>
              </w:rPr>
              <w:t>2.759.270</w:t>
            </w:r>
          </w:p>
        </w:tc>
      </w:tr>
      <w:tr w:rsidR="008F16FC" w:rsidRPr="008F16FC" w14:paraId="5C987EF0"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38872AA3" w14:textId="77777777" w:rsidR="008F16FC" w:rsidRPr="008F16FC" w:rsidRDefault="008F16FC" w:rsidP="008F16FC">
            <w:pPr>
              <w:rPr>
                <w:rFonts w:eastAsia="Calibri"/>
                <w:sz w:val="20"/>
                <w:szCs w:val="20"/>
                <w:lang w:val="es-MX"/>
              </w:rPr>
            </w:pPr>
            <w:r w:rsidRPr="008F16FC">
              <w:rPr>
                <w:rFonts w:eastAsia="Calibri"/>
                <w:sz w:val="20"/>
                <w:szCs w:val="20"/>
                <w:lang w:val="es-MX"/>
              </w:rPr>
              <w:t>Total de Patrimonio Neto al cierre</w:t>
            </w:r>
          </w:p>
        </w:tc>
        <w:tc>
          <w:tcPr>
            <w:tcW w:w="0" w:type="auto"/>
            <w:tcBorders>
              <w:top w:val="nil"/>
              <w:left w:val="nil"/>
              <w:bottom w:val="single" w:sz="4" w:space="0" w:color="auto"/>
              <w:right w:val="single" w:sz="4" w:space="0" w:color="auto"/>
            </w:tcBorders>
            <w:shd w:val="clear" w:color="auto" w:fill="auto"/>
            <w:vAlign w:val="center"/>
          </w:tcPr>
          <w:p w14:paraId="347B8562" w14:textId="77777777" w:rsidR="008F16FC" w:rsidRPr="008F16FC" w:rsidRDefault="008F16FC" w:rsidP="008F16FC">
            <w:pPr>
              <w:jc w:val="right"/>
              <w:rPr>
                <w:rFonts w:eastAsia="Calibri"/>
                <w:sz w:val="20"/>
                <w:szCs w:val="20"/>
                <w:lang w:val="es-MX"/>
              </w:rPr>
            </w:pPr>
          </w:p>
        </w:tc>
        <w:tc>
          <w:tcPr>
            <w:tcW w:w="0" w:type="auto"/>
            <w:tcBorders>
              <w:top w:val="nil"/>
              <w:left w:val="single" w:sz="4" w:space="0" w:color="auto"/>
              <w:bottom w:val="single" w:sz="4" w:space="0" w:color="auto"/>
              <w:right w:val="nil"/>
            </w:tcBorders>
            <w:shd w:val="clear" w:color="auto" w:fill="auto"/>
          </w:tcPr>
          <w:p w14:paraId="01B8D619" w14:textId="77777777" w:rsidR="008F16FC" w:rsidRPr="008F16FC" w:rsidRDefault="008F16FC" w:rsidP="008F16FC">
            <w:pPr>
              <w:jc w:val="right"/>
              <w:rPr>
                <w:rFonts w:eastAsia="Calibri"/>
                <w:sz w:val="20"/>
                <w:szCs w:val="20"/>
                <w:lang w:val="es-MX"/>
              </w:rPr>
            </w:pPr>
            <w:r w:rsidRPr="008F16FC">
              <w:rPr>
                <w:rFonts w:eastAsia="Calibri"/>
                <w:sz w:val="20"/>
                <w:szCs w:val="20"/>
                <w:lang w:val="es-MX"/>
              </w:rPr>
              <w:t>3.209.885</w:t>
            </w:r>
          </w:p>
        </w:tc>
        <w:tc>
          <w:tcPr>
            <w:tcW w:w="0" w:type="auto"/>
            <w:tcBorders>
              <w:top w:val="nil"/>
              <w:left w:val="single" w:sz="4" w:space="0" w:color="auto"/>
              <w:bottom w:val="single" w:sz="4" w:space="0" w:color="auto"/>
              <w:right w:val="nil"/>
            </w:tcBorders>
            <w:shd w:val="clear" w:color="auto" w:fill="auto"/>
            <w:noWrap/>
          </w:tcPr>
          <w:p w14:paraId="2AFA3A3A" w14:textId="77777777" w:rsidR="008F16FC" w:rsidRPr="008F16FC" w:rsidRDefault="008F16FC" w:rsidP="008F16FC">
            <w:pPr>
              <w:jc w:val="right"/>
              <w:rPr>
                <w:rFonts w:eastAsia="Calibri"/>
                <w:sz w:val="20"/>
                <w:szCs w:val="20"/>
                <w:lang w:val="es-MX"/>
              </w:rPr>
            </w:pPr>
            <w:r w:rsidRPr="008F16FC">
              <w:rPr>
                <w:color w:val="000000"/>
                <w:sz w:val="20"/>
              </w:rPr>
              <w:t>2.829.057</w:t>
            </w:r>
          </w:p>
        </w:tc>
      </w:tr>
      <w:tr w:rsidR="008F16FC" w:rsidRPr="008F16FC" w14:paraId="4C58106B" w14:textId="77777777" w:rsidTr="008F16FC">
        <w:trPr>
          <w:trHeight w:val="300"/>
          <w:jc w:val="center"/>
        </w:trPr>
        <w:tc>
          <w:tcPr>
            <w:tcW w:w="2947" w:type="dxa"/>
            <w:tcBorders>
              <w:top w:val="nil"/>
              <w:left w:val="nil"/>
              <w:bottom w:val="nil"/>
              <w:right w:val="nil"/>
            </w:tcBorders>
            <w:shd w:val="clear" w:color="auto" w:fill="auto"/>
            <w:noWrap/>
            <w:vAlign w:val="center"/>
            <w:hideMark/>
          </w:tcPr>
          <w:p w14:paraId="614AB30C"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Rentabilidad</w:t>
            </w:r>
          </w:p>
        </w:tc>
        <w:tc>
          <w:tcPr>
            <w:tcW w:w="0" w:type="auto"/>
            <w:tcBorders>
              <w:top w:val="nil"/>
              <w:left w:val="nil"/>
              <w:bottom w:val="nil"/>
              <w:right w:val="single" w:sz="4" w:space="0" w:color="auto"/>
            </w:tcBorders>
            <w:shd w:val="clear" w:color="auto" w:fill="auto"/>
            <w:vAlign w:val="center"/>
          </w:tcPr>
          <w:p w14:paraId="09C3C8DA" w14:textId="77777777" w:rsidR="008F16FC" w:rsidRPr="008F16FC" w:rsidRDefault="008F16FC" w:rsidP="008F16FC">
            <w:pPr>
              <w:jc w:val="right"/>
              <w:rPr>
                <w:rFonts w:eastAsia="Calibri"/>
                <w:b/>
                <w:bCs/>
                <w:sz w:val="20"/>
                <w:szCs w:val="20"/>
                <w:lang w:val="es-MX"/>
              </w:rPr>
            </w:pPr>
          </w:p>
        </w:tc>
        <w:tc>
          <w:tcPr>
            <w:tcW w:w="0" w:type="auto"/>
            <w:tcBorders>
              <w:top w:val="nil"/>
              <w:left w:val="single" w:sz="4" w:space="0" w:color="auto"/>
              <w:bottom w:val="nil"/>
              <w:right w:val="nil"/>
            </w:tcBorders>
            <w:shd w:val="clear" w:color="auto" w:fill="auto"/>
            <w:vAlign w:val="bottom"/>
          </w:tcPr>
          <w:p w14:paraId="36FCFF7B"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3%</w:t>
            </w:r>
          </w:p>
        </w:tc>
        <w:tc>
          <w:tcPr>
            <w:tcW w:w="0" w:type="auto"/>
            <w:tcBorders>
              <w:top w:val="nil"/>
              <w:left w:val="single" w:sz="4" w:space="0" w:color="auto"/>
              <w:bottom w:val="nil"/>
              <w:right w:val="nil"/>
            </w:tcBorders>
            <w:shd w:val="clear" w:color="auto" w:fill="auto"/>
            <w:noWrap/>
            <w:vAlign w:val="bottom"/>
          </w:tcPr>
          <w:p w14:paraId="22E1D293" w14:textId="77777777" w:rsidR="008F16FC" w:rsidRPr="008F16FC" w:rsidRDefault="008F16FC" w:rsidP="008F16FC">
            <w:pPr>
              <w:jc w:val="right"/>
              <w:rPr>
                <w:rFonts w:eastAsia="Calibri"/>
                <w:b/>
                <w:sz w:val="20"/>
                <w:szCs w:val="20"/>
                <w:lang w:val="es-MX"/>
              </w:rPr>
            </w:pPr>
            <w:r w:rsidRPr="008F16FC">
              <w:rPr>
                <w:rFonts w:eastAsia="Calibri"/>
                <w:b/>
                <w:sz w:val="20"/>
                <w:szCs w:val="20"/>
                <w:lang w:val="es-MX"/>
              </w:rPr>
              <w:t>11%</w:t>
            </w:r>
          </w:p>
        </w:tc>
      </w:tr>
    </w:tbl>
    <w:p w14:paraId="697AA97E" w14:textId="77777777" w:rsidR="008F16FC" w:rsidRPr="008F16FC" w:rsidRDefault="008F16FC" w:rsidP="008F16FC">
      <w:pPr>
        <w:rPr>
          <w:rFonts w:eastAsia="Calibri"/>
          <w:b/>
          <w:bCs/>
          <w:sz w:val="20"/>
          <w:szCs w:val="20"/>
          <w:lang w:val="es-MX"/>
        </w:rPr>
      </w:pPr>
    </w:p>
    <w:p w14:paraId="21C531B3" w14:textId="77777777" w:rsidR="008F16FC" w:rsidRPr="008F16FC" w:rsidRDefault="008F16FC" w:rsidP="008F16FC">
      <w:pPr>
        <w:spacing w:after="200" w:line="276" w:lineRule="auto"/>
        <w:rPr>
          <w:rFonts w:eastAsia="Calibri"/>
          <w:b/>
          <w:bCs/>
          <w:sz w:val="20"/>
          <w:szCs w:val="20"/>
          <w:lang w:val="es-MX"/>
        </w:rPr>
      </w:pPr>
      <w:r w:rsidRPr="008F16FC">
        <w:rPr>
          <w:rFonts w:eastAsia="Calibri"/>
          <w:b/>
          <w:bCs/>
          <w:sz w:val="20"/>
          <w:szCs w:val="20"/>
          <w:lang w:val="es-MX"/>
        </w:rPr>
        <w:t>c) Capitalización y endeudamiento</w:t>
      </w:r>
    </w:p>
    <w:p w14:paraId="25105B39" w14:textId="77777777" w:rsidR="008F16FC" w:rsidRPr="008F16FC" w:rsidRDefault="008F16FC" w:rsidP="008F16FC">
      <w:pPr>
        <w:spacing w:after="200" w:line="276" w:lineRule="auto"/>
        <w:jc w:val="both"/>
        <w:rPr>
          <w:rFonts w:eastAsia="Calibri"/>
          <w:bCs/>
          <w:sz w:val="20"/>
          <w:szCs w:val="20"/>
          <w:lang w:val="es-MX"/>
        </w:rPr>
      </w:pPr>
      <w:r w:rsidRPr="008F16FC">
        <w:rPr>
          <w:rFonts w:eastAsia="Calibri"/>
          <w:bCs/>
          <w:sz w:val="20"/>
          <w:szCs w:val="20"/>
          <w:lang w:val="es-MX"/>
        </w:rPr>
        <w:t xml:space="preserve">La principal fuente de financiamiento a que acude la empresa en virtud de sus proyectos en el exterior es a través de prefinanciación de exportaciones. Adicionalmente, INVAP se encuentra bajo el régimen de oferta pública como alternativa de financiación en el marco de un programa de USD 50 Millones. </w:t>
      </w:r>
    </w:p>
    <w:p w14:paraId="7F886036" w14:textId="77777777" w:rsidR="008F16FC" w:rsidRPr="008F16FC" w:rsidRDefault="008F16FC" w:rsidP="008F16FC">
      <w:pPr>
        <w:spacing w:after="200" w:line="276" w:lineRule="auto"/>
        <w:jc w:val="both"/>
        <w:rPr>
          <w:rFonts w:eastAsia="Calibri"/>
          <w:bCs/>
          <w:sz w:val="20"/>
          <w:szCs w:val="20"/>
          <w:lang w:val="es-MX"/>
        </w:rPr>
      </w:pPr>
      <w:r w:rsidRPr="008F16FC">
        <w:rPr>
          <w:rFonts w:eastAsia="Calibri"/>
          <w:bCs/>
          <w:sz w:val="20"/>
          <w:szCs w:val="20"/>
          <w:lang w:val="es-MX"/>
        </w:rPr>
        <w:t>Dependiendo de las condiciones del mercado financiero, se acude a financiamiento bancario tradicional y eventualmente a líneas preacordadas de descubierto bancario para cubrir necesidades puntuales de capital de trabajo.</w:t>
      </w: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2013"/>
        <w:gridCol w:w="1714"/>
        <w:gridCol w:w="1262"/>
      </w:tblGrid>
      <w:tr w:rsidR="008F16FC" w:rsidRPr="00BC69AA" w14:paraId="41A24FC1" w14:textId="77777777" w:rsidTr="00BA304B">
        <w:trPr>
          <w:trHeight w:val="454"/>
          <w:jc w:val="center"/>
        </w:trPr>
        <w:tc>
          <w:tcPr>
            <w:tcW w:w="3230" w:type="dxa"/>
            <w:vAlign w:val="center"/>
          </w:tcPr>
          <w:p w14:paraId="2DDFF4E6" w14:textId="77777777" w:rsidR="008F16FC" w:rsidRPr="00BA304B" w:rsidRDefault="008F16FC" w:rsidP="00BA304B">
            <w:pPr>
              <w:spacing w:after="200" w:line="276" w:lineRule="auto"/>
              <w:jc w:val="center"/>
              <w:rPr>
                <w:rFonts w:eastAsia="Calibri"/>
                <w:b/>
                <w:sz w:val="18"/>
                <w:lang w:val="es-AR"/>
              </w:rPr>
            </w:pPr>
            <w:r w:rsidRPr="00BA304B">
              <w:rPr>
                <w:rFonts w:eastAsia="Calibri"/>
                <w:b/>
                <w:sz w:val="18"/>
                <w:lang w:val="es-AR"/>
              </w:rPr>
              <w:t>Entidad</w:t>
            </w:r>
          </w:p>
        </w:tc>
        <w:tc>
          <w:tcPr>
            <w:tcW w:w="2013" w:type="dxa"/>
            <w:vAlign w:val="center"/>
          </w:tcPr>
          <w:p w14:paraId="03C2EA02" w14:textId="77777777" w:rsidR="008F16FC" w:rsidRPr="00BA304B" w:rsidRDefault="008F16FC" w:rsidP="00BA304B">
            <w:pPr>
              <w:spacing w:after="200" w:line="276" w:lineRule="auto"/>
              <w:jc w:val="center"/>
              <w:rPr>
                <w:rFonts w:eastAsia="Calibri"/>
                <w:b/>
                <w:sz w:val="18"/>
                <w:lang w:val="es-AR"/>
              </w:rPr>
            </w:pPr>
            <w:r w:rsidRPr="00BA304B">
              <w:rPr>
                <w:rFonts w:eastAsia="Calibri"/>
                <w:b/>
                <w:sz w:val="18"/>
                <w:lang w:val="es-AR"/>
              </w:rPr>
              <w:t>Capital</w:t>
            </w:r>
          </w:p>
        </w:tc>
        <w:tc>
          <w:tcPr>
            <w:tcW w:w="1714" w:type="dxa"/>
            <w:vAlign w:val="center"/>
          </w:tcPr>
          <w:p w14:paraId="67980905" w14:textId="77777777" w:rsidR="008F16FC" w:rsidRPr="00BA304B" w:rsidRDefault="008F16FC" w:rsidP="00BA304B">
            <w:pPr>
              <w:spacing w:after="200" w:line="276" w:lineRule="auto"/>
              <w:jc w:val="center"/>
              <w:rPr>
                <w:rFonts w:eastAsia="Calibri"/>
                <w:b/>
                <w:sz w:val="18"/>
                <w:lang w:val="es-AR"/>
              </w:rPr>
            </w:pPr>
            <w:r w:rsidRPr="00BA304B">
              <w:rPr>
                <w:rFonts w:eastAsia="Calibri"/>
                <w:b/>
                <w:sz w:val="18"/>
                <w:lang w:val="es-AR"/>
              </w:rPr>
              <w:t>Tasa</w:t>
            </w:r>
            <w:r w:rsidRPr="00727BCF">
              <w:rPr>
                <w:rFonts w:eastAsia="Calibri"/>
                <w:b/>
                <w:sz w:val="18"/>
                <w:szCs w:val="18"/>
                <w:lang w:val="es-AR"/>
              </w:rPr>
              <w:t xml:space="preserve"> %</w:t>
            </w:r>
          </w:p>
        </w:tc>
        <w:tc>
          <w:tcPr>
            <w:tcW w:w="1262" w:type="dxa"/>
            <w:vAlign w:val="center"/>
          </w:tcPr>
          <w:p w14:paraId="4E9EEACB" w14:textId="77777777" w:rsidR="008F16FC" w:rsidRPr="00BA304B" w:rsidRDefault="008F16FC" w:rsidP="00BA304B">
            <w:pPr>
              <w:tabs>
                <w:tab w:val="left" w:pos="1026"/>
              </w:tabs>
              <w:spacing w:after="200" w:line="276" w:lineRule="auto"/>
              <w:jc w:val="center"/>
              <w:rPr>
                <w:rFonts w:eastAsia="Calibri"/>
                <w:b/>
                <w:sz w:val="18"/>
                <w:lang w:val="es-AR"/>
              </w:rPr>
            </w:pPr>
            <w:r w:rsidRPr="00BA304B">
              <w:rPr>
                <w:rFonts w:eastAsia="Calibri"/>
                <w:b/>
                <w:sz w:val="18"/>
                <w:lang w:val="es-AR"/>
              </w:rPr>
              <w:t>VTO</w:t>
            </w:r>
          </w:p>
        </w:tc>
      </w:tr>
      <w:tr w:rsidR="008F16FC" w:rsidRPr="00BC69AA" w14:paraId="5EABBF8B" w14:textId="77777777" w:rsidTr="00BA304B">
        <w:trPr>
          <w:trHeight w:val="454"/>
          <w:jc w:val="center"/>
        </w:trPr>
        <w:tc>
          <w:tcPr>
            <w:tcW w:w="3230" w:type="dxa"/>
            <w:vAlign w:val="center"/>
          </w:tcPr>
          <w:p w14:paraId="0ADA6912" w14:textId="5C98EE3C" w:rsidR="008F16FC" w:rsidRPr="00BA304B" w:rsidRDefault="008F16FC" w:rsidP="00BA304B">
            <w:pPr>
              <w:spacing w:after="200" w:line="276" w:lineRule="auto"/>
              <w:rPr>
                <w:rFonts w:eastAsia="Calibri"/>
                <w:sz w:val="18"/>
                <w:lang w:val="es-AR"/>
              </w:rPr>
            </w:pPr>
            <w:r w:rsidRPr="00BA304B">
              <w:rPr>
                <w:rFonts w:eastAsia="Calibri"/>
                <w:sz w:val="18"/>
                <w:lang w:val="es-AR"/>
              </w:rPr>
              <w:t xml:space="preserve">BICE EN USD PREFI EXPO </w:t>
            </w:r>
            <w:r w:rsidRPr="00727BCF">
              <w:rPr>
                <w:rFonts w:eastAsia="Calibri"/>
                <w:sz w:val="18"/>
                <w:szCs w:val="18"/>
                <w:lang w:val="es-AR"/>
              </w:rPr>
              <w:t>17233</w:t>
            </w:r>
          </w:p>
        </w:tc>
        <w:tc>
          <w:tcPr>
            <w:tcW w:w="2013" w:type="dxa"/>
            <w:vAlign w:val="center"/>
          </w:tcPr>
          <w:p w14:paraId="77FD95BA" w14:textId="71F859B2"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 xml:space="preserve">USD </w:t>
            </w:r>
            <w:r w:rsidRPr="00727BCF">
              <w:rPr>
                <w:rFonts w:eastAsia="Calibri"/>
                <w:sz w:val="18"/>
                <w:szCs w:val="18"/>
                <w:lang w:val="es-AR"/>
              </w:rPr>
              <w:t>3</w:t>
            </w:r>
            <w:r w:rsidRPr="00BA304B">
              <w:rPr>
                <w:rFonts w:eastAsia="Calibri"/>
                <w:sz w:val="18"/>
                <w:lang w:val="es-AR"/>
              </w:rPr>
              <w:t>.000.000.-</w:t>
            </w:r>
          </w:p>
        </w:tc>
        <w:tc>
          <w:tcPr>
            <w:tcW w:w="1714" w:type="dxa"/>
            <w:vAlign w:val="center"/>
          </w:tcPr>
          <w:p w14:paraId="5665F7A1" w14:textId="5F960310"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6</w:t>
            </w:r>
            <w:r w:rsidRPr="00727BCF">
              <w:rPr>
                <w:rFonts w:eastAsia="Calibri"/>
                <w:sz w:val="18"/>
                <w:szCs w:val="18"/>
                <w:lang w:val="es-AR"/>
              </w:rPr>
              <w:t>,</w:t>
            </w:r>
            <w:r w:rsidRPr="00BA304B">
              <w:rPr>
                <w:rFonts w:eastAsia="Calibri"/>
                <w:sz w:val="18"/>
                <w:lang w:val="es-AR"/>
              </w:rPr>
              <w:t>25</w:t>
            </w:r>
          </w:p>
        </w:tc>
        <w:tc>
          <w:tcPr>
            <w:tcW w:w="1262" w:type="dxa"/>
            <w:vAlign w:val="center"/>
          </w:tcPr>
          <w:p w14:paraId="20D9CD75" w14:textId="19007154"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27-11</w:t>
            </w:r>
            <w:r w:rsidRPr="00BA304B">
              <w:rPr>
                <w:rFonts w:eastAsia="Calibri"/>
                <w:sz w:val="18"/>
                <w:lang w:val="es-AR"/>
              </w:rPr>
              <w:t>-2019</w:t>
            </w:r>
          </w:p>
        </w:tc>
      </w:tr>
      <w:tr w:rsidR="008F16FC" w:rsidRPr="00BC69AA" w14:paraId="15B482F8" w14:textId="77777777" w:rsidTr="00BA304B">
        <w:trPr>
          <w:trHeight w:val="454"/>
          <w:jc w:val="center"/>
        </w:trPr>
        <w:tc>
          <w:tcPr>
            <w:tcW w:w="3230" w:type="dxa"/>
            <w:vAlign w:val="center"/>
          </w:tcPr>
          <w:p w14:paraId="7DE0209E" w14:textId="4108684D" w:rsidR="008F16FC" w:rsidRPr="00BA304B" w:rsidRDefault="008F16FC" w:rsidP="00BA304B">
            <w:pPr>
              <w:spacing w:after="200" w:line="276" w:lineRule="auto"/>
              <w:rPr>
                <w:rFonts w:eastAsia="Calibri"/>
                <w:sz w:val="18"/>
                <w:lang w:val="es-AR"/>
              </w:rPr>
            </w:pPr>
            <w:r w:rsidRPr="00BA304B">
              <w:rPr>
                <w:rFonts w:eastAsia="Calibri"/>
                <w:sz w:val="18"/>
                <w:lang w:val="es-AR"/>
              </w:rPr>
              <w:t xml:space="preserve">BICE EN USD PREFI EXPO </w:t>
            </w:r>
            <w:r w:rsidRPr="00727BCF">
              <w:rPr>
                <w:rFonts w:eastAsia="Calibri"/>
                <w:sz w:val="18"/>
                <w:szCs w:val="18"/>
                <w:lang w:val="es-AR"/>
              </w:rPr>
              <w:t>17250</w:t>
            </w:r>
          </w:p>
        </w:tc>
        <w:tc>
          <w:tcPr>
            <w:tcW w:w="2013" w:type="dxa"/>
            <w:vAlign w:val="center"/>
          </w:tcPr>
          <w:p w14:paraId="1A504789" w14:textId="77777777"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USD 2.000.000.-</w:t>
            </w:r>
          </w:p>
        </w:tc>
        <w:tc>
          <w:tcPr>
            <w:tcW w:w="1714" w:type="dxa"/>
            <w:vAlign w:val="center"/>
          </w:tcPr>
          <w:p w14:paraId="14D5093F" w14:textId="7A962211"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6</w:t>
            </w:r>
            <w:r w:rsidRPr="00727BCF">
              <w:rPr>
                <w:rFonts w:eastAsia="Calibri"/>
                <w:sz w:val="18"/>
                <w:szCs w:val="18"/>
                <w:lang w:val="es-AR"/>
              </w:rPr>
              <w:t>,</w:t>
            </w:r>
            <w:r w:rsidRPr="00BA304B">
              <w:rPr>
                <w:rFonts w:eastAsia="Calibri"/>
                <w:sz w:val="18"/>
                <w:lang w:val="es-AR"/>
              </w:rPr>
              <w:t>25</w:t>
            </w:r>
          </w:p>
        </w:tc>
        <w:tc>
          <w:tcPr>
            <w:tcW w:w="1262" w:type="dxa"/>
            <w:vAlign w:val="center"/>
          </w:tcPr>
          <w:p w14:paraId="4BD06B63" w14:textId="6CA5ED0B"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31-12</w:t>
            </w:r>
            <w:r w:rsidRPr="00BA304B">
              <w:rPr>
                <w:rFonts w:eastAsia="Calibri"/>
                <w:sz w:val="18"/>
                <w:lang w:val="es-AR"/>
              </w:rPr>
              <w:t>-2019</w:t>
            </w:r>
          </w:p>
        </w:tc>
      </w:tr>
      <w:tr w:rsidR="008F16FC" w:rsidRPr="00BC69AA" w14:paraId="3D4A2680" w14:textId="77777777" w:rsidTr="00BA304B">
        <w:trPr>
          <w:trHeight w:val="454"/>
          <w:jc w:val="center"/>
        </w:trPr>
        <w:tc>
          <w:tcPr>
            <w:tcW w:w="3230" w:type="dxa"/>
            <w:vAlign w:val="center"/>
          </w:tcPr>
          <w:p w14:paraId="49111AF1" w14:textId="3483BD67" w:rsidR="008F16FC" w:rsidRPr="00BA304B" w:rsidRDefault="008F16FC" w:rsidP="00BA304B">
            <w:pPr>
              <w:spacing w:after="200" w:line="276" w:lineRule="auto"/>
              <w:rPr>
                <w:rFonts w:eastAsia="Calibri"/>
                <w:sz w:val="18"/>
                <w:lang w:val="es-AR"/>
              </w:rPr>
            </w:pPr>
            <w:r w:rsidRPr="00BA304B">
              <w:rPr>
                <w:rFonts w:eastAsia="Calibri"/>
                <w:sz w:val="18"/>
                <w:lang w:val="es-AR"/>
              </w:rPr>
              <w:t xml:space="preserve">BICE EN USD PREFI EXPO </w:t>
            </w:r>
            <w:r w:rsidRPr="00727BCF">
              <w:rPr>
                <w:rFonts w:eastAsia="Calibri"/>
                <w:sz w:val="18"/>
                <w:szCs w:val="18"/>
                <w:lang w:val="es-AR"/>
              </w:rPr>
              <w:t>17322</w:t>
            </w:r>
          </w:p>
        </w:tc>
        <w:tc>
          <w:tcPr>
            <w:tcW w:w="2013" w:type="dxa"/>
            <w:vAlign w:val="center"/>
          </w:tcPr>
          <w:p w14:paraId="304367E4" w14:textId="3D05DC61"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 xml:space="preserve">USD </w:t>
            </w:r>
            <w:r w:rsidRPr="00727BCF">
              <w:rPr>
                <w:rFonts w:eastAsia="Calibri"/>
                <w:sz w:val="18"/>
                <w:szCs w:val="18"/>
                <w:lang w:val="es-AR"/>
              </w:rPr>
              <w:t>2</w:t>
            </w:r>
            <w:r w:rsidRPr="00BA304B">
              <w:rPr>
                <w:rFonts w:eastAsia="Calibri"/>
                <w:sz w:val="18"/>
                <w:lang w:val="es-AR"/>
              </w:rPr>
              <w:t>.000.000.-</w:t>
            </w:r>
          </w:p>
        </w:tc>
        <w:tc>
          <w:tcPr>
            <w:tcW w:w="1714" w:type="dxa"/>
            <w:vAlign w:val="center"/>
          </w:tcPr>
          <w:p w14:paraId="24F57597" w14:textId="24E4456A"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6</w:t>
            </w:r>
            <w:r w:rsidRPr="00727BCF">
              <w:rPr>
                <w:rFonts w:eastAsia="Calibri"/>
                <w:sz w:val="18"/>
                <w:szCs w:val="18"/>
                <w:lang w:val="es-AR"/>
              </w:rPr>
              <w:t>,</w:t>
            </w:r>
            <w:r w:rsidRPr="00BA304B">
              <w:rPr>
                <w:rFonts w:eastAsia="Calibri"/>
                <w:sz w:val="18"/>
                <w:lang w:val="es-AR"/>
              </w:rPr>
              <w:t>25</w:t>
            </w:r>
          </w:p>
        </w:tc>
        <w:tc>
          <w:tcPr>
            <w:tcW w:w="1262" w:type="dxa"/>
            <w:vAlign w:val="center"/>
          </w:tcPr>
          <w:p w14:paraId="77ACDA93" w14:textId="6447B49E"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22-01-2020</w:t>
            </w:r>
          </w:p>
        </w:tc>
      </w:tr>
      <w:tr w:rsidR="008F16FC" w:rsidRPr="00BC69AA" w14:paraId="01E1584F" w14:textId="77777777" w:rsidTr="00BA304B">
        <w:trPr>
          <w:trHeight w:val="454"/>
          <w:jc w:val="center"/>
        </w:trPr>
        <w:tc>
          <w:tcPr>
            <w:tcW w:w="3230" w:type="dxa"/>
            <w:vAlign w:val="center"/>
          </w:tcPr>
          <w:p w14:paraId="60B3C1F5" w14:textId="2DE90BAF" w:rsidR="008F16FC" w:rsidRPr="00BA304B" w:rsidRDefault="008F16FC" w:rsidP="00BA304B">
            <w:pPr>
              <w:spacing w:after="200" w:line="276" w:lineRule="auto"/>
              <w:rPr>
                <w:rFonts w:eastAsia="Calibri"/>
                <w:sz w:val="18"/>
                <w:lang w:val="es-AR"/>
              </w:rPr>
            </w:pPr>
            <w:r w:rsidRPr="00BA304B">
              <w:rPr>
                <w:rFonts w:eastAsia="Calibri"/>
                <w:sz w:val="18"/>
                <w:lang w:val="es-AR"/>
              </w:rPr>
              <w:t xml:space="preserve">BICE EN USD PREFI EXPO </w:t>
            </w:r>
            <w:r w:rsidRPr="00727BCF">
              <w:rPr>
                <w:rFonts w:eastAsia="Calibri"/>
                <w:sz w:val="18"/>
                <w:szCs w:val="18"/>
                <w:lang w:val="es-AR"/>
              </w:rPr>
              <w:t>17562</w:t>
            </w:r>
          </w:p>
        </w:tc>
        <w:tc>
          <w:tcPr>
            <w:tcW w:w="2013" w:type="dxa"/>
            <w:vAlign w:val="center"/>
          </w:tcPr>
          <w:p w14:paraId="6B24BC74" w14:textId="77777777"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USD 2.000.000.-</w:t>
            </w:r>
          </w:p>
        </w:tc>
        <w:tc>
          <w:tcPr>
            <w:tcW w:w="1714" w:type="dxa"/>
            <w:vAlign w:val="center"/>
          </w:tcPr>
          <w:p w14:paraId="7B5E8FEB" w14:textId="6071FCD5"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15,00</w:t>
            </w:r>
          </w:p>
        </w:tc>
        <w:tc>
          <w:tcPr>
            <w:tcW w:w="1262" w:type="dxa"/>
            <w:vAlign w:val="center"/>
          </w:tcPr>
          <w:p w14:paraId="75C42C38" w14:textId="0FFD636E"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22-04-2020</w:t>
            </w:r>
          </w:p>
        </w:tc>
      </w:tr>
      <w:tr w:rsidR="008F16FC" w:rsidRPr="00BC69AA" w14:paraId="72323AB5" w14:textId="77777777" w:rsidTr="00BA304B">
        <w:trPr>
          <w:trHeight w:val="454"/>
          <w:jc w:val="center"/>
        </w:trPr>
        <w:tc>
          <w:tcPr>
            <w:tcW w:w="3230" w:type="dxa"/>
            <w:vAlign w:val="center"/>
          </w:tcPr>
          <w:p w14:paraId="3D057AD5" w14:textId="06DC2398" w:rsidR="008F16FC" w:rsidRPr="00BA304B" w:rsidRDefault="008F16FC" w:rsidP="00BA304B">
            <w:pPr>
              <w:spacing w:after="200" w:line="276" w:lineRule="auto"/>
              <w:rPr>
                <w:rFonts w:eastAsia="Calibri"/>
                <w:sz w:val="18"/>
                <w:lang w:val="es-AR"/>
              </w:rPr>
            </w:pPr>
            <w:r w:rsidRPr="00BA304B">
              <w:rPr>
                <w:rFonts w:eastAsia="Calibri"/>
                <w:sz w:val="18"/>
                <w:lang w:val="es-AR"/>
              </w:rPr>
              <w:t xml:space="preserve">BICE EN USD PREFI EXPO </w:t>
            </w:r>
            <w:r w:rsidRPr="00727BCF">
              <w:rPr>
                <w:rFonts w:eastAsia="Calibri"/>
                <w:sz w:val="18"/>
                <w:szCs w:val="18"/>
                <w:lang w:val="es-AR"/>
              </w:rPr>
              <w:t>17573</w:t>
            </w:r>
          </w:p>
        </w:tc>
        <w:tc>
          <w:tcPr>
            <w:tcW w:w="2013" w:type="dxa"/>
            <w:vAlign w:val="center"/>
          </w:tcPr>
          <w:p w14:paraId="164616B3" w14:textId="464E2D46"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 xml:space="preserve">USD </w:t>
            </w:r>
            <w:r w:rsidRPr="00727BCF">
              <w:rPr>
                <w:rFonts w:eastAsia="Calibri"/>
                <w:sz w:val="18"/>
                <w:szCs w:val="18"/>
                <w:lang w:val="es-AR"/>
              </w:rPr>
              <w:t>1</w:t>
            </w:r>
            <w:r w:rsidRPr="00BA304B">
              <w:rPr>
                <w:rFonts w:eastAsia="Calibri"/>
                <w:sz w:val="18"/>
                <w:lang w:val="es-AR"/>
              </w:rPr>
              <w:t>.000.000.-</w:t>
            </w:r>
          </w:p>
        </w:tc>
        <w:tc>
          <w:tcPr>
            <w:tcW w:w="1714" w:type="dxa"/>
            <w:vAlign w:val="center"/>
          </w:tcPr>
          <w:p w14:paraId="19E188ED" w14:textId="402BB2F7"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15,00</w:t>
            </w:r>
          </w:p>
        </w:tc>
        <w:tc>
          <w:tcPr>
            <w:tcW w:w="1262" w:type="dxa"/>
            <w:vAlign w:val="center"/>
          </w:tcPr>
          <w:p w14:paraId="7C4EB2E7" w14:textId="677D9415"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28-04</w:t>
            </w:r>
            <w:r w:rsidRPr="00BA304B">
              <w:rPr>
                <w:rFonts w:eastAsia="Calibri"/>
                <w:sz w:val="18"/>
                <w:lang w:val="es-AR"/>
              </w:rPr>
              <w:t>-2020</w:t>
            </w:r>
          </w:p>
        </w:tc>
      </w:tr>
      <w:tr w:rsidR="008F16FC" w:rsidRPr="00BC69AA" w14:paraId="4AC2C578" w14:textId="77777777" w:rsidTr="00BA304B">
        <w:trPr>
          <w:trHeight w:val="454"/>
          <w:jc w:val="center"/>
        </w:trPr>
        <w:tc>
          <w:tcPr>
            <w:tcW w:w="3230" w:type="dxa"/>
            <w:vAlign w:val="center"/>
          </w:tcPr>
          <w:p w14:paraId="0C031616" w14:textId="57A6C81D" w:rsidR="008F16FC" w:rsidRPr="00BA304B" w:rsidRDefault="008F16FC" w:rsidP="00BA304B">
            <w:pPr>
              <w:spacing w:after="200" w:line="276" w:lineRule="auto"/>
              <w:rPr>
                <w:rFonts w:eastAsia="Calibri"/>
                <w:sz w:val="18"/>
                <w:lang w:val="es-AR"/>
              </w:rPr>
            </w:pPr>
            <w:r w:rsidRPr="00BA304B">
              <w:rPr>
                <w:rFonts w:eastAsia="Calibri"/>
                <w:sz w:val="18"/>
                <w:lang w:val="es-AR"/>
              </w:rPr>
              <w:t xml:space="preserve">BANCO GALICIA </w:t>
            </w:r>
          </w:p>
        </w:tc>
        <w:tc>
          <w:tcPr>
            <w:tcW w:w="2013" w:type="dxa"/>
            <w:vAlign w:val="center"/>
          </w:tcPr>
          <w:p w14:paraId="6D7305DC" w14:textId="77777777"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USD 2.000.000.-</w:t>
            </w:r>
          </w:p>
        </w:tc>
        <w:tc>
          <w:tcPr>
            <w:tcW w:w="1714" w:type="dxa"/>
            <w:vAlign w:val="center"/>
          </w:tcPr>
          <w:p w14:paraId="70B4A7C7" w14:textId="3457DC40"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7,35</w:t>
            </w:r>
          </w:p>
        </w:tc>
        <w:tc>
          <w:tcPr>
            <w:tcW w:w="1262" w:type="dxa"/>
            <w:vAlign w:val="center"/>
          </w:tcPr>
          <w:p w14:paraId="5D957BFF" w14:textId="29A94351"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28-02</w:t>
            </w:r>
            <w:r w:rsidRPr="00BA304B">
              <w:rPr>
                <w:rFonts w:eastAsia="Calibri"/>
                <w:sz w:val="18"/>
                <w:lang w:val="es-AR"/>
              </w:rPr>
              <w:t>-2019</w:t>
            </w:r>
          </w:p>
        </w:tc>
      </w:tr>
      <w:tr w:rsidR="008F16FC" w:rsidRPr="00BC69AA" w14:paraId="5725B977" w14:textId="77777777" w:rsidTr="00BA304B">
        <w:trPr>
          <w:trHeight w:val="454"/>
          <w:jc w:val="center"/>
        </w:trPr>
        <w:tc>
          <w:tcPr>
            <w:tcW w:w="3230" w:type="dxa"/>
            <w:vAlign w:val="center"/>
          </w:tcPr>
          <w:p w14:paraId="2D1E72A6" w14:textId="77777777" w:rsidR="008F16FC" w:rsidRPr="00BA304B" w:rsidRDefault="008F16FC" w:rsidP="00BA304B">
            <w:pPr>
              <w:spacing w:after="200" w:line="276" w:lineRule="auto"/>
              <w:rPr>
                <w:rFonts w:eastAsia="Calibri"/>
                <w:sz w:val="18"/>
                <w:lang w:val="es-AR"/>
              </w:rPr>
            </w:pPr>
            <w:r w:rsidRPr="00BA304B">
              <w:rPr>
                <w:rFonts w:eastAsia="Calibri"/>
                <w:sz w:val="18"/>
                <w:lang w:val="es-AR"/>
              </w:rPr>
              <w:t>HSBC BANK</w:t>
            </w:r>
          </w:p>
        </w:tc>
        <w:tc>
          <w:tcPr>
            <w:tcW w:w="2013" w:type="dxa"/>
            <w:vAlign w:val="center"/>
          </w:tcPr>
          <w:p w14:paraId="04210CEB" w14:textId="5D883984"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 xml:space="preserve">$ </w:t>
            </w:r>
            <w:r w:rsidRPr="00727BCF">
              <w:rPr>
                <w:rFonts w:eastAsia="Calibri"/>
                <w:sz w:val="18"/>
                <w:szCs w:val="18"/>
                <w:lang w:val="es-AR"/>
              </w:rPr>
              <w:t>57</w:t>
            </w:r>
            <w:r w:rsidRPr="00BA304B">
              <w:rPr>
                <w:rFonts w:eastAsia="Calibri"/>
                <w:sz w:val="18"/>
                <w:lang w:val="es-AR"/>
              </w:rPr>
              <w:t>.000.000.-</w:t>
            </w:r>
          </w:p>
        </w:tc>
        <w:tc>
          <w:tcPr>
            <w:tcW w:w="1714" w:type="dxa"/>
            <w:vAlign w:val="center"/>
          </w:tcPr>
          <w:p w14:paraId="02F95935" w14:textId="4E13548B"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Fija 21,</w:t>
            </w:r>
            <w:r w:rsidRPr="00727BCF">
              <w:rPr>
                <w:rFonts w:eastAsia="Calibri"/>
                <w:sz w:val="18"/>
                <w:szCs w:val="18"/>
                <w:lang w:val="es-AR"/>
              </w:rPr>
              <w:t>5</w:t>
            </w:r>
          </w:p>
        </w:tc>
        <w:tc>
          <w:tcPr>
            <w:tcW w:w="1262" w:type="dxa"/>
            <w:vAlign w:val="center"/>
          </w:tcPr>
          <w:p w14:paraId="32E004D2" w14:textId="77777777"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20-07-2020</w:t>
            </w:r>
          </w:p>
        </w:tc>
      </w:tr>
      <w:tr w:rsidR="008F16FC" w:rsidRPr="00BC69AA" w14:paraId="7BA2B8B8" w14:textId="77777777" w:rsidTr="00BA304B">
        <w:trPr>
          <w:trHeight w:val="454"/>
          <w:jc w:val="center"/>
        </w:trPr>
        <w:tc>
          <w:tcPr>
            <w:tcW w:w="3230" w:type="dxa"/>
            <w:vAlign w:val="center"/>
          </w:tcPr>
          <w:p w14:paraId="5D48FE85" w14:textId="77777777" w:rsidR="008F16FC" w:rsidRPr="00BA304B" w:rsidRDefault="008F16FC" w:rsidP="00BA304B">
            <w:pPr>
              <w:spacing w:after="200" w:line="276" w:lineRule="auto"/>
              <w:rPr>
                <w:rFonts w:eastAsia="Calibri"/>
                <w:sz w:val="18"/>
                <w:lang w:val="es-AR"/>
              </w:rPr>
            </w:pPr>
            <w:r w:rsidRPr="00BA304B">
              <w:rPr>
                <w:rFonts w:eastAsia="Calibri"/>
                <w:sz w:val="18"/>
                <w:lang w:val="es-AR"/>
              </w:rPr>
              <w:t>BANCO DE LA PAMPA</w:t>
            </w:r>
          </w:p>
        </w:tc>
        <w:tc>
          <w:tcPr>
            <w:tcW w:w="2013" w:type="dxa"/>
            <w:vAlign w:val="center"/>
          </w:tcPr>
          <w:p w14:paraId="54590A8F" w14:textId="569F3F4C"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 xml:space="preserve">$ </w:t>
            </w:r>
            <w:r w:rsidRPr="00727BCF">
              <w:rPr>
                <w:rFonts w:eastAsia="Calibri"/>
                <w:sz w:val="18"/>
                <w:szCs w:val="18"/>
                <w:lang w:val="es-AR"/>
              </w:rPr>
              <w:t>1.047.474</w:t>
            </w:r>
            <w:r w:rsidRPr="00BA304B">
              <w:rPr>
                <w:rFonts w:eastAsia="Calibri"/>
                <w:sz w:val="18"/>
                <w:lang w:val="es-AR"/>
              </w:rPr>
              <w:t>.-</w:t>
            </w:r>
          </w:p>
        </w:tc>
        <w:tc>
          <w:tcPr>
            <w:tcW w:w="1714" w:type="dxa"/>
            <w:vAlign w:val="center"/>
          </w:tcPr>
          <w:p w14:paraId="76F6EC68" w14:textId="77777777"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Fija 29,00</w:t>
            </w:r>
          </w:p>
        </w:tc>
        <w:tc>
          <w:tcPr>
            <w:tcW w:w="1262" w:type="dxa"/>
            <w:vAlign w:val="center"/>
          </w:tcPr>
          <w:p w14:paraId="79D85786" w14:textId="77777777"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24-12-2019</w:t>
            </w:r>
          </w:p>
        </w:tc>
      </w:tr>
      <w:tr w:rsidR="008F16FC" w:rsidRPr="00BC69AA" w14:paraId="22CEBFC4" w14:textId="77777777" w:rsidTr="00BA304B">
        <w:trPr>
          <w:trHeight w:val="454"/>
          <w:jc w:val="center"/>
        </w:trPr>
        <w:tc>
          <w:tcPr>
            <w:tcW w:w="3230" w:type="dxa"/>
            <w:vAlign w:val="center"/>
          </w:tcPr>
          <w:p w14:paraId="2C957397" w14:textId="6E9EBE62" w:rsidR="008F16FC" w:rsidRPr="00BA304B" w:rsidRDefault="008F16FC" w:rsidP="00BA304B">
            <w:pPr>
              <w:spacing w:after="200" w:line="276" w:lineRule="auto"/>
              <w:rPr>
                <w:rFonts w:eastAsia="Calibri"/>
                <w:sz w:val="18"/>
                <w:lang w:val="es-AR"/>
              </w:rPr>
            </w:pPr>
            <w:r w:rsidRPr="00BA304B">
              <w:rPr>
                <w:rFonts w:eastAsia="Calibri"/>
                <w:sz w:val="18"/>
                <w:lang w:val="es-AR"/>
              </w:rPr>
              <w:t>Oblig. Negociables CIII Serie I</w:t>
            </w:r>
          </w:p>
        </w:tc>
        <w:tc>
          <w:tcPr>
            <w:tcW w:w="2013" w:type="dxa"/>
            <w:vAlign w:val="center"/>
          </w:tcPr>
          <w:p w14:paraId="7C802E5C" w14:textId="364C288B"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 xml:space="preserve">$ </w:t>
            </w:r>
            <w:r w:rsidRPr="00727BCF">
              <w:rPr>
                <w:rFonts w:eastAsia="Calibri"/>
                <w:sz w:val="18"/>
                <w:szCs w:val="18"/>
                <w:lang w:val="es-AR"/>
              </w:rPr>
              <w:t>50</w:t>
            </w:r>
            <w:r w:rsidRPr="00BA304B">
              <w:rPr>
                <w:rFonts w:eastAsia="Calibri"/>
                <w:sz w:val="18"/>
                <w:lang w:val="es-AR"/>
              </w:rPr>
              <w:t>.000.000.-</w:t>
            </w:r>
          </w:p>
        </w:tc>
        <w:tc>
          <w:tcPr>
            <w:tcW w:w="1714" w:type="dxa"/>
            <w:vAlign w:val="center"/>
          </w:tcPr>
          <w:p w14:paraId="5C7F7CB3" w14:textId="77777777"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Badlar promedio</w:t>
            </w:r>
          </w:p>
        </w:tc>
        <w:tc>
          <w:tcPr>
            <w:tcW w:w="1262" w:type="dxa"/>
            <w:vAlign w:val="center"/>
          </w:tcPr>
          <w:p w14:paraId="21DFD3D8" w14:textId="77777777"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20-10-2020</w:t>
            </w:r>
          </w:p>
        </w:tc>
      </w:tr>
      <w:tr w:rsidR="008F16FC" w:rsidRPr="00BC69AA" w14:paraId="4964ADAE" w14:textId="77777777" w:rsidTr="00BA304B">
        <w:trPr>
          <w:trHeight w:val="454"/>
          <w:jc w:val="center"/>
        </w:trPr>
        <w:tc>
          <w:tcPr>
            <w:tcW w:w="3230" w:type="dxa"/>
            <w:vAlign w:val="center"/>
          </w:tcPr>
          <w:p w14:paraId="709F81D1" w14:textId="22BC1F7C" w:rsidR="008F16FC" w:rsidRPr="00BA304B" w:rsidRDefault="008F16FC" w:rsidP="00BA304B">
            <w:pPr>
              <w:spacing w:after="200" w:line="276" w:lineRule="auto"/>
              <w:rPr>
                <w:rFonts w:eastAsia="Calibri"/>
                <w:sz w:val="18"/>
                <w:lang w:val="es-AR"/>
              </w:rPr>
            </w:pPr>
            <w:r w:rsidRPr="00BA304B">
              <w:rPr>
                <w:rFonts w:eastAsia="Calibri"/>
                <w:sz w:val="18"/>
                <w:lang w:val="es-AR"/>
              </w:rPr>
              <w:t xml:space="preserve">Oblig. Negociables </w:t>
            </w:r>
            <w:r w:rsidRPr="00727BCF">
              <w:rPr>
                <w:rFonts w:eastAsia="Calibri"/>
                <w:sz w:val="18"/>
                <w:szCs w:val="18"/>
                <w:lang w:val="es-AR"/>
              </w:rPr>
              <w:t>Corporativas</w:t>
            </w:r>
          </w:p>
        </w:tc>
        <w:tc>
          <w:tcPr>
            <w:tcW w:w="2013" w:type="dxa"/>
            <w:vAlign w:val="center"/>
          </w:tcPr>
          <w:p w14:paraId="324410EF" w14:textId="77777777"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$ 500.000.000.-</w:t>
            </w:r>
          </w:p>
        </w:tc>
        <w:tc>
          <w:tcPr>
            <w:tcW w:w="1714" w:type="dxa"/>
            <w:vAlign w:val="center"/>
          </w:tcPr>
          <w:p w14:paraId="784A6AC6" w14:textId="65FE8BBE"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Variable</w:t>
            </w:r>
          </w:p>
        </w:tc>
        <w:tc>
          <w:tcPr>
            <w:tcW w:w="1262" w:type="dxa"/>
            <w:vAlign w:val="center"/>
          </w:tcPr>
          <w:p w14:paraId="59EF38D8" w14:textId="7143ED6F"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31-07</w:t>
            </w:r>
            <w:r w:rsidRPr="00BA304B">
              <w:rPr>
                <w:rFonts w:eastAsia="Calibri"/>
                <w:sz w:val="18"/>
                <w:lang w:val="es-AR"/>
              </w:rPr>
              <w:t>-2023</w:t>
            </w:r>
          </w:p>
        </w:tc>
      </w:tr>
    </w:tbl>
    <w:p w14:paraId="4617530B" w14:textId="77777777" w:rsidR="008F16FC" w:rsidRPr="00512442" w:rsidRDefault="008F16FC" w:rsidP="00512442">
      <w:pPr>
        <w:jc w:val="both"/>
        <w:rPr>
          <w:rFonts w:eastAsia="Calibri"/>
          <w:color w:val="000000"/>
          <w:sz w:val="20"/>
          <w:lang w:val="es-MX"/>
        </w:rPr>
      </w:pPr>
    </w:p>
    <w:p w14:paraId="07D994A2" w14:textId="77777777" w:rsidR="008F16FC" w:rsidRPr="008F16FC" w:rsidRDefault="008F16FC" w:rsidP="008F16FC">
      <w:pPr>
        <w:widowControl w:val="0"/>
        <w:jc w:val="both"/>
        <w:outlineLvl w:val="1"/>
        <w:rPr>
          <w:rFonts w:eastAsia="Calibri"/>
          <w:b/>
          <w:bCs/>
          <w:sz w:val="20"/>
          <w:szCs w:val="20"/>
          <w:lang w:val="es-MX"/>
        </w:rPr>
      </w:pPr>
      <w:r w:rsidRPr="008F16FC">
        <w:rPr>
          <w:rFonts w:eastAsia="Calibri"/>
          <w:b/>
          <w:bCs/>
          <w:sz w:val="20"/>
          <w:szCs w:val="20"/>
          <w:lang w:val="es-MX"/>
        </w:rPr>
        <w:t xml:space="preserve">d) Capital Social </w:t>
      </w:r>
    </w:p>
    <w:p w14:paraId="4127B0D7" w14:textId="77777777" w:rsidR="008F16FC" w:rsidRPr="008F16FC" w:rsidRDefault="008F16FC" w:rsidP="008F16FC">
      <w:pPr>
        <w:widowControl w:val="0"/>
        <w:jc w:val="both"/>
        <w:outlineLvl w:val="1"/>
        <w:rPr>
          <w:rFonts w:eastAsia="Calibri"/>
          <w:b/>
          <w:bCs/>
          <w:sz w:val="20"/>
          <w:szCs w:val="20"/>
          <w:lang w:val="es-MX"/>
        </w:rPr>
      </w:pPr>
    </w:p>
    <w:p w14:paraId="2AB80578" w14:textId="77777777" w:rsidR="008F16FC" w:rsidRPr="008F16FC" w:rsidRDefault="008F16FC" w:rsidP="008F16FC">
      <w:pPr>
        <w:widowControl w:val="0"/>
        <w:jc w:val="both"/>
        <w:rPr>
          <w:rFonts w:eastAsia="Calibri"/>
          <w:sz w:val="20"/>
          <w:szCs w:val="20"/>
          <w:lang w:val="es-ES"/>
        </w:rPr>
      </w:pPr>
      <w:r w:rsidRPr="008F16FC">
        <w:rPr>
          <w:rFonts w:eastAsia="Calibri"/>
          <w:sz w:val="20"/>
          <w:szCs w:val="20"/>
          <w:lang w:val="es-ES"/>
        </w:rPr>
        <w:t xml:space="preserve">Al 30 de junio de 2019, la Emisora poseía un capital social establecido en la suma de $350.000.000, representado por $35.000 acciones de diez mil pesos ($10.000) de valor nominal cada una y </w:t>
      </w:r>
      <w:bookmarkStart w:id="45" w:name="_Hlk19262424"/>
      <w:r w:rsidRPr="008F16FC">
        <w:rPr>
          <w:rFonts w:eastAsia="Calibri"/>
          <w:sz w:val="20"/>
          <w:szCs w:val="20"/>
          <w:lang w:val="es-ES"/>
        </w:rPr>
        <w:t>con derecho a cinco votos las Clase “A”, a un voto las Clase “B” y sin derecho a voto las acciones preferidas, las cuales tendrán derecho a un pago de dividendo acumulativo o no, o preferencia de reembolso de capital, según lo determine la Asamblea</w:t>
      </w:r>
      <w:bookmarkEnd w:id="45"/>
      <w:r w:rsidRPr="008F16FC">
        <w:rPr>
          <w:rFonts w:eastAsia="Calibri"/>
          <w:sz w:val="20"/>
          <w:szCs w:val="20"/>
          <w:lang w:val="es-ES"/>
        </w:rPr>
        <w:t xml:space="preserve">. Todas las acciones se encuentran emitidas y totalmente integradas. </w:t>
      </w:r>
    </w:p>
    <w:p w14:paraId="70B68C81" w14:textId="77777777" w:rsidR="008F16FC" w:rsidRPr="008F16FC" w:rsidRDefault="008F16FC" w:rsidP="008F16FC">
      <w:pPr>
        <w:widowControl w:val="0"/>
        <w:jc w:val="both"/>
        <w:rPr>
          <w:rFonts w:eastAsia="Calibri"/>
          <w:sz w:val="20"/>
          <w:szCs w:val="20"/>
          <w:lang w:val="es-ES"/>
        </w:rPr>
      </w:pPr>
    </w:p>
    <w:p w14:paraId="26392EBF" w14:textId="77777777" w:rsidR="008F16FC" w:rsidRPr="008F16FC" w:rsidRDefault="008F16FC" w:rsidP="008F16FC">
      <w:pPr>
        <w:widowControl w:val="0"/>
        <w:jc w:val="both"/>
        <w:rPr>
          <w:rFonts w:eastAsia="Calibri"/>
          <w:sz w:val="20"/>
          <w:szCs w:val="20"/>
          <w:lang w:val="es-MX"/>
        </w:rPr>
      </w:pPr>
      <w:r w:rsidRPr="008F16FC">
        <w:rPr>
          <w:rFonts w:eastAsia="Calibri"/>
          <w:sz w:val="20"/>
          <w:szCs w:val="20"/>
          <w:lang w:val="es-MX"/>
        </w:rPr>
        <w:t xml:space="preserve">Posteriormente, </w:t>
      </w:r>
      <w:r w:rsidRPr="008F16FC">
        <w:rPr>
          <w:bCs/>
          <w:spacing w:val="-2"/>
          <w:sz w:val="20"/>
          <w:szCs w:val="20"/>
          <w:lang w:val="es-AR"/>
        </w:rPr>
        <w:t>en la Asamblea General Ordinaria y Extraordinaria celebrada el día 29 de octubre de 2019, la Sociedad decidió aumentar su capital social de $350.000.000 a $1.690.000.000, representado por 169.000 acciones de diez mil pesos ($10.000) de valor nominal cada una</w:t>
      </w:r>
      <w:r w:rsidRPr="008F16FC">
        <w:rPr>
          <w:rFonts w:eastAsia="Calibri"/>
          <w:sz w:val="20"/>
          <w:szCs w:val="20"/>
          <w:lang w:val="es-ES"/>
        </w:rPr>
        <w:t xml:space="preserve"> y con derecho a cinco votos las Clase “A”, a un voto las Clase “B” y sin derecho a voto las acciones preferidas, las cuales tendrán derecho a un pago de dividendo acumulativo o no, o preferencia de reembolso de capital, según lo determine la Asamblea. Todas las acciones se encuentran emitidas y totalmente integradas.</w:t>
      </w:r>
      <w:r w:rsidRPr="008F16FC">
        <w:rPr>
          <w:bCs/>
          <w:spacing w:val="-2"/>
          <w:sz w:val="20"/>
          <w:szCs w:val="20"/>
          <w:lang w:val="es-AR"/>
        </w:rPr>
        <w:t xml:space="preserve"> Dicho aumento de capital se encuentra pendiente de inscripción.</w:t>
      </w:r>
    </w:p>
    <w:p w14:paraId="7AC30EDA" w14:textId="77777777" w:rsidR="008F16FC" w:rsidRPr="008F16FC" w:rsidRDefault="008F16FC" w:rsidP="008F16FC">
      <w:pPr>
        <w:widowControl w:val="0"/>
        <w:jc w:val="both"/>
        <w:rPr>
          <w:rFonts w:eastAsia="Calibri"/>
          <w:sz w:val="20"/>
          <w:szCs w:val="20"/>
          <w:lang w:val="es-ES"/>
        </w:rPr>
      </w:pPr>
    </w:p>
    <w:p w14:paraId="281DCD9D" w14:textId="77777777" w:rsidR="008F16FC" w:rsidRPr="008F16FC" w:rsidRDefault="008F16FC" w:rsidP="008F16FC">
      <w:pPr>
        <w:tabs>
          <w:tab w:val="left" w:pos="1134"/>
        </w:tabs>
        <w:spacing w:line="276" w:lineRule="auto"/>
        <w:jc w:val="both"/>
        <w:rPr>
          <w:rFonts w:eastAsia="Calibri"/>
          <w:b/>
          <w:sz w:val="20"/>
          <w:szCs w:val="20"/>
          <w:lang w:val="es-MX"/>
        </w:rPr>
      </w:pPr>
      <w:r w:rsidRPr="008F16FC">
        <w:rPr>
          <w:rFonts w:eastAsia="Calibri"/>
          <w:b/>
          <w:sz w:val="20"/>
          <w:szCs w:val="20"/>
          <w:lang w:val="es-MX"/>
        </w:rPr>
        <w:t>e) Cambios Significativos</w:t>
      </w:r>
    </w:p>
    <w:p w14:paraId="1A65C2CD" w14:textId="77777777" w:rsidR="008F16FC" w:rsidRPr="008F16FC" w:rsidRDefault="008F16FC" w:rsidP="008F16FC">
      <w:pPr>
        <w:tabs>
          <w:tab w:val="left" w:pos="1134"/>
        </w:tabs>
        <w:spacing w:line="276" w:lineRule="auto"/>
        <w:jc w:val="both"/>
        <w:rPr>
          <w:rFonts w:eastAsia="Calibri"/>
          <w:sz w:val="20"/>
          <w:szCs w:val="20"/>
          <w:lang w:val="es-MX"/>
        </w:rPr>
      </w:pPr>
    </w:p>
    <w:p w14:paraId="4CEEDFE1" w14:textId="77777777" w:rsidR="008F16FC" w:rsidRPr="008F16FC" w:rsidRDefault="008F16FC" w:rsidP="008F16FC">
      <w:pPr>
        <w:tabs>
          <w:tab w:val="left" w:pos="1134"/>
        </w:tabs>
        <w:spacing w:line="276" w:lineRule="auto"/>
        <w:jc w:val="both"/>
        <w:rPr>
          <w:rFonts w:eastAsia="Calibri"/>
          <w:sz w:val="20"/>
          <w:szCs w:val="20"/>
          <w:lang w:val="es-MX"/>
        </w:rPr>
      </w:pPr>
      <w:r w:rsidRPr="008F16FC">
        <w:rPr>
          <w:rFonts w:eastAsia="Calibri"/>
          <w:sz w:val="20"/>
          <w:szCs w:val="20"/>
          <w:lang w:val="es-MX"/>
        </w:rPr>
        <w:t>-A principios de septiembre 2019, INVAP y GSATCOM (Turquía) han firmado un importante contrato para el desarrollo de satélites geoestacionarios de nueva generación.</w:t>
      </w:r>
    </w:p>
    <w:p w14:paraId="030F976E" w14:textId="77777777" w:rsidR="008F16FC" w:rsidRPr="008F16FC" w:rsidRDefault="008F16FC" w:rsidP="008F16FC">
      <w:pPr>
        <w:tabs>
          <w:tab w:val="left" w:pos="1134"/>
        </w:tabs>
        <w:spacing w:line="276" w:lineRule="auto"/>
        <w:jc w:val="both"/>
        <w:rPr>
          <w:rFonts w:eastAsia="Calibri"/>
          <w:sz w:val="20"/>
          <w:szCs w:val="20"/>
          <w:lang w:val="es-MX"/>
        </w:rPr>
      </w:pPr>
    </w:p>
    <w:p w14:paraId="0830FE87" w14:textId="77777777" w:rsidR="008F16FC" w:rsidRPr="008F16FC" w:rsidRDefault="008F16FC" w:rsidP="008F16FC">
      <w:pPr>
        <w:tabs>
          <w:tab w:val="left" w:pos="1134"/>
        </w:tabs>
        <w:spacing w:line="276" w:lineRule="auto"/>
        <w:jc w:val="both"/>
        <w:rPr>
          <w:rFonts w:eastAsia="Calibri"/>
          <w:sz w:val="20"/>
          <w:szCs w:val="20"/>
          <w:lang w:val="es-MX"/>
        </w:rPr>
      </w:pPr>
      <w:r w:rsidRPr="008F16FC">
        <w:rPr>
          <w:rFonts w:eastAsia="Calibri"/>
          <w:sz w:val="20"/>
          <w:szCs w:val="20"/>
          <w:lang w:val="es-MX"/>
        </w:rPr>
        <w:t>-En</w:t>
      </w:r>
      <w:r w:rsidRPr="008F16FC">
        <w:rPr>
          <w:bCs/>
          <w:spacing w:val="-2"/>
          <w:sz w:val="20"/>
          <w:szCs w:val="20"/>
          <w:lang w:val="es-AR"/>
        </w:rPr>
        <w:t xml:space="preserve"> la Asamblea General Ordinaria y Extraordinaria celebrada el día 29 de octubre de 2019, la Sociedad decidió aumentar su capital social de $350.000.000 a $1.690.000.000 conforme se indica en el apartado “</w:t>
      </w:r>
      <w:r w:rsidRPr="008F16FC">
        <w:rPr>
          <w:bCs/>
          <w:i/>
          <w:iCs/>
          <w:spacing w:val="-2"/>
          <w:sz w:val="20"/>
          <w:szCs w:val="20"/>
          <w:lang w:val="es-AR"/>
        </w:rPr>
        <w:t>d) Capital Social”</w:t>
      </w:r>
      <w:r w:rsidRPr="008F16FC">
        <w:rPr>
          <w:bCs/>
          <w:spacing w:val="-2"/>
          <w:sz w:val="20"/>
          <w:szCs w:val="20"/>
          <w:lang w:val="es-AR"/>
        </w:rPr>
        <w:t xml:space="preserve"> de este Capítulo.</w:t>
      </w:r>
    </w:p>
    <w:p w14:paraId="5AA130EC" w14:textId="77777777" w:rsidR="008F16FC" w:rsidRPr="008F16FC" w:rsidRDefault="008F16FC" w:rsidP="008F16FC">
      <w:pPr>
        <w:tabs>
          <w:tab w:val="left" w:pos="1134"/>
        </w:tabs>
        <w:spacing w:line="276" w:lineRule="auto"/>
        <w:jc w:val="both"/>
        <w:rPr>
          <w:rFonts w:eastAsia="Calibri"/>
          <w:sz w:val="20"/>
          <w:szCs w:val="20"/>
          <w:lang w:val="es-MX"/>
        </w:rPr>
      </w:pPr>
    </w:p>
    <w:p w14:paraId="74DEC130" w14:textId="77777777" w:rsidR="008F16FC" w:rsidRPr="008F16FC" w:rsidRDefault="008F16FC" w:rsidP="008F16FC">
      <w:pPr>
        <w:tabs>
          <w:tab w:val="left" w:pos="1134"/>
        </w:tabs>
        <w:spacing w:line="276" w:lineRule="auto"/>
        <w:jc w:val="both"/>
        <w:rPr>
          <w:rFonts w:eastAsia="Calibri"/>
          <w:b/>
          <w:bCs/>
          <w:sz w:val="20"/>
          <w:szCs w:val="20"/>
          <w:lang w:val="es-MX"/>
        </w:rPr>
      </w:pPr>
      <w:r w:rsidRPr="008F16FC">
        <w:rPr>
          <w:rFonts w:eastAsia="Calibri"/>
          <w:b/>
          <w:bCs/>
          <w:sz w:val="20"/>
          <w:szCs w:val="20"/>
          <w:lang w:val="es-MX"/>
        </w:rPr>
        <w:t>f) Cuestiones administrativas y judiciales</w:t>
      </w:r>
    </w:p>
    <w:p w14:paraId="20A63BD6" w14:textId="77777777" w:rsidR="008F16FC" w:rsidRPr="008F16FC" w:rsidRDefault="008F16FC" w:rsidP="008F16FC">
      <w:pPr>
        <w:tabs>
          <w:tab w:val="left" w:pos="1134"/>
        </w:tabs>
        <w:spacing w:line="276" w:lineRule="auto"/>
        <w:jc w:val="both"/>
        <w:rPr>
          <w:rFonts w:eastAsia="Calibri"/>
          <w:b/>
          <w:bCs/>
          <w:sz w:val="20"/>
          <w:szCs w:val="20"/>
          <w:lang w:val="es-MX"/>
        </w:rPr>
      </w:pPr>
    </w:p>
    <w:p w14:paraId="24523BB6" w14:textId="77777777" w:rsidR="008F16FC" w:rsidRPr="008F16FC" w:rsidRDefault="008F16FC" w:rsidP="008F16FC">
      <w:pPr>
        <w:jc w:val="both"/>
        <w:rPr>
          <w:rFonts w:eastAsia="Calibri"/>
          <w:iCs/>
          <w:sz w:val="20"/>
          <w:szCs w:val="20"/>
          <w:lang w:val="es-ES"/>
        </w:rPr>
      </w:pPr>
      <w:r w:rsidRPr="008F16FC">
        <w:rPr>
          <w:rFonts w:eastAsia="Calibri"/>
          <w:iCs/>
          <w:sz w:val="20"/>
          <w:szCs w:val="20"/>
          <w:lang w:val="es-ES"/>
        </w:rPr>
        <w:t>El Directorio de INVAP considera que no existen acontecimientos que no hayan sido detallados en el presente Prospecto que puedan afectar significativamente la situación patrimonial y financiera o los resultados de la Sociedad.</w:t>
      </w:r>
    </w:p>
    <w:p w14:paraId="01C98D16" w14:textId="77777777" w:rsidR="008F16FC" w:rsidRPr="008F16FC" w:rsidRDefault="008F16FC" w:rsidP="008F16FC">
      <w:pPr>
        <w:tabs>
          <w:tab w:val="left" w:pos="1134"/>
        </w:tabs>
        <w:spacing w:line="276" w:lineRule="auto"/>
        <w:jc w:val="both"/>
        <w:rPr>
          <w:rFonts w:eastAsia="Calibri"/>
          <w:b/>
          <w:bCs/>
          <w:sz w:val="20"/>
          <w:szCs w:val="20"/>
          <w:lang w:val="es-MX"/>
        </w:rPr>
      </w:pPr>
    </w:p>
    <w:p w14:paraId="2C3641E9" w14:textId="77777777" w:rsidR="008F16FC" w:rsidRPr="008F16FC" w:rsidRDefault="008F16FC" w:rsidP="008F16FC">
      <w:pPr>
        <w:widowControl w:val="0"/>
        <w:jc w:val="both"/>
        <w:rPr>
          <w:rFonts w:eastAsia="Calibri"/>
          <w:b/>
          <w:sz w:val="20"/>
          <w:szCs w:val="20"/>
          <w:lang w:val="es-ES"/>
        </w:rPr>
      </w:pPr>
      <w:r w:rsidRPr="008F16FC">
        <w:rPr>
          <w:rFonts w:eastAsia="Calibri"/>
          <w:b/>
          <w:sz w:val="20"/>
          <w:szCs w:val="20"/>
          <w:lang w:val="es-MX"/>
        </w:rPr>
        <w:t xml:space="preserve">g) </w:t>
      </w:r>
      <w:r w:rsidRPr="008F16FC">
        <w:rPr>
          <w:rFonts w:eastAsia="Calibri"/>
          <w:b/>
          <w:sz w:val="20"/>
          <w:szCs w:val="20"/>
          <w:lang w:val="es-ES"/>
        </w:rPr>
        <w:t>Reseña y perspectiva operativa y financiera</w:t>
      </w:r>
    </w:p>
    <w:p w14:paraId="388B54F9" w14:textId="77777777" w:rsidR="008F16FC" w:rsidRPr="008F16FC" w:rsidRDefault="008F16FC" w:rsidP="008F16FC">
      <w:pPr>
        <w:widowControl w:val="0"/>
        <w:jc w:val="both"/>
        <w:rPr>
          <w:rFonts w:eastAsia="Calibri"/>
          <w:b/>
          <w:sz w:val="20"/>
          <w:lang w:val="es-MX"/>
        </w:rPr>
      </w:pPr>
    </w:p>
    <w:p w14:paraId="5447B051" w14:textId="77777777" w:rsidR="008F16FC" w:rsidRPr="008F16FC" w:rsidRDefault="008F16FC" w:rsidP="008F16FC">
      <w:pPr>
        <w:widowControl w:val="0"/>
        <w:jc w:val="both"/>
        <w:rPr>
          <w:rFonts w:eastAsia="Calibri"/>
          <w:sz w:val="20"/>
          <w:szCs w:val="20"/>
          <w:lang w:val="es-ES"/>
        </w:rPr>
      </w:pPr>
      <w:r w:rsidRPr="008F16FC">
        <w:rPr>
          <w:rFonts w:eastAsia="Calibri"/>
          <w:iCs/>
          <w:sz w:val="20"/>
          <w:szCs w:val="20"/>
          <w:lang w:val="es-ES"/>
        </w:rPr>
        <w:t xml:space="preserve">A continuación, se exponen comentarios y un análisis comparativo de la situación patrimonial y de los resultados de las operaciones de INVAP por los ejercicios finalizados el 30 de junio de 2019, el 30 de junio de 2018 y el 30 de junio de 2017. Todos los cuadros incluidos bajo el presente título tienen como fuente los Estados Financieros de la Emisora y expresan los datos en miles de Pesos. </w:t>
      </w:r>
    </w:p>
    <w:p w14:paraId="5D4407CA" w14:textId="77777777" w:rsidR="008F16FC" w:rsidRPr="008F16FC" w:rsidRDefault="008F16FC" w:rsidP="008F16FC">
      <w:pPr>
        <w:tabs>
          <w:tab w:val="left" w:pos="1134"/>
        </w:tabs>
        <w:spacing w:line="276" w:lineRule="auto"/>
        <w:jc w:val="both"/>
        <w:rPr>
          <w:rFonts w:eastAsia="Calibri"/>
          <w:sz w:val="20"/>
          <w:szCs w:val="20"/>
          <w:lang w:val="es-ES"/>
        </w:rPr>
      </w:pPr>
    </w:p>
    <w:p w14:paraId="15EBAD99" w14:textId="77777777" w:rsidR="008F16FC" w:rsidRPr="008F16FC" w:rsidRDefault="008F16FC" w:rsidP="008F16FC">
      <w:pPr>
        <w:widowControl w:val="0"/>
        <w:jc w:val="both"/>
        <w:rPr>
          <w:rFonts w:eastAsia="Calibri"/>
          <w:b/>
          <w:bCs/>
          <w:i/>
          <w:iCs/>
          <w:sz w:val="20"/>
          <w:szCs w:val="20"/>
          <w:lang w:val="es-ES"/>
        </w:rPr>
      </w:pPr>
      <w:r w:rsidRPr="008F16FC">
        <w:rPr>
          <w:rFonts w:eastAsia="Calibri"/>
          <w:b/>
          <w:bCs/>
          <w:i/>
          <w:iCs/>
          <w:sz w:val="20"/>
          <w:szCs w:val="20"/>
          <w:lang w:val="es-ES"/>
        </w:rPr>
        <w:t>Resultado Operativo</w:t>
      </w:r>
    </w:p>
    <w:p w14:paraId="0D6F7890" w14:textId="77777777" w:rsidR="008F16FC" w:rsidRPr="008F16FC" w:rsidRDefault="008F16FC" w:rsidP="008F16FC">
      <w:pPr>
        <w:widowControl w:val="0"/>
        <w:jc w:val="both"/>
        <w:rPr>
          <w:rFonts w:eastAsia="Calibri"/>
          <w:sz w:val="20"/>
          <w:szCs w:val="20"/>
          <w:lang w:val="es-ES"/>
        </w:rPr>
      </w:pPr>
    </w:p>
    <w:p w14:paraId="0870E5B6" w14:textId="77777777" w:rsidR="008F16FC" w:rsidRPr="008F16FC" w:rsidRDefault="008F16FC" w:rsidP="008F16FC">
      <w:pPr>
        <w:widowControl w:val="0"/>
        <w:jc w:val="both"/>
        <w:rPr>
          <w:rFonts w:eastAsia="Calibri"/>
          <w:sz w:val="20"/>
          <w:szCs w:val="20"/>
          <w:lang w:val="es-MX"/>
        </w:rPr>
      </w:pPr>
      <w:r w:rsidRPr="008F16FC">
        <w:rPr>
          <w:rFonts w:eastAsia="Calibri"/>
          <w:sz w:val="20"/>
          <w:szCs w:val="20"/>
          <w:lang w:val="es-MX"/>
        </w:rPr>
        <w:t>El siguiente cuadro muestra la Estructura Patrimonial en forma comparativa para los ejercicios económicos anuales finalizados el 30 de junio de 2019 y 2018, expresados en miles de Pesos:</w:t>
      </w:r>
    </w:p>
    <w:p w14:paraId="6E292FD6" w14:textId="77777777" w:rsidR="008F16FC" w:rsidRPr="008F16FC" w:rsidRDefault="008F16FC" w:rsidP="008F16FC">
      <w:pPr>
        <w:widowControl w:val="0"/>
        <w:jc w:val="both"/>
        <w:rPr>
          <w:rFonts w:eastAsia="Calibri"/>
          <w:sz w:val="20"/>
          <w:szCs w:val="20"/>
          <w:lang w:val="es-MX"/>
        </w:rPr>
      </w:pPr>
    </w:p>
    <w:tbl>
      <w:tblPr>
        <w:tblW w:w="6164" w:type="dxa"/>
        <w:jc w:val="center"/>
        <w:tblCellMar>
          <w:left w:w="70" w:type="dxa"/>
          <w:right w:w="70" w:type="dxa"/>
        </w:tblCellMar>
        <w:tblLook w:val="04A0" w:firstRow="1" w:lastRow="0" w:firstColumn="1" w:lastColumn="0" w:noHBand="0" w:noVBand="1"/>
      </w:tblPr>
      <w:tblGrid>
        <w:gridCol w:w="3261"/>
        <w:gridCol w:w="1265"/>
        <w:gridCol w:w="1638"/>
      </w:tblGrid>
      <w:tr w:rsidR="008F16FC" w:rsidRPr="00512442" w14:paraId="4867BEC3" w14:textId="77777777" w:rsidTr="00BA304B">
        <w:trPr>
          <w:gridAfter w:val="1"/>
          <w:wAfter w:w="1638" w:type="dxa"/>
          <w:trHeight w:val="192"/>
          <w:jc w:val="center"/>
        </w:trPr>
        <w:tc>
          <w:tcPr>
            <w:tcW w:w="3261" w:type="dxa"/>
            <w:vMerge w:val="restart"/>
            <w:shd w:val="clear" w:color="auto" w:fill="auto"/>
            <w:noWrap/>
            <w:hideMark/>
          </w:tcPr>
          <w:p w14:paraId="3D1D11D7" w14:textId="77777777" w:rsidR="008F16FC" w:rsidRPr="008F16FC" w:rsidRDefault="008F16FC" w:rsidP="008F16FC">
            <w:pPr>
              <w:jc w:val="center"/>
              <w:rPr>
                <w:rFonts w:eastAsia="Calibri"/>
                <w:b/>
                <w:bCs/>
                <w:sz w:val="20"/>
                <w:szCs w:val="20"/>
                <w:lang w:val="es-MX"/>
              </w:rPr>
            </w:pPr>
            <w:bookmarkStart w:id="46" w:name="_Hlk25051953"/>
            <w:r w:rsidRPr="008F16FC">
              <w:rPr>
                <w:rFonts w:eastAsia="Calibri"/>
                <w:b/>
                <w:bCs/>
                <w:sz w:val="20"/>
                <w:szCs w:val="20"/>
                <w:lang w:val="es-MX"/>
              </w:rPr>
              <w:t>Estado de situación patrimonial comparativa(*)</w:t>
            </w:r>
          </w:p>
        </w:tc>
        <w:tc>
          <w:tcPr>
            <w:tcW w:w="1265" w:type="dxa"/>
            <w:shd w:val="clear" w:color="auto" w:fill="auto"/>
          </w:tcPr>
          <w:p w14:paraId="1F422A91" w14:textId="77777777" w:rsidR="008F16FC" w:rsidRPr="008F16FC" w:rsidRDefault="008F16FC" w:rsidP="008F16FC">
            <w:pPr>
              <w:jc w:val="center"/>
              <w:rPr>
                <w:rFonts w:eastAsia="Calibri"/>
                <w:b/>
                <w:bCs/>
                <w:sz w:val="20"/>
                <w:szCs w:val="20"/>
                <w:lang w:val="es-MX"/>
              </w:rPr>
            </w:pPr>
          </w:p>
        </w:tc>
      </w:tr>
      <w:tr w:rsidR="008F16FC" w:rsidRPr="008F16FC" w14:paraId="41BEDC91" w14:textId="77777777" w:rsidTr="00BA304B">
        <w:trPr>
          <w:trHeight w:val="126"/>
          <w:jc w:val="center"/>
        </w:trPr>
        <w:tc>
          <w:tcPr>
            <w:tcW w:w="3261" w:type="dxa"/>
            <w:vMerge/>
            <w:tcBorders>
              <w:bottom w:val="single" w:sz="4" w:space="0" w:color="auto"/>
            </w:tcBorders>
            <w:shd w:val="clear" w:color="auto" w:fill="auto"/>
            <w:hideMark/>
          </w:tcPr>
          <w:p w14:paraId="4F0E209F" w14:textId="77777777" w:rsidR="008F16FC" w:rsidRPr="008F16FC" w:rsidRDefault="008F16FC" w:rsidP="008F16FC">
            <w:pPr>
              <w:rPr>
                <w:rFonts w:eastAsia="Calibri"/>
                <w:b/>
                <w:bCs/>
                <w:sz w:val="20"/>
                <w:szCs w:val="20"/>
                <w:lang w:val="es-MX"/>
              </w:rPr>
            </w:pPr>
          </w:p>
        </w:tc>
        <w:tc>
          <w:tcPr>
            <w:tcW w:w="1265" w:type="dxa"/>
            <w:tcBorders>
              <w:bottom w:val="single" w:sz="4" w:space="0" w:color="auto"/>
            </w:tcBorders>
            <w:shd w:val="clear" w:color="auto" w:fill="auto"/>
          </w:tcPr>
          <w:p w14:paraId="6C064F2C" w14:textId="77777777" w:rsidR="008F16FC" w:rsidRPr="008F16FC" w:rsidRDefault="008F16FC" w:rsidP="008F16FC">
            <w:pPr>
              <w:jc w:val="center"/>
              <w:rPr>
                <w:rFonts w:eastAsia="Calibri"/>
                <w:b/>
                <w:sz w:val="20"/>
                <w:szCs w:val="20"/>
                <w:lang w:val="es-MX"/>
              </w:rPr>
            </w:pPr>
            <w:r w:rsidRPr="008F16FC">
              <w:rPr>
                <w:rFonts w:eastAsia="Calibri"/>
                <w:b/>
                <w:sz w:val="20"/>
                <w:szCs w:val="20"/>
                <w:lang w:val="es-MX"/>
              </w:rPr>
              <w:t>30 jun 2019</w:t>
            </w:r>
          </w:p>
        </w:tc>
        <w:tc>
          <w:tcPr>
            <w:tcW w:w="1638" w:type="dxa"/>
            <w:tcBorders>
              <w:bottom w:val="single" w:sz="4" w:space="0" w:color="auto"/>
            </w:tcBorders>
            <w:shd w:val="clear" w:color="auto" w:fill="auto"/>
            <w:hideMark/>
          </w:tcPr>
          <w:p w14:paraId="49183BE7" w14:textId="77777777" w:rsidR="008F16FC" w:rsidRPr="008F16FC" w:rsidRDefault="008F16FC" w:rsidP="008F16FC">
            <w:pPr>
              <w:jc w:val="center"/>
              <w:rPr>
                <w:rFonts w:eastAsia="Calibri"/>
                <w:b/>
                <w:bCs/>
                <w:sz w:val="20"/>
                <w:szCs w:val="20"/>
                <w:lang w:val="es-MX"/>
              </w:rPr>
            </w:pPr>
            <w:r w:rsidRPr="008F16FC">
              <w:rPr>
                <w:rFonts w:eastAsia="Calibri"/>
                <w:b/>
                <w:sz w:val="20"/>
                <w:szCs w:val="20"/>
                <w:lang w:val="es-MX"/>
              </w:rPr>
              <w:t>30 jun 2018</w:t>
            </w:r>
          </w:p>
        </w:tc>
      </w:tr>
      <w:tr w:rsidR="008F16FC" w:rsidRPr="008F16FC" w14:paraId="7FD456E5" w14:textId="77777777" w:rsidTr="00BA304B">
        <w:trPr>
          <w:trHeight w:val="255"/>
          <w:jc w:val="center"/>
        </w:trPr>
        <w:tc>
          <w:tcPr>
            <w:tcW w:w="3261" w:type="dxa"/>
            <w:tcBorders>
              <w:top w:val="single" w:sz="4" w:space="0" w:color="auto"/>
            </w:tcBorders>
            <w:shd w:val="clear" w:color="auto" w:fill="auto"/>
            <w:noWrap/>
            <w:hideMark/>
          </w:tcPr>
          <w:p w14:paraId="522083BC" w14:textId="77777777" w:rsidR="008F16FC" w:rsidRPr="008F16FC" w:rsidRDefault="008F16FC" w:rsidP="008F16FC">
            <w:pPr>
              <w:rPr>
                <w:rFonts w:eastAsia="Calibri"/>
                <w:sz w:val="20"/>
                <w:szCs w:val="20"/>
                <w:lang w:val="es-MX"/>
              </w:rPr>
            </w:pPr>
            <w:r w:rsidRPr="008F16FC">
              <w:rPr>
                <w:rFonts w:eastAsia="Calibri"/>
                <w:sz w:val="20"/>
                <w:szCs w:val="20"/>
                <w:lang w:val="es-MX"/>
              </w:rPr>
              <w:t>Activo Corriente</w:t>
            </w:r>
          </w:p>
        </w:tc>
        <w:tc>
          <w:tcPr>
            <w:tcW w:w="1265" w:type="dxa"/>
            <w:tcBorders>
              <w:top w:val="single" w:sz="4" w:space="0" w:color="auto"/>
            </w:tcBorders>
            <w:shd w:val="clear" w:color="auto" w:fill="auto"/>
            <w:vAlign w:val="bottom"/>
          </w:tcPr>
          <w:p w14:paraId="446AB410" w14:textId="77777777" w:rsidR="008F16FC" w:rsidRPr="008F16FC" w:rsidRDefault="008F16FC" w:rsidP="008F16FC">
            <w:pPr>
              <w:jc w:val="center"/>
              <w:rPr>
                <w:rFonts w:eastAsia="Calibri"/>
                <w:sz w:val="20"/>
                <w:szCs w:val="20"/>
                <w:lang w:val="es-MX"/>
              </w:rPr>
            </w:pPr>
            <w:r w:rsidRPr="008F16FC">
              <w:rPr>
                <w:color w:val="000000"/>
                <w:sz w:val="20"/>
              </w:rPr>
              <w:t>7.321.769</w:t>
            </w:r>
          </w:p>
        </w:tc>
        <w:tc>
          <w:tcPr>
            <w:tcW w:w="1638" w:type="dxa"/>
            <w:tcBorders>
              <w:top w:val="single" w:sz="4" w:space="0" w:color="auto"/>
            </w:tcBorders>
            <w:shd w:val="clear" w:color="auto" w:fill="auto"/>
            <w:noWrap/>
            <w:vAlign w:val="bottom"/>
          </w:tcPr>
          <w:p w14:paraId="4C8AB1D0" w14:textId="77777777" w:rsidR="008F16FC" w:rsidRPr="008F16FC" w:rsidRDefault="008F16FC" w:rsidP="008F16FC">
            <w:pPr>
              <w:jc w:val="center"/>
              <w:rPr>
                <w:rFonts w:eastAsia="Calibri"/>
                <w:sz w:val="20"/>
                <w:szCs w:val="20"/>
                <w:lang w:val="es-MX"/>
              </w:rPr>
            </w:pPr>
            <w:r w:rsidRPr="008F16FC">
              <w:rPr>
                <w:color w:val="000000"/>
                <w:sz w:val="20"/>
              </w:rPr>
              <w:t>9.008.961</w:t>
            </w:r>
          </w:p>
        </w:tc>
      </w:tr>
      <w:tr w:rsidR="008F16FC" w:rsidRPr="008F16FC" w14:paraId="7C7253B5" w14:textId="77777777" w:rsidTr="00BA304B">
        <w:trPr>
          <w:trHeight w:val="255"/>
          <w:jc w:val="center"/>
        </w:trPr>
        <w:tc>
          <w:tcPr>
            <w:tcW w:w="3261" w:type="dxa"/>
            <w:shd w:val="clear" w:color="auto" w:fill="auto"/>
            <w:noWrap/>
            <w:hideMark/>
          </w:tcPr>
          <w:p w14:paraId="10168355" w14:textId="77777777" w:rsidR="008F16FC" w:rsidRPr="008F16FC" w:rsidRDefault="008F16FC" w:rsidP="008F16FC">
            <w:pPr>
              <w:rPr>
                <w:rFonts w:eastAsia="Calibri"/>
                <w:sz w:val="20"/>
                <w:szCs w:val="20"/>
                <w:lang w:val="es-MX"/>
              </w:rPr>
            </w:pPr>
            <w:r w:rsidRPr="008F16FC">
              <w:rPr>
                <w:rFonts w:eastAsia="Calibri"/>
                <w:sz w:val="20"/>
                <w:szCs w:val="20"/>
                <w:lang w:val="es-MX"/>
              </w:rPr>
              <w:t>Activo No Corriente</w:t>
            </w:r>
          </w:p>
        </w:tc>
        <w:tc>
          <w:tcPr>
            <w:tcW w:w="1265" w:type="dxa"/>
            <w:shd w:val="clear" w:color="auto" w:fill="auto"/>
            <w:vAlign w:val="bottom"/>
          </w:tcPr>
          <w:p w14:paraId="4AB91C56" w14:textId="77777777" w:rsidR="008F16FC" w:rsidRPr="008F16FC" w:rsidRDefault="008F16FC" w:rsidP="008F16FC">
            <w:pPr>
              <w:jc w:val="center"/>
              <w:rPr>
                <w:rFonts w:eastAsia="Calibri"/>
                <w:sz w:val="20"/>
                <w:szCs w:val="20"/>
                <w:lang w:val="es-MX"/>
              </w:rPr>
            </w:pPr>
            <w:r w:rsidRPr="008F16FC">
              <w:rPr>
                <w:color w:val="000000"/>
                <w:sz w:val="20"/>
              </w:rPr>
              <w:t>2.872.205</w:t>
            </w:r>
          </w:p>
        </w:tc>
        <w:tc>
          <w:tcPr>
            <w:tcW w:w="1638" w:type="dxa"/>
            <w:shd w:val="clear" w:color="auto" w:fill="auto"/>
            <w:noWrap/>
            <w:vAlign w:val="bottom"/>
          </w:tcPr>
          <w:p w14:paraId="3A80DB85" w14:textId="77777777" w:rsidR="008F16FC" w:rsidRPr="008F16FC" w:rsidRDefault="008F16FC" w:rsidP="008F16FC">
            <w:pPr>
              <w:jc w:val="center"/>
              <w:rPr>
                <w:rFonts w:eastAsia="Calibri"/>
                <w:sz w:val="20"/>
                <w:szCs w:val="20"/>
                <w:lang w:val="es-MX"/>
              </w:rPr>
            </w:pPr>
            <w:r w:rsidRPr="008F16FC">
              <w:rPr>
                <w:color w:val="000000"/>
                <w:sz w:val="20"/>
              </w:rPr>
              <w:t>3.177.811</w:t>
            </w:r>
          </w:p>
        </w:tc>
      </w:tr>
      <w:tr w:rsidR="008F16FC" w:rsidRPr="008F16FC" w14:paraId="42D7DB88" w14:textId="77777777" w:rsidTr="00BA304B">
        <w:trPr>
          <w:trHeight w:val="255"/>
          <w:jc w:val="center"/>
        </w:trPr>
        <w:tc>
          <w:tcPr>
            <w:tcW w:w="3261" w:type="dxa"/>
            <w:shd w:val="clear" w:color="auto" w:fill="auto"/>
            <w:noWrap/>
            <w:hideMark/>
          </w:tcPr>
          <w:p w14:paraId="49023127"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Total del Activo</w:t>
            </w:r>
          </w:p>
        </w:tc>
        <w:tc>
          <w:tcPr>
            <w:tcW w:w="1265" w:type="dxa"/>
            <w:shd w:val="clear" w:color="auto" w:fill="auto"/>
            <w:vAlign w:val="bottom"/>
          </w:tcPr>
          <w:p w14:paraId="74247C4F" w14:textId="77777777" w:rsidR="008F16FC" w:rsidRPr="008F16FC" w:rsidRDefault="008F16FC" w:rsidP="008F16FC">
            <w:pPr>
              <w:jc w:val="center"/>
              <w:rPr>
                <w:rFonts w:eastAsia="Calibri"/>
                <w:b/>
                <w:sz w:val="20"/>
                <w:szCs w:val="20"/>
                <w:lang w:val="es-MX"/>
              </w:rPr>
            </w:pPr>
            <w:r w:rsidRPr="008F16FC">
              <w:rPr>
                <w:b/>
                <w:color w:val="000000"/>
                <w:sz w:val="20"/>
                <w:u w:val="single"/>
              </w:rPr>
              <w:t>10.193.974</w:t>
            </w:r>
          </w:p>
        </w:tc>
        <w:tc>
          <w:tcPr>
            <w:tcW w:w="1638" w:type="dxa"/>
            <w:shd w:val="clear" w:color="auto" w:fill="auto"/>
            <w:noWrap/>
            <w:vAlign w:val="bottom"/>
          </w:tcPr>
          <w:p w14:paraId="36C1C60E" w14:textId="77777777" w:rsidR="008F16FC" w:rsidRPr="008F16FC" w:rsidRDefault="008F16FC" w:rsidP="008F16FC">
            <w:pPr>
              <w:jc w:val="center"/>
              <w:rPr>
                <w:rFonts w:eastAsia="Calibri"/>
                <w:b/>
                <w:sz w:val="20"/>
                <w:szCs w:val="20"/>
                <w:lang w:val="es-MX"/>
              </w:rPr>
            </w:pPr>
            <w:r w:rsidRPr="008F16FC">
              <w:rPr>
                <w:b/>
                <w:color w:val="000000"/>
                <w:sz w:val="20"/>
                <w:u w:val="single"/>
              </w:rPr>
              <w:t>12.186.772</w:t>
            </w:r>
          </w:p>
        </w:tc>
      </w:tr>
      <w:tr w:rsidR="008F16FC" w:rsidRPr="008F16FC" w14:paraId="7CF8987C" w14:textId="77777777" w:rsidTr="00BA304B">
        <w:trPr>
          <w:trHeight w:val="255"/>
          <w:jc w:val="center"/>
        </w:trPr>
        <w:tc>
          <w:tcPr>
            <w:tcW w:w="3261" w:type="dxa"/>
            <w:shd w:val="clear" w:color="auto" w:fill="auto"/>
            <w:noWrap/>
            <w:hideMark/>
          </w:tcPr>
          <w:p w14:paraId="6E0DBF14" w14:textId="77777777" w:rsidR="008F16FC" w:rsidRPr="008F16FC" w:rsidRDefault="008F16FC" w:rsidP="008F16FC">
            <w:pPr>
              <w:rPr>
                <w:rFonts w:eastAsia="Calibri"/>
                <w:sz w:val="20"/>
                <w:szCs w:val="20"/>
                <w:lang w:val="es-MX"/>
              </w:rPr>
            </w:pPr>
          </w:p>
        </w:tc>
        <w:tc>
          <w:tcPr>
            <w:tcW w:w="1265" w:type="dxa"/>
            <w:shd w:val="clear" w:color="auto" w:fill="auto"/>
          </w:tcPr>
          <w:p w14:paraId="206857D5" w14:textId="77777777" w:rsidR="008F16FC" w:rsidRPr="008F16FC" w:rsidRDefault="008F16FC" w:rsidP="008F16FC">
            <w:pPr>
              <w:ind w:right="57"/>
              <w:jc w:val="center"/>
              <w:rPr>
                <w:rFonts w:eastAsia="Calibri"/>
                <w:sz w:val="20"/>
                <w:szCs w:val="20"/>
                <w:lang w:val="es-MX"/>
              </w:rPr>
            </w:pPr>
          </w:p>
        </w:tc>
        <w:tc>
          <w:tcPr>
            <w:tcW w:w="1638" w:type="dxa"/>
            <w:shd w:val="clear" w:color="auto" w:fill="auto"/>
            <w:noWrap/>
          </w:tcPr>
          <w:p w14:paraId="5DFE39B4" w14:textId="77777777" w:rsidR="008F16FC" w:rsidRPr="008F16FC" w:rsidRDefault="008F16FC" w:rsidP="008F16FC">
            <w:pPr>
              <w:ind w:right="57"/>
              <w:jc w:val="center"/>
              <w:rPr>
                <w:rFonts w:eastAsia="Calibri"/>
                <w:sz w:val="20"/>
                <w:szCs w:val="20"/>
                <w:lang w:val="es-MX"/>
              </w:rPr>
            </w:pPr>
          </w:p>
        </w:tc>
      </w:tr>
      <w:tr w:rsidR="008F16FC" w:rsidRPr="008F16FC" w14:paraId="5F883CD4" w14:textId="77777777" w:rsidTr="00BA304B">
        <w:trPr>
          <w:trHeight w:val="255"/>
          <w:jc w:val="center"/>
        </w:trPr>
        <w:tc>
          <w:tcPr>
            <w:tcW w:w="3261" w:type="dxa"/>
            <w:shd w:val="clear" w:color="auto" w:fill="auto"/>
            <w:noWrap/>
            <w:hideMark/>
          </w:tcPr>
          <w:p w14:paraId="67FED50A" w14:textId="77777777" w:rsidR="008F16FC" w:rsidRPr="008F16FC" w:rsidRDefault="008F16FC" w:rsidP="008F16FC">
            <w:pPr>
              <w:rPr>
                <w:rFonts w:eastAsia="Calibri"/>
                <w:sz w:val="20"/>
                <w:szCs w:val="20"/>
                <w:lang w:val="es-MX"/>
              </w:rPr>
            </w:pPr>
            <w:r w:rsidRPr="008F16FC">
              <w:rPr>
                <w:rFonts w:eastAsia="Calibri"/>
                <w:sz w:val="20"/>
                <w:szCs w:val="20"/>
                <w:lang w:val="es-MX"/>
              </w:rPr>
              <w:t>Pasivo Corriente</w:t>
            </w:r>
          </w:p>
        </w:tc>
        <w:tc>
          <w:tcPr>
            <w:tcW w:w="1265" w:type="dxa"/>
            <w:shd w:val="clear" w:color="auto" w:fill="auto"/>
            <w:vAlign w:val="bottom"/>
          </w:tcPr>
          <w:p w14:paraId="363FD48C" w14:textId="77777777" w:rsidR="008F16FC" w:rsidRPr="008F16FC" w:rsidRDefault="008F16FC" w:rsidP="008F16FC">
            <w:pPr>
              <w:jc w:val="center"/>
              <w:rPr>
                <w:rFonts w:eastAsia="Calibri"/>
                <w:sz w:val="20"/>
                <w:szCs w:val="20"/>
                <w:lang w:val="es-MX"/>
              </w:rPr>
            </w:pPr>
            <w:r w:rsidRPr="008F16FC">
              <w:rPr>
                <w:color w:val="000000"/>
                <w:sz w:val="20"/>
              </w:rPr>
              <w:t>6.905.178</w:t>
            </w:r>
          </w:p>
        </w:tc>
        <w:tc>
          <w:tcPr>
            <w:tcW w:w="1638" w:type="dxa"/>
            <w:shd w:val="clear" w:color="auto" w:fill="auto"/>
            <w:noWrap/>
            <w:vAlign w:val="bottom"/>
          </w:tcPr>
          <w:p w14:paraId="49C9D8A0" w14:textId="77777777" w:rsidR="008F16FC" w:rsidRPr="008F16FC" w:rsidRDefault="008F16FC" w:rsidP="008F16FC">
            <w:pPr>
              <w:jc w:val="center"/>
              <w:rPr>
                <w:rFonts w:eastAsia="Calibri"/>
                <w:sz w:val="20"/>
                <w:szCs w:val="20"/>
                <w:lang w:val="es-MX"/>
              </w:rPr>
            </w:pPr>
            <w:r w:rsidRPr="008F16FC">
              <w:rPr>
                <w:color w:val="000000"/>
                <w:sz w:val="20"/>
              </w:rPr>
              <w:t>9.002.387</w:t>
            </w:r>
          </w:p>
        </w:tc>
      </w:tr>
      <w:tr w:rsidR="008F16FC" w:rsidRPr="008F16FC" w14:paraId="5CA0C3F6" w14:textId="77777777" w:rsidTr="00BA304B">
        <w:trPr>
          <w:trHeight w:val="255"/>
          <w:jc w:val="center"/>
        </w:trPr>
        <w:tc>
          <w:tcPr>
            <w:tcW w:w="3261" w:type="dxa"/>
            <w:shd w:val="clear" w:color="auto" w:fill="auto"/>
            <w:noWrap/>
            <w:hideMark/>
          </w:tcPr>
          <w:p w14:paraId="08926E88" w14:textId="77777777" w:rsidR="008F16FC" w:rsidRPr="008F16FC" w:rsidRDefault="008F16FC" w:rsidP="008F16FC">
            <w:pPr>
              <w:rPr>
                <w:rFonts w:eastAsia="Calibri"/>
                <w:sz w:val="20"/>
                <w:szCs w:val="20"/>
                <w:lang w:val="es-MX"/>
              </w:rPr>
            </w:pPr>
            <w:r w:rsidRPr="008F16FC">
              <w:rPr>
                <w:rFonts w:eastAsia="Calibri"/>
                <w:sz w:val="20"/>
                <w:szCs w:val="20"/>
                <w:lang w:val="es-MX"/>
              </w:rPr>
              <w:t>Pasivo No Corriente</w:t>
            </w:r>
          </w:p>
        </w:tc>
        <w:tc>
          <w:tcPr>
            <w:tcW w:w="1265" w:type="dxa"/>
            <w:shd w:val="clear" w:color="auto" w:fill="auto"/>
            <w:vAlign w:val="bottom"/>
          </w:tcPr>
          <w:p w14:paraId="74A6FEE4" w14:textId="77777777" w:rsidR="008F16FC" w:rsidRPr="008F16FC" w:rsidRDefault="008F16FC" w:rsidP="008F16FC">
            <w:pPr>
              <w:jc w:val="center"/>
              <w:rPr>
                <w:rFonts w:eastAsia="Calibri"/>
                <w:sz w:val="20"/>
                <w:szCs w:val="20"/>
                <w:lang w:val="es-MX"/>
              </w:rPr>
            </w:pPr>
            <w:r w:rsidRPr="008F16FC">
              <w:rPr>
                <w:color w:val="000000"/>
                <w:sz w:val="20"/>
              </w:rPr>
              <w:t>773.891</w:t>
            </w:r>
          </w:p>
        </w:tc>
        <w:tc>
          <w:tcPr>
            <w:tcW w:w="1638" w:type="dxa"/>
            <w:shd w:val="clear" w:color="auto" w:fill="auto"/>
            <w:noWrap/>
            <w:vAlign w:val="bottom"/>
          </w:tcPr>
          <w:p w14:paraId="458D6677" w14:textId="77777777" w:rsidR="008F16FC" w:rsidRPr="008F16FC" w:rsidRDefault="008F16FC" w:rsidP="008F16FC">
            <w:pPr>
              <w:jc w:val="center"/>
              <w:rPr>
                <w:rFonts w:eastAsia="Calibri"/>
                <w:sz w:val="20"/>
                <w:szCs w:val="20"/>
                <w:lang w:val="es-MX"/>
              </w:rPr>
            </w:pPr>
            <w:r w:rsidRPr="008F16FC">
              <w:rPr>
                <w:color w:val="000000"/>
                <w:sz w:val="20"/>
              </w:rPr>
              <w:t>731.578</w:t>
            </w:r>
          </w:p>
        </w:tc>
      </w:tr>
      <w:tr w:rsidR="008F16FC" w:rsidRPr="008F16FC" w14:paraId="28AE4E58" w14:textId="77777777" w:rsidTr="00BA304B">
        <w:trPr>
          <w:trHeight w:val="255"/>
          <w:jc w:val="center"/>
        </w:trPr>
        <w:tc>
          <w:tcPr>
            <w:tcW w:w="3261" w:type="dxa"/>
            <w:shd w:val="clear" w:color="auto" w:fill="auto"/>
            <w:noWrap/>
            <w:hideMark/>
          </w:tcPr>
          <w:p w14:paraId="1E8AA151"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Total del Pasivo</w:t>
            </w:r>
          </w:p>
        </w:tc>
        <w:tc>
          <w:tcPr>
            <w:tcW w:w="1265" w:type="dxa"/>
            <w:shd w:val="clear" w:color="auto" w:fill="auto"/>
            <w:vAlign w:val="bottom"/>
          </w:tcPr>
          <w:p w14:paraId="475B57F3" w14:textId="77777777" w:rsidR="008F16FC" w:rsidRPr="008F16FC" w:rsidRDefault="008F16FC" w:rsidP="008F16FC">
            <w:pPr>
              <w:jc w:val="center"/>
              <w:rPr>
                <w:rFonts w:eastAsia="Calibri"/>
                <w:b/>
                <w:sz w:val="20"/>
                <w:szCs w:val="20"/>
                <w:lang w:val="es-MX"/>
              </w:rPr>
            </w:pPr>
            <w:r w:rsidRPr="008F16FC">
              <w:rPr>
                <w:b/>
                <w:color w:val="000000"/>
                <w:sz w:val="20"/>
                <w:u w:val="single"/>
              </w:rPr>
              <w:t>7.679.069</w:t>
            </w:r>
          </w:p>
        </w:tc>
        <w:tc>
          <w:tcPr>
            <w:tcW w:w="1638" w:type="dxa"/>
            <w:shd w:val="clear" w:color="auto" w:fill="auto"/>
            <w:noWrap/>
            <w:vAlign w:val="bottom"/>
          </w:tcPr>
          <w:p w14:paraId="1649CF9C" w14:textId="77777777" w:rsidR="008F16FC" w:rsidRPr="008F16FC" w:rsidRDefault="008F16FC" w:rsidP="008F16FC">
            <w:pPr>
              <w:jc w:val="center"/>
              <w:rPr>
                <w:rFonts w:eastAsia="Calibri"/>
                <w:b/>
                <w:sz w:val="20"/>
                <w:szCs w:val="20"/>
                <w:lang w:val="es-MX"/>
              </w:rPr>
            </w:pPr>
            <w:r w:rsidRPr="008F16FC">
              <w:rPr>
                <w:b/>
                <w:color w:val="000000"/>
                <w:sz w:val="20"/>
                <w:u w:val="single"/>
              </w:rPr>
              <w:t>9.733.965</w:t>
            </w:r>
          </w:p>
        </w:tc>
      </w:tr>
      <w:tr w:rsidR="008F16FC" w:rsidRPr="008F16FC" w14:paraId="794D7224" w14:textId="77777777" w:rsidTr="00BA304B">
        <w:trPr>
          <w:trHeight w:val="255"/>
          <w:jc w:val="center"/>
        </w:trPr>
        <w:tc>
          <w:tcPr>
            <w:tcW w:w="3261" w:type="dxa"/>
            <w:shd w:val="clear" w:color="auto" w:fill="auto"/>
            <w:noWrap/>
            <w:hideMark/>
          </w:tcPr>
          <w:p w14:paraId="42004210" w14:textId="77777777" w:rsidR="008F16FC" w:rsidRPr="008F16FC" w:rsidRDefault="008F16FC" w:rsidP="008F16FC">
            <w:pPr>
              <w:rPr>
                <w:rFonts w:eastAsia="Calibri"/>
                <w:sz w:val="20"/>
                <w:szCs w:val="20"/>
                <w:lang w:val="es-MX"/>
              </w:rPr>
            </w:pPr>
          </w:p>
        </w:tc>
        <w:tc>
          <w:tcPr>
            <w:tcW w:w="1265" w:type="dxa"/>
            <w:shd w:val="clear" w:color="auto" w:fill="auto"/>
          </w:tcPr>
          <w:p w14:paraId="1EF32D37" w14:textId="77777777" w:rsidR="008F16FC" w:rsidRPr="008F16FC" w:rsidRDefault="008F16FC" w:rsidP="008F16FC">
            <w:pPr>
              <w:ind w:right="57"/>
              <w:jc w:val="center"/>
              <w:rPr>
                <w:rFonts w:eastAsia="Calibri"/>
                <w:sz w:val="20"/>
                <w:szCs w:val="20"/>
                <w:lang w:val="es-MX"/>
              </w:rPr>
            </w:pPr>
          </w:p>
        </w:tc>
        <w:tc>
          <w:tcPr>
            <w:tcW w:w="1638" w:type="dxa"/>
            <w:shd w:val="clear" w:color="auto" w:fill="auto"/>
            <w:noWrap/>
          </w:tcPr>
          <w:p w14:paraId="721A62CE" w14:textId="77777777" w:rsidR="008F16FC" w:rsidRPr="008F16FC" w:rsidRDefault="008F16FC" w:rsidP="008F16FC">
            <w:pPr>
              <w:ind w:right="57"/>
              <w:jc w:val="center"/>
              <w:rPr>
                <w:rFonts w:eastAsia="Calibri"/>
                <w:sz w:val="20"/>
                <w:szCs w:val="20"/>
                <w:lang w:val="es-MX"/>
              </w:rPr>
            </w:pPr>
          </w:p>
        </w:tc>
      </w:tr>
      <w:tr w:rsidR="008F16FC" w:rsidRPr="008F16FC" w14:paraId="7A4C7A01" w14:textId="77777777" w:rsidTr="00BA304B">
        <w:trPr>
          <w:trHeight w:val="255"/>
          <w:jc w:val="center"/>
        </w:trPr>
        <w:tc>
          <w:tcPr>
            <w:tcW w:w="3261" w:type="dxa"/>
            <w:shd w:val="clear" w:color="auto" w:fill="auto"/>
            <w:noWrap/>
            <w:hideMark/>
          </w:tcPr>
          <w:p w14:paraId="2B20D247"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Patrimonio Neto</w:t>
            </w:r>
          </w:p>
        </w:tc>
        <w:tc>
          <w:tcPr>
            <w:tcW w:w="1265" w:type="dxa"/>
            <w:shd w:val="clear" w:color="auto" w:fill="auto"/>
          </w:tcPr>
          <w:p w14:paraId="252FC9BB" w14:textId="77777777" w:rsidR="008F16FC" w:rsidRPr="008F16FC" w:rsidRDefault="008F16FC" w:rsidP="008F16FC">
            <w:pPr>
              <w:jc w:val="center"/>
              <w:rPr>
                <w:rFonts w:eastAsia="Calibri"/>
                <w:b/>
                <w:sz w:val="20"/>
                <w:szCs w:val="20"/>
                <w:lang w:val="es-MX"/>
              </w:rPr>
            </w:pPr>
            <w:r w:rsidRPr="008F16FC">
              <w:rPr>
                <w:b/>
                <w:color w:val="000000"/>
                <w:sz w:val="20"/>
                <w:u w:val="single"/>
              </w:rPr>
              <w:t>2.514.905</w:t>
            </w:r>
          </w:p>
        </w:tc>
        <w:tc>
          <w:tcPr>
            <w:tcW w:w="1638" w:type="dxa"/>
            <w:shd w:val="clear" w:color="auto" w:fill="auto"/>
            <w:noWrap/>
          </w:tcPr>
          <w:p w14:paraId="355ADFE7" w14:textId="77777777" w:rsidR="008F16FC" w:rsidRPr="008F16FC" w:rsidRDefault="008F16FC" w:rsidP="008F16FC">
            <w:pPr>
              <w:jc w:val="center"/>
              <w:rPr>
                <w:rFonts w:eastAsia="Calibri"/>
                <w:b/>
                <w:sz w:val="20"/>
                <w:szCs w:val="20"/>
                <w:lang w:val="es-MX"/>
              </w:rPr>
            </w:pPr>
            <w:r w:rsidRPr="008F16FC">
              <w:rPr>
                <w:b/>
                <w:color w:val="000000"/>
                <w:sz w:val="20"/>
                <w:u w:val="single"/>
              </w:rPr>
              <w:t>2.452.808</w:t>
            </w:r>
          </w:p>
        </w:tc>
      </w:tr>
      <w:tr w:rsidR="008F16FC" w:rsidRPr="008F16FC" w14:paraId="65202B64" w14:textId="77777777" w:rsidTr="00BA304B">
        <w:trPr>
          <w:trHeight w:val="255"/>
          <w:jc w:val="center"/>
        </w:trPr>
        <w:tc>
          <w:tcPr>
            <w:tcW w:w="3261" w:type="dxa"/>
            <w:shd w:val="clear" w:color="auto" w:fill="auto"/>
            <w:noWrap/>
            <w:hideMark/>
          </w:tcPr>
          <w:p w14:paraId="62F17771"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Total del Pasivo más Patrimonio Neto</w:t>
            </w:r>
          </w:p>
        </w:tc>
        <w:tc>
          <w:tcPr>
            <w:tcW w:w="1265" w:type="dxa"/>
            <w:shd w:val="clear" w:color="auto" w:fill="auto"/>
          </w:tcPr>
          <w:p w14:paraId="64800649" w14:textId="77777777" w:rsidR="008F16FC" w:rsidRPr="008F16FC" w:rsidRDefault="008F16FC" w:rsidP="008F16FC">
            <w:pPr>
              <w:jc w:val="center"/>
              <w:rPr>
                <w:rFonts w:eastAsia="Calibri"/>
                <w:b/>
                <w:sz w:val="20"/>
                <w:szCs w:val="20"/>
                <w:lang w:val="es-MX"/>
              </w:rPr>
            </w:pPr>
            <w:r w:rsidRPr="008F16FC">
              <w:rPr>
                <w:rFonts w:eastAsia="Calibri"/>
                <w:b/>
                <w:sz w:val="20"/>
                <w:szCs w:val="20"/>
                <w:lang w:val="es-MX"/>
              </w:rPr>
              <w:t>10.193.974</w:t>
            </w:r>
          </w:p>
        </w:tc>
        <w:tc>
          <w:tcPr>
            <w:tcW w:w="1638" w:type="dxa"/>
            <w:shd w:val="clear" w:color="auto" w:fill="auto"/>
            <w:noWrap/>
          </w:tcPr>
          <w:p w14:paraId="1E7E0F5D" w14:textId="77777777" w:rsidR="008F16FC" w:rsidRPr="008F16FC" w:rsidRDefault="008F16FC" w:rsidP="008F16FC">
            <w:pPr>
              <w:jc w:val="center"/>
              <w:rPr>
                <w:rFonts w:eastAsia="Calibri"/>
                <w:b/>
                <w:sz w:val="20"/>
                <w:szCs w:val="20"/>
                <w:lang w:val="es-MX"/>
              </w:rPr>
            </w:pPr>
            <w:r w:rsidRPr="008F16FC">
              <w:rPr>
                <w:rFonts w:eastAsia="Calibri"/>
                <w:b/>
                <w:sz w:val="20"/>
                <w:szCs w:val="20"/>
                <w:lang w:val="es-MX"/>
              </w:rPr>
              <w:t>12.186.772</w:t>
            </w:r>
          </w:p>
        </w:tc>
      </w:tr>
    </w:tbl>
    <w:bookmarkEnd w:id="46"/>
    <w:p w14:paraId="1E2D758B" w14:textId="77777777" w:rsidR="008F16FC" w:rsidRPr="00512442" w:rsidRDefault="008F16FC" w:rsidP="008F16FC">
      <w:pPr>
        <w:jc w:val="both"/>
        <w:rPr>
          <w:rFonts w:eastAsia="Calibri"/>
          <w:i/>
          <w:sz w:val="20"/>
          <w:lang w:val="es-MX"/>
        </w:rPr>
      </w:pPr>
      <w:r w:rsidRPr="00512442">
        <w:rPr>
          <w:rFonts w:eastAsia="Calibri"/>
          <w:i/>
          <w:sz w:val="20"/>
          <w:lang w:val="es-MX"/>
        </w:rPr>
        <w:t>(*) La información corresponde al Estado de Situación Patrimonial de los Estados Contables al 30 de junio de 2019 y de los Estados Contables al 30 de junio de 2018.</w:t>
      </w:r>
    </w:p>
    <w:p w14:paraId="510323A5" w14:textId="77777777" w:rsidR="008F16FC" w:rsidRPr="008F16FC" w:rsidRDefault="008F16FC" w:rsidP="008F16FC">
      <w:pPr>
        <w:jc w:val="both"/>
        <w:rPr>
          <w:rFonts w:eastAsia="Calibri"/>
          <w:sz w:val="20"/>
          <w:szCs w:val="20"/>
          <w:lang w:val="es-MX"/>
        </w:rPr>
      </w:pPr>
    </w:p>
    <w:p w14:paraId="007B5C18" w14:textId="77777777" w:rsidR="008F16FC" w:rsidRPr="008F16FC" w:rsidRDefault="008F16FC" w:rsidP="008F16FC">
      <w:pPr>
        <w:widowControl w:val="0"/>
        <w:jc w:val="both"/>
        <w:rPr>
          <w:rFonts w:eastAsia="Calibri"/>
          <w:sz w:val="20"/>
          <w:szCs w:val="20"/>
          <w:lang w:val="es-MX"/>
        </w:rPr>
      </w:pPr>
      <w:r w:rsidRPr="008F16FC">
        <w:rPr>
          <w:rFonts w:eastAsia="Calibri"/>
          <w:sz w:val="20"/>
          <w:szCs w:val="20"/>
          <w:lang w:val="es-MX"/>
        </w:rPr>
        <w:t>El siguiente cuadro muestra la Estructura Patrimonial para el ejercicio económico anual finalizado el 30 de junio de 2017, expresados en miles de Pesos:</w:t>
      </w:r>
    </w:p>
    <w:p w14:paraId="1788AE75" w14:textId="77777777" w:rsidR="008F16FC" w:rsidRPr="008F16FC" w:rsidRDefault="008F16FC" w:rsidP="008F16FC">
      <w:pPr>
        <w:widowControl w:val="0"/>
        <w:jc w:val="both"/>
        <w:rPr>
          <w:rFonts w:eastAsia="Calibri"/>
          <w:sz w:val="20"/>
          <w:szCs w:val="20"/>
          <w:lang w:val="es-MX"/>
        </w:rPr>
      </w:pPr>
    </w:p>
    <w:tbl>
      <w:tblPr>
        <w:tblW w:w="4526" w:type="dxa"/>
        <w:jc w:val="center"/>
        <w:tblCellMar>
          <w:left w:w="70" w:type="dxa"/>
          <w:right w:w="70" w:type="dxa"/>
        </w:tblCellMar>
        <w:tblLook w:val="04A0" w:firstRow="1" w:lastRow="0" w:firstColumn="1" w:lastColumn="0" w:noHBand="0" w:noVBand="1"/>
      </w:tblPr>
      <w:tblGrid>
        <w:gridCol w:w="3261"/>
        <w:gridCol w:w="1265"/>
      </w:tblGrid>
      <w:tr w:rsidR="008F16FC" w:rsidRPr="00512442" w14:paraId="19EE667B" w14:textId="77777777" w:rsidTr="00BA304B">
        <w:trPr>
          <w:trHeight w:val="192"/>
          <w:jc w:val="center"/>
        </w:trPr>
        <w:tc>
          <w:tcPr>
            <w:tcW w:w="3261" w:type="dxa"/>
            <w:vMerge w:val="restart"/>
            <w:shd w:val="clear" w:color="auto" w:fill="auto"/>
            <w:noWrap/>
            <w:hideMark/>
          </w:tcPr>
          <w:p w14:paraId="719978A6" w14:textId="3E533871" w:rsidR="008F16FC" w:rsidRPr="008F16FC" w:rsidRDefault="008F16FC" w:rsidP="008F16FC">
            <w:pPr>
              <w:jc w:val="center"/>
              <w:rPr>
                <w:rFonts w:eastAsia="Calibri"/>
                <w:b/>
                <w:bCs/>
                <w:sz w:val="20"/>
                <w:szCs w:val="20"/>
                <w:lang w:val="es-MX"/>
              </w:rPr>
            </w:pPr>
            <w:r w:rsidRPr="008F16FC">
              <w:rPr>
                <w:rFonts w:eastAsia="Calibri"/>
                <w:b/>
                <w:bCs/>
                <w:sz w:val="20"/>
                <w:szCs w:val="20"/>
                <w:lang w:val="es-MX"/>
              </w:rPr>
              <w:t>Estado de situación patrimonial comparativa</w:t>
            </w:r>
          </w:p>
        </w:tc>
        <w:tc>
          <w:tcPr>
            <w:tcW w:w="1265" w:type="dxa"/>
            <w:shd w:val="clear" w:color="auto" w:fill="auto"/>
          </w:tcPr>
          <w:p w14:paraId="27B65BD9" w14:textId="77777777" w:rsidR="008F16FC" w:rsidRPr="008F16FC" w:rsidRDefault="008F16FC" w:rsidP="008F16FC">
            <w:pPr>
              <w:jc w:val="center"/>
              <w:rPr>
                <w:rFonts w:eastAsia="Calibri"/>
                <w:b/>
                <w:bCs/>
                <w:sz w:val="20"/>
                <w:szCs w:val="20"/>
                <w:lang w:val="es-MX"/>
              </w:rPr>
            </w:pPr>
          </w:p>
        </w:tc>
      </w:tr>
      <w:tr w:rsidR="008F16FC" w:rsidRPr="008F16FC" w14:paraId="55A9AC7E" w14:textId="77777777" w:rsidTr="00BA304B">
        <w:trPr>
          <w:trHeight w:val="126"/>
          <w:jc w:val="center"/>
        </w:trPr>
        <w:tc>
          <w:tcPr>
            <w:tcW w:w="3261" w:type="dxa"/>
            <w:vMerge/>
            <w:tcBorders>
              <w:bottom w:val="single" w:sz="4" w:space="0" w:color="auto"/>
            </w:tcBorders>
            <w:shd w:val="clear" w:color="auto" w:fill="auto"/>
            <w:hideMark/>
          </w:tcPr>
          <w:p w14:paraId="69DE3D92" w14:textId="77777777" w:rsidR="008F16FC" w:rsidRPr="008F16FC" w:rsidRDefault="008F16FC" w:rsidP="008F16FC">
            <w:pPr>
              <w:rPr>
                <w:rFonts w:eastAsia="Calibri"/>
                <w:b/>
                <w:bCs/>
                <w:sz w:val="20"/>
                <w:szCs w:val="20"/>
                <w:lang w:val="es-MX"/>
              </w:rPr>
            </w:pPr>
          </w:p>
        </w:tc>
        <w:tc>
          <w:tcPr>
            <w:tcW w:w="1265" w:type="dxa"/>
            <w:tcBorders>
              <w:bottom w:val="single" w:sz="4" w:space="0" w:color="auto"/>
            </w:tcBorders>
            <w:shd w:val="clear" w:color="auto" w:fill="auto"/>
          </w:tcPr>
          <w:p w14:paraId="0DECEF6C" w14:textId="77777777" w:rsidR="008F16FC" w:rsidRPr="008F16FC" w:rsidRDefault="008F16FC" w:rsidP="008F16FC">
            <w:pPr>
              <w:jc w:val="center"/>
              <w:rPr>
                <w:rFonts w:eastAsia="Calibri"/>
                <w:b/>
                <w:sz w:val="20"/>
                <w:szCs w:val="20"/>
                <w:lang w:val="es-MX"/>
              </w:rPr>
            </w:pPr>
            <w:r w:rsidRPr="008F16FC">
              <w:rPr>
                <w:rFonts w:eastAsia="Calibri"/>
                <w:b/>
                <w:sz w:val="20"/>
                <w:szCs w:val="20"/>
                <w:lang w:val="es-MX"/>
              </w:rPr>
              <w:t>30 jun 2017</w:t>
            </w:r>
          </w:p>
        </w:tc>
      </w:tr>
      <w:tr w:rsidR="008F16FC" w:rsidRPr="008F16FC" w14:paraId="4FCB6F37" w14:textId="77777777" w:rsidTr="00BA304B">
        <w:trPr>
          <w:trHeight w:val="255"/>
          <w:jc w:val="center"/>
        </w:trPr>
        <w:tc>
          <w:tcPr>
            <w:tcW w:w="3261" w:type="dxa"/>
            <w:tcBorders>
              <w:top w:val="single" w:sz="4" w:space="0" w:color="auto"/>
            </w:tcBorders>
            <w:shd w:val="clear" w:color="auto" w:fill="auto"/>
            <w:noWrap/>
            <w:hideMark/>
          </w:tcPr>
          <w:p w14:paraId="694B48B2" w14:textId="77777777" w:rsidR="008F16FC" w:rsidRPr="008F16FC" w:rsidRDefault="008F16FC" w:rsidP="008F16FC">
            <w:pPr>
              <w:rPr>
                <w:rFonts w:eastAsia="Calibri"/>
                <w:sz w:val="20"/>
                <w:szCs w:val="20"/>
                <w:lang w:val="es-MX"/>
              </w:rPr>
            </w:pPr>
            <w:r w:rsidRPr="008F16FC">
              <w:rPr>
                <w:rFonts w:eastAsia="Calibri"/>
                <w:sz w:val="20"/>
                <w:szCs w:val="20"/>
                <w:lang w:val="es-MX"/>
              </w:rPr>
              <w:t>Activo Corriente</w:t>
            </w:r>
          </w:p>
        </w:tc>
        <w:tc>
          <w:tcPr>
            <w:tcW w:w="1265" w:type="dxa"/>
            <w:tcBorders>
              <w:top w:val="single" w:sz="4" w:space="0" w:color="auto"/>
            </w:tcBorders>
            <w:shd w:val="clear" w:color="auto" w:fill="auto"/>
          </w:tcPr>
          <w:p w14:paraId="0830B639" w14:textId="77777777" w:rsidR="008F16FC" w:rsidRPr="008F16FC" w:rsidRDefault="008F16FC" w:rsidP="008F16FC">
            <w:pPr>
              <w:jc w:val="center"/>
              <w:rPr>
                <w:rFonts w:eastAsia="Calibri"/>
                <w:sz w:val="20"/>
                <w:szCs w:val="20"/>
                <w:lang w:val="es-MX"/>
              </w:rPr>
            </w:pPr>
            <w:r w:rsidRPr="008F16FC">
              <w:rPr>
                <w:color w:val="000000"/>
                <w:sz w:val="20"/>
              </w:rPr>
              <w:t>4.034.890</w:t>
            </w:r>
          </w:p>
        </w:tc>
      </w:tr>
      <w:tr w:rsidR="008F16FC" w:rsidRPr="008F16FC" w14:paraId="399F5406" w14:textId="77777777" w:rsidTr="00BA304B">
        <w:trPr>
          <w:trHeight w:val="255"/>
          <w:jc w:val="center"/>
        </w:trPr>
        <w:tc>
          <w:tcPr>
            <w:tcW w:w="3261" w:type="dxa"/>
            <w:shd w:val="clear" w:color="auto" w:fill="auto"/>
            <w:noWrap/>
            <w:hideMark/>
          </w:tcPr>
          <w:p w14:paraId="4A7667E6" w14:textId="77777777" w:rsidR="008F16FC" w:rsidRPr="008F16FC" w:rsidRDefault="008F16FC" w:rsidP="008F16FC">
            <w:pPr>
              <w:rPr>
                <w:rFonts w:eastAsia="Calibri"/>
                <w:sz w:val="20"/>
                <w:szCs w:val="20"/>
                <w:lang w:val="es-MX"/>
              </w:rPr>
            </w:pPr>
            <w:r w:rsidRPr="008F16FC">
              <w:rPr>
                <w:rFonts w:eastAsia="Calibri"/>
                <w:sz w:val="20"/>
                <w:szCs w:val="20"/>
                <w:lang w:val="es-MX"/>
              </w:rPr>
              <w:t>Activo No Corriente</w:t>
            </w:r>
          </w:p>
        </w:tc>
        <w:tc>
          <w:tcPr>
            <w:tcW w:w="1265" w:type="dxa"/>
            <w:shd w:val="clear" w:color="auto" w:fill="auto"/>
          </w:tcPr>
          <w:p w14:paraId="3B7CB101" w14:textId="77777777" w:rsidR="008F16FC" w:rsidRPr="008F16FC" w:rsidRDefault="008F16FC" w:rsidP="008F16FC">
            <w:pPr>
              <w:jc w:val="center"/>
              <w:rPr>
                <w:rFonts w:eastAsia="Calibri"/>
                <w:sz w:val="20"/>
                <w:szCs w:val="20"/>
                <w:lang w:val="es-MX"/>
              </w:rPr>
            </w:pPr>
            <w:r w:rsidRPr="008F16FC">
              <w:rPr>
                <w:color w:val="000000"/>
                <w:sz w:val="20"/>
              </w:rPr>
              <w:t>1.190.797</w:t>
            </w:r>
          </w:p>
        </w:tc>
      </w:tr>
      <w:tr w:rsidR="008F16FC" w:rsidRPr="008F16FC" w14:paraId="2896E012" w14:textId="77777777" w:rsidTr="00BA304B">
        <w:trPr>
          <w:trHeight w:val="255"/>
          <w:jc w:val="center"/>
        </w:trPr>
        <w:tc>
          <w:tcPr>
            <w:tcW w:w="3261" w:type="dxa"/>
            <w:shd w:val="clear" w:color="auto" w:fill="auto"/>
            <w:noWrap/>
            <w:hideMark/>
          </w:tcPr>
          <w:p w14:paraId="306729CC"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Total del Activo</w:t>
            </w:r>
          </w:p>
        </w:tc>
        <w:tc>
          <w:tcPr>
            <w:tcW w:w="1265" w:type="dxa"/>
            <w:shd w:val="clear" w:color="auto" w:fill="auto"/>
          </w:tcPr>
          <w:p w14:paraId="00BB32C2" w14:textId="77777777" w:rsidR="008F16FC" w:rsidRPr="008F16FC" w:rsidRDefault="008F16FC" w:rsidP="008F16FC">
            <w:pPr>
              <w:jc w:val="center"/>
              <w:rPr>
                <w:rFonts w:eastAsia="Calibri"/>
                <w:b/>
                <w:sz w:val="20"/>
                <w:szCs w:val="20"/>
                <w:lang w:val="es-MX"/>
              </w:rPr>
            </w:pPr>
            <w:r w:rsidRPr="008F16FC">
              <w:rPr>
                <w:b/>
                <w:color w:val="000000"/>
                <w:sz w:val="20"/>
                <w:u w:val="single"/>
              </w:rPr>
              <w:t>5.225.687</w:t>
            </w:r>
          </w:p>
        </w:tc>
      </w:tr>
      <w:tr w:rsidR="008F16FC" w:rsidRPr="008F16FC" w14:paraId="09395C92" w14:textId="77777777" w:rsidTr="00BA304B">
        <w:trPr>
          <w:trHeight w:val="255"/>
          <w:jc w:val="center"/>
        </w:trPr>
        <w:tc>
          <w:tcPr>
            <w:tcW w:w="3261" w:type="dxa"/>
            <w:shd w:val="clear" w:color="auto" w:fill="auto"/>
            <w:noWrap/>
            <w:hideMark/>
          </w:tcPr>
          <w:p w14:paraId="3F1ED0BB" w14:textId="77777777" w:rsidR="008F16FC" w:rsidRPr="008F16FC" w:rsidRDefault="008F16FC" w:rsidP="008F16FC">
            <w:pPr>
              <w:rPr>
                <w:rFonts w:eastAsia="Calibri"/>
                <w:sz w:val="20"/>
                <w:szCs w:val="20"/>
                <w:lang w:val="es-MX"/>
              </w:rPr>
            </w:pPr>
          </w:p>
        </w:tc>
        <w:tc>
          <w:tcPr>
            <w:tcW w:w="1265" w:type="dxa"/>
            <w:shd w:val="clear" w:color="auto" w:fill="auto"/>
          </w:tcPr>
          <w:p w14:paraId="1C3A7223" w14:textId="77777777" w:rsidR="008F16FC" w:rsidRPr="008F16FC" w:rsidRDefault="008F16FC" w:rsidP="008F16FC">
            <w:pPr>
              <w:ind w:right="57"/>
              <w:jc w:val="center"/>
              <w:rPr>
                <w:rFonts w:eastAsia="Calibri"/>
                <w:sz w:val="20"/>
                <w:szCs w:val="20"/>
                <w:lang w:val="es-MX"/>
              </w:rPr>
            </w:pPr>
          </w:p>
        </w:tc>
      </w:tr>
      <w:tr w:rsidR="008F16FC" w:rsidRPr="008F16FC" w14:paraId="2D32E1B9" w14:textId="77777777" w:rsidTr="00BA304B">
        <w:trPr>
          <w:trHeight w:val="255"/>
          <w:jc w:val="center"/>
        </w:trPr>
        <w:tc>
          <w:tcPr>
            <w:tcW w:w="3261" w:type="dxa"/>
            <w:shd w:val="clear" w:color="auto" w:fill="auto"/>
            <w:noWrap/>
            <w:hideMark/>
          </w:tcPr>
          <w:p w14:paraId="78A0F4D3" w14:textId="77777777" w:rsidR="008F16FC" w:rsidRPr="008F16FC" w:rsidRDefault="008F16FC" w:rsidP="008F16FC">
            <w:pPr>
              <w:rPr>
                <w:rFonts w:eastAsia="Calibri"/>
                <w:sz w:val="20"/>
                <w:szCs w:val="20"/>
                <w:lang w:val="es-MX"/>
              </w:rPr>
            </w:pPr>
            <w:r w:rsidRPr="008F16FC">
              <w:rPr>
                <w:rFonts w:eastAsia="Calibri"/>
                <w:sz w:val="20"/>
                <w:szCs w:val="20"/>
                <w:lang w:val="es-MX"/>
              </w:rPr>
              <w:t>Pasivo Corriente</w:t>
            </w:r>
          </w:p>
        </w:tc>
        <w:tc>
          <w:tcPr>
            <w:tcW w:w="1265" w:type="dxa"/>
            <w:shd w:val="clear" w:color="auto" w:fill="auto"/>
          </w:tcPr>
          <w:p w14:paraId="51DD2DCD" w14:textId="77777777" w:rsidR="008F16FC" w:rsidRPr="008F16FC" w:rsidRDefault="008F16FC" w:rsidP="008F16FC">
            <w:pPr>
              <w:jc w:val="center"/>
              <w:rPr>
                <w:rFonts w:eastAsia="Calibri"/>
                <w:sz w:val="20"/>
                <w:szCs w:val="20"/>
                <w:lang w:val="es-MX"/>
              </w:rPr>
            </w:pPr>
            <w:r w:rsidRPr="008F16FC">
              <w:rPr>
                <w:color w:val="000000"/>
                <w:sz w:val="20"/>
              </w:rPr>
              <w:t>3.983.590</w:t>
            </w:r>
          </w:p>
        </w:tc>
      </w:tr>
      <w:tr w:rsidR="008F16FC" w:rsidRPr="008F16FC" w14:paraId="0CCA3A36" w14:textId="77777777" w:rsidTr="00BA304B">
        <w:trPr>
          <w:trHeight w:val="255"/>
          <w:jc w:val="center"/>
        </w:trPr>
        <w:tc>
          <w:tcPr>
            <w:tcW w:w="3261" w:type="dxa"/>
            <w:shd w:val="clear" w:color="auto" w:fill="auto"/>
            <w:noWrap/>
            <w:hideMark/>
          </w:tcPr>
          <w:p w14:paraId="140A3E4B" w14:textId="77777777" w:rsidR="008F16FC" w:rsidRPr="008F16FC" w:rsidRDefault="008F16FC" w:rsidP="008F16FC">
            <w:pPr>
              <w:rPr>
                <w:rFonts w:eastAsia="Calibri"/>
                <w:sz w:val="20"/>
                <w:szCs w:val="20"/>
                <w:lang w:val="es-MX"/>
              </w:rPr>
            </w:pPr>
            <w:r w:rsidRPr="008F16FC">
              <w:rPr>
                <w:rFonts w:eastAsia="Calibri"/>
                <w:sz w:val="20"/>
                <w:szCs w:val="20"/>
                <w:lang w:val="es-MX"/>
              </w:rPr>
              <w:t>Pasivo No Corriente</w:t>
            </w:r>
          </w:p>
        </w:tc>
        <w:tc>
          <w:tcPr>
            <w:tcW w:w="1265" w:type="dxa"/>
            <w:shd w:val="clear" w:color="auto" w:fill="auto"/>
          </w:tcPr>
          <w:p w14:paraId="68046CAE" w14:textId="77777777" w:rsidR="008F16FC" w:rsidRPr="008F16FC" w:rsidRDefault="008F16FC" w:rsidP="008F16FC">
            <w:pPr>
              <w:jc w:val="center"/>
              <w:rPr>
                <w:rFonts w:eastAsia="Calibri"/>
                <w:sz w:val="20"/>
                <w:szCs w:val="20"/>
                <w:lang w:val="es-MX"/>
              </w:rPr>
            </w:pPr>
            <w:r w:rsidRPr="008F16FC">
              <w:rPr>
                <w:color w:val="000000"/>
                <w:sz w:val="20"/>
              </w:rPr>
              <w:t>287.456</w:t>
            </w:r>
          </w:p>
        </w:tc>
      </w:tr>
      <w:tr w:rsidR="008F16FC" w:rsidRPr="008F16FC" w14:paraId="6B2CEF49" w14:textId="77777777" w:rsidTr="00BA304B">
        <w:trPr>
          <w:trHeight w:val="255"/>
          <w:jc w:val="center"/>
        </w:trPr>
        <w:tc>
          <w:tcPr>
            <w:tcW w:w="3261" w:type="dxa"/>
            <w:shd w:val="clear" w:color="auto" w:fill="auto"/>
            <w:noWrap/>
            <w:hideMark/>
          </w:tcPr>
          <w:p w14:paraId="4527EBC7"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Total del Pasivo</w:t>
            </w:r>
          </w:p>
        </w:tc>
        <w:tc>
          <w:tcPr>
            <w:tcW w:w="1265" w:type="dxa"/>
            <w:shd w:val="clear" w:color="auto" w:fill="auto"/>
          </w:tcPr>
          <w:p w14:paraId="278D1A0B" w14:textId="77777777" w:rsidR="008F16FC" w:rsidRPr="008F16FC" w:rsidRDefault="008F16FC" w:rsidP="008F16FC">
            <w:pPr>
              <w:jc w:val="center"/>
              <w:rPr>
                <w:rFonts w:eastAsia="Calibri"/>
                <w:b/>
                <w:sz w:val="20"/>
                <w:szCs w:val="20"/>
                <w:lang w:val="es-MX"/>
              </w:rPr>
            </w:pPr>
            <w:r w:rsidRPr="008F16FC">
              <w:rPr>
                <w:b/>
                <w:color w:val="000000"/>
                <w:sz w:val="20"/>
                <w:u w:val="single"/>
              </w:rPr>
              <w:t>4.271.046</w:t>
            </w:r>
          </w:p>
        </w:tc>
      </w:tr>
      <w:tr w:rsidR="008F16FC" w:rsidRPr="008F16FC" w14:paraId="763C7DE2" w14:textId="77777777" w:rsidTr="00BA304B">
        <w:trPr>
          <w:trHeight w:val="255"/>
          <w:jc w:val="center"/>
        </w:trPr>
        <w:tc>
          <w:tcPr>
            <w:tcW w:w="3261" w:type="dxa"/>
            <w:shd w:val="clear" w:color="auto" w:fill="auto"/>
            <w:noWrap/>
            <w:hideMark/>
          </w:tcPr>
          <w:p w14:paraId="35E4B4D0" w14:textId="77777777" w:rsidR="008F16FC" w:rsidRPr="008F16FC" w:rsidRDefault="008F16FC" w:rsidP="008F16FC">
            <w:pPr>
              <w:rPr>
                <w:rFonts w:eastAsia="Calibri"/>
                <w:sz w:val="20"/>
                <w:szCs w:val="20"/>
                <w:lang w:val="es-MX"/>
              </w:rPr>
            </w:pPr>
          </w:p>
        </w:tc>
        <w:tc>
          <w:tcPr>
            <w:tcW w:w="1265" w:type="dxa"/>
            <w:shd w:val="clear" w:color="auto" w:fill="auto"/>
          </w:tcPr>
          <w:p w14:paraId="21F95B9E" w14:textId="77777777" w:rsidR="008F16FC" w:rsidRPr="008F16FC" w:rsidRDefault="008F16FC" w:rsidP="008F16FC">
            <w:pPr>
              <w:ind w:right="57"/>
              <w:jc w:val="center"/>
              <w:rPr>
                <w:rFonts w:eastAsia="Calibri"/>
                <w:sz w:val="20"/>
                <w:szCs w:val="20"/>
                <w:lang w:val="es-MX"/>
              </w:rPr>
            </w:pPr>
          </w:p>
        </w:tc>
      </w:tr>
      <w:tr w:rsidR="008F16FC" w:rsidRPr="008F16FC" w14:paraId="7B23E0C3" w14:textId="77777777" w:rsidTr="00BA304B">
        <w:trPr>
          <w:trHeight w:val="255"/>
          <w:jc w:val="center"/>
        </w:trPr>
        <w:tc>
          <w:tcPr>
            <w:tcW w:w="3261" w:type="dxa"/>
            <w:shd w:val="clear" w:color="auto" w:fill="auto"/>
            <w:noWrap/>
            <w:hideMark/>
          </w:tcPr>
          <w:p w14:paraId="09B63DDE"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Patrimonio Neto</w:t>
            </w:r>
          </w:p>
        </w:tc>
        <w:tc>
          <w:tcPr>
            <w:tcW w:w="1265" w:type="dxa"/>
            <w:shd w:val="clear" w:color="auto" w:fill="auto"/>
          </w:tcPr>
          <w:p w14:paraId="2F701D61" w14:textId="77777777" w:rsidR="008F16FC" w:rsidRPr="008F16FC" w:rsidRDefault="008F16FC" w:rsidP="008F16FC">
            <w:pPr>
              <w:jc w:val="center"/>
              <w:rPr>
                <w:rFonts w:eastAsia="Calibri"/>
                <w:b/>
                <w:sz w:val="20"/>
                <w:szCs w:val="20"/>
                <w:lang w:val="es-MX"/>
              </w:rPr>
            </w:pPr>
            <w:r w:rsidRPr="008F16FC">
              <w:rPr>
                <w:b/>
                <w:color w:val="000000"/>
                <w:sz w:val="20"/>
                <w:u w:val="single"/>
              </w:rPr>
              <w:t>954.641</w:t>
            </w:r>
          </w:p>
        </w:tc>
      </w:tr>
      <w:tr w:rsidR="008F16FC" w:rsidRPr="008F16FC" w14:paraId="60CC093E" w14:textId="77777777" w:rsidTr="00BA304B">
        <w:trPr>
          <w:trHeight w:val="255"/>
          <w:jc w:val="center"/>
        </w:trPr>
        <w:tc>
          <w:tcPr>
            <w:tcW w:w="3261" w:type="dxa"/>
            <w:shd w:val="clear" w:color="auto" w:fill="auto"/>
            <w:noWrap/>
            <w:hideMark/>
          </w:tcPr>
          <w:p w14:paraId="2A728078"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Total del Pasivo más Patrimonio Neto</w:t>
            </w:r>
          </w:p>
        </w:tc>
        <w:tc>
          <w:tcPr>
            <w:tcW w:w="1265" w:type="dxa"/>
            <w:shd w:val="clear" w:color="auto" w:fill="auto"/>
          </w:tcPr>
          <w:p w14:paraId="05B7372A" w14:textId="77777777" w:rsidR="008F16FC" w:rsidRPr="008F16FC" w:rsidRDefault="008F16FC" w:rsidP="008F16FC">
            <w:pPr>
              <w:jc w:val="center"/>
              <w:rPr>
                <w:rFonts w:eastAsia="Calibri"/>
                <w:b/>
                <w:sz w:val="20"/>
                <w:szCs w:val="20"/>
                <w:lang w:val="es-MX"/>
              </w:rPr>
            </w:pPr>
            <w:r w:rsidRPr="008F16FC">
              <w:rPr>
                <w:rFonts w:eastAsia="Calibri"/>
                <w:b/>
                <w:sz w:val="20"/>
                <w:szCs w:val="20"/>
                <w:lang w:val="es-MX"/>
              </w:rPr>
              <w:t>5.225.687</w:t>
            </w:r>
          </w:p>
        </w:tc>
      </w:tr>
    </w:tbl>
    <w:p w14:paraId="0E8B7834" w14:textId="77777777" w:rsidR="008F16FC" w:rsidRPr="008F16FC" w:rsidRDefault="008F16FC" w:rsidP="008F16FC">
      <w:pPr>
        <w:jc w:val="both"/>
        <w:rPr>
          <w:rFonts w:eastAsia="Calibri"/>
          <w:sz w:val="20"/>
          <w:szCs w:val="20"/>
          <w:lang w:val="es-MX"/>
        </w:rPr>
      </w:pPr>
    </w:p>
    <w:p w14:paraId="178F0CDA" w14:textId="77777777" w:rsidR="008F16FC" w:rsidRPr="008F16FC" w:rsidRDefault="008F16FC" w:rsidP="008F16FC">
      <w:pPr>
        <w:widowControl w:val="0"/>
        <w:jc w:val="both"/>
        <w:rPr>
          <w:rFonts w:eastAsia="Calibri"/>
          <w:sz w:val="20"/>
          <w:szCs w:val="20"/>
          <w:lang w:val="es-MX"/>
        </w:rPr>
      </w:pPr>
      <w:r w:rsidRPr="008F16FC">
        <w:rPr>
          <w:rFonts w:eastAsia="Calibri"/>
          <w:sz w:val="20"/>
          <w:szCs w:val="20"/>
          <w:lang w:val="es-MX"/>
        </w:rPr>
        <w:t>El siguiente cuadro muestra la Estructura Patrimonial en forma comparativa para el período intermedio finalizado el 30 de septiembre de 2019 y el ejercicio económico finalizado el 30 de junio de 2019, expresados en miles de Pesos:</w:t>
      </w:r>
    </w:p>
    <w:p w14:paraId="65ECD63E" w14:textId="77777777" w:rsidR="008F16FC" w:rsidRPr="008F16FC" w:rsidRDefault="008F16FC" w:rsidP="008F16FC">
      <w:pPr>
        <w:widowControl w:val="0"/>
        <w:jc w:val="both"/>
        <w:rPr>
          <w:rFonts w:eastAsia="Calibri"/>
          <w:sz w:val="20"/>
          <w:szCs w:val="20"/>
          <w:lang w:val="es-MX"/>
        </w:rPr>
      </w:pPr>
    </w:p>
    <w:tbl>
      <w:tblPr>
        <w:tblW w:w="6164" w:type="dxa"/>
        <w:jc w:val="center"/>
        <w:tblCellMar>
          <w:left w:w="70" w:type="dxa"/>
          <w:right w:w="70" w:type="dxa"/>
        </w:tblCellMar>
        <w:tblLook w:val="04A0" w:firstRow="1" w:lastRow="0" w:firstColumn="1" w:lastColumn="0" w:noHBand="0" w:noVBand="1"/>
      </w:tblPr>
      <w:tblGrid>
        <w:gridCol w:w="3261"/>
        <w:gridCol w:w="1265"/>
        <w:gridCol w:w="1638"/>
      </w:tblGrid>
      <w:tr w:rsidR="008F16FC" w:rsidRPr="00512442" w14:paraId="6F1A8B93" w14:textId="77777777" w:rsidTr="008F16FC">
        <w:trPr>
          <w:gridAfter w:val="1"/>
          <w:wAfter w:w="1638" w:type="dxa"/>
          <w:trHeight w:val="192"/>
          <w:jc w:val="center"/>
        </w:trPr>
        <w:tc>
          <w:tcPr>
            <w:tcW w:w="3261" w:type="dxa"/>
            <w:vMerge w:val="restart"/>
            <w:shd w:val="clear" w:color="auto" w:fill="auto"/>
            <w:noWrap/>
            <w:hideMark/>
          </w:tcPr>
          <w:p w14:paraId="49E3FA90" w14:textId="19A91534" w:rsidR="008F16FC" w:rsidRPr="008F16FC" w:rsidRDefault="008F16FC" w:rsidP="008F16FC">
            <w:pPr>
              <w:jc w:val="center"/>
              <w:rPr>
                <w:rFonts w:eastAsia="Calibri"/>
                <w:b/>
                <w:bCs/>
                <w:sz w:val="20"/>
                <w:szCs w:val="20"/>
                <w:lang w:val="es-MX"/>
              </w:rPr>
            </w:pPr>
            <w:r w:rsidRPr="008F16FC">
              <w:rPr>
                <w:rFonts w:eastAsia="Calibri"/>
                <w:b/>
                <w:bCs/>
                <w:sz w:val="20"/>
                <w:szCs w:val="20"/>
                <w:lang w:val="es-MX"/>
              </w:rPr>
              <w:t>Estado de situación patrimonial comparativa</w:t>
            </w:r>
          </w:p>
        </w:tc>
        <w:tc>
          <w:tcPr>
            <w:tcW w:w="1265" w:type="dxa"/>
            <w:shd w:val="clear" w:color="auto" w:fill="auto"/>
          </w:tcPr>
          <w:p w14:paraId="4A1051AF" w14:textId="77777777" w:rsidR="008F16FC" w:rsidRPr="008F16FC" w:rsidRDefault="008F16FC" w:rsidP="008F16FC">
            <w:pPr>
              <w:jc w:val="center"/>
              <w:rPr>
                <w:rFonts w:eastAsia="Calibri"/>
                <w:b/>
                <w:bCs/>
                <w:sz w:val="20"/>
                <w:szCs w:val="20"/>
                <w:lang w:val="es-MX"/>
              </w:rPr>
            </w:pPr>
          </w:p>
        </w:tc>
      </w:tr>
      <w:tr w:rsidR="008F16FC" w:rsidRPr="008F16FC" w14:paraId="7AC58F1B" w14:textId="77777777" w:rsidTr="008F16FC">
        <w:trPr>
          <w:trHeight w:val="126"/>
          <w:jc w:val="center"/>
        </w:trPr>
        <w:tc>
          <w:tcPr>
            <w:tcW w:w="3261" w:type="dxa"/>
            <w:vMerge/>
            <w:tcBorders>
              <w:bottom w:val="single" w:sz="4" w:space="0" w:color="auto"/>
            </w:tcBorders>
            <w:shd w:val="clear" w:color="auto" w:fill="auto"/>
            <w:hideMark/>
          </w:tcPr>
          <w:p w14:paraId="686980E8" w14:textId="77777777" w:rsidR="008F16FC" w:rsidRPr="008F16FC" w:rsidRDefault="008F16FC" w:rsidP="008F16FC">
            <w:pPr>
              <w:rPr>
                <w:rFonts w:eastAsia="Calibri"/>
                <w:b/>
                <w:bCs/>
                <w:sz w:val="20"/>
                <w:szCs w:val="20"/>
                <w:lang w:val="es-MX"/>
              </w:rPr>
            </w:pPr>
          </w:p>
        </w:tc>
        <w:tc>
          <w:tcPr>
            <w:tcW w:w="1265" w:type="dxa"/>
            <w:tcBorders>
              <w:bottom w:val="single" w:sz="4" w:space="0" w:color="auto"/>
            </w:tcBorders>
            <w:shd w:val="clear" w:color="auto" w:fill="auto"/>
          </w:tcPr>
          <w:p w14:paraId="328343E3" w14:textId="77777777" w:rsidR="008F16FC" w:rsidRPr="008F16FC" w:rsidRDefault="008F16FC" w:rsidP="008F16FC">
            <w:pPr>
              <w:jc w:val="center"/>
              <w:rPr>
                <w:rFonts w:eastAsia="Calibri"/>
                <w:b/>
                <w:sz w:val="20"/>
                <w:szCs w:val="20"/>
                <w:lang w:val="es-MX"/>
              </w:rPr>
            </w:pPr>
            <w:r w:rsidRPr="008F16FC">
              <w:rPr>
                <w:rFonts w:eastAsia="Calibri"/>
                <w:b/>
                <w:sz w:val="20"/>
                <w:szCs w:val="20"/>
                <w:lang w:val="es-MX"/>
              </w:rPr>
              <w:t>30 sep 2019</w:t>
            </w:r>
          </w:p>
        </w:tc>
        <w:tc>
          <w:tcPr>
            <w:tcW w:w="1638" w:type="dxa"/>
            <w:tcBorders>
              <w:bottom w:val="single" w:sz="4" w:space="0" w:color="auto"/>
            </w:tcBorders>
            <w:shd w:val="clear" w:color="auto" w:fill="auto"/>
            <w:hideMark/>
          </w:tcPr>
          <w:p w14:paraId="70D01BC0" w14:textId="77777777" w:rsidR="008F16FC" w:rsidRPr="008F16FC" w:rsidRDefault="008F16FC" w:rsidP="008F16FC">
            <w:pPr>
              <w:jc w:val="center"/>
              <w:rPr>
                <w:rFonts w:eastAsia="Calibri"/>
                <w:b/>
                <w:bCs/>
                <w:sz w:val="20"/>
                <w:szCs w:val="20"/>
                <w:lang w:val="es-MX"/>
              </w:rPr>
            </w:pPr>
            <w:r w:rsidRPr="008F16FC">
              <w:rPr>
                <w:rFonts w:eastAsia="Calibri"/>
                <w:b/>
                <w:sz w:val="20"/>
                <w:szCs w:val="20"/>
                <w:lang w:val="es-MX"/>
              </w:rPr>
              <w:t>30 jun 2019</w:t>
            </w:r>
          </w:p>
        </w:tc>
      </w:tr>
      <w:tr w:rsidR="008F16FC" w:rsidRPr="008F16FC" w14:paraId="3FA23137" w14:textId="77777777" w:rsidTr="008F16FC">
        <w:trPr>
          <w:trHeight w:val="255"/>
          <w:jc w:val="center"/>
        </w:trPr>
        <w:tc>
          <w:tcPr>
            <w:tcW w:w="3261" w:type="dxa"/>
            <w:tcBorders>
              <w:top w:val="single" w:sz="4" w:space="0" w:color="auto"/>
            </w:tcBorders>
            <w:shd w:val="clear" w:color="auto" w:fill="auto"/>
            <w:noWrap/>
            <w:hideMark/>
          </w:tcPr>
          <w:p w14:paraId="080FF07B" w14:textId="77777777" w:rsidR="008F16FC" w:rsidRPr="008F16FC" w:rsidRDefault="008F16FC" w:rsidP="008F16FC">
            <w:pPr>
              <w:rPr>
                <w:rFonts w:eastAsia="Calibri"/>
                <w:sz w:val="20"/>
                <w:szCs w:val="20"/>
                <w:lang w:val="es-MX"/>
              </w:rPr>
            </w:pPr>
            <w:r w:rsidRPr="008F16FC">
              <w:rPr>
                <w:rFonts w:eastAsia="Calibri"/>
                <w:sz w:val="20"/>
                <w:szCs w:val="20"/>
                <w:lang w:val="es-MX"/>
              </w:rPr>
              <w:t>Activo Corriente</w:t>
            </w:r>
          </w:p>
        </w:tc>
        <w:tc>
          <w:tcPr>
            <w:tcW w:w="1265" w:type="dxa"/>
            <w:tcBorders>
              <w:top w:val="single" w:sz="4" w:space="0" w:color="auto"/>
            </w:tcBorders>
            <w:shd w:val="clear" w:color="auto" w:fill="auto"/>
            <w:vAlign w:val="bottom"/>
          </w:tcPr>
          <w:p w14:paraId="668940EC" w14:textId="77777777" w:rsidR="008F16FC" w:rsidRPr="008F16FC" w:rsidRDefault="008F16FC" w:rsidP="008F16FC">
            <w:pPr>
              <w:jc w:val="center"/>
              <w:rPr>
                <w:rFonts w:eastAsia="Calibri"/>
                <w:sz w:val="20"/>
                <w:szCs w:val="20"/>
                <w:lang w:val="es-MX"/>
              </w:rPr>
            </w:pPr>
            <w:r w:rsidRPr="008F16FC">
              <w:rPr>
                <w:rFonts w:eastAsia="Calibri"/>
                <w:sz w:val="20"/>
                <w:szCs w:val="20"/>
                <w:lang w:val="es-MX"/>
              </w:rPr>
              <w:t>7.967.165</w:t>
            </w:r>
          </w:p>
        </w:tc>
        <w:tc>
          <w:tcPr>
            <w:tcW w:w="1638" w:type="dxa"/>
            <w:tcBorders>
              <w:top w:val="single" w:sz="4" w:space="0" w:color="auto"/>
            </w:tcBorders>
            <w:shd w:val="clear" w:color="auto" w:fill="auto"/>
            <w:noWrap/>
            <w:vAlign w:val="bottom"/>
          </w:tcPr>
          <w:p w14:paraId="3A8C9E50" w14:textId="77777777" w:rsidR="008F16FC" w:rsidRPr="008F16FC" w:rsidRDefault="008F16FC" w:rsidP="008F16FC">
            <w:pPr>
              <w:jc w:val="center"/>
              <w:rPr>
                <w:rFonts w:eastAsia="Calibri"/>
                <w:sz w:val="20"/>
                <w:szCs w:val="20"/>
                <w:lang w:val="es-MX"/>
              </w:rPr>
            </w:pPr>
            <w:r w:rsidRPr="008F16FC">
              <w:rPr>
                <w:color w:val="000000"/>
                <w:sz w:val="20"/>
              </w:rPr>
              <w:t>8.236.375</w:t>
            </w:r>
          </w:p>
        </w:tc>
      </w:tr>
      <w:tr w:rsidR="008F16FC" w:rsidRPr="008F16FC" w14:paraId="08A5BABA" w14:textId="77777777" w:rsidTr="008F16FC">
        <w:trPr>
          <w:trHeight w:val="255"/>
          <w:jc w:val="center"/>
        </w:trPr>
        <w:tc>
          <w:tcPr>
            <w:tcW w:w="3261" w:type="dxa"/>
            <w:shd w:val="clear" w:color="auto" w:fill="auto"/>
            <w:noWrap/>
            <w:hideMark/>
          </w:tcPr>
          <w:p w14:paraId="4C46CFC4" w14:textId="77777777" w:rsidR="008F16FC" w:rsidRPr="008F16FC" w:rsidRDefault="008F16FC" w:rsidP="008F16FC">
            <w:pPr>
              <w:rPr>
                <w:rFonts w:eastAsia="Calibri"/>
                <w:sz w:val="20"/>
                <w:szCs w:val="20"/>
                <w:lang w:val="es-MX"/>
              </w:rPr>
            </w:pPr>
            <w:r w:rsidRPr="008F16FC">
              <w:rPr>
                <w:rFonts w:eastAsia="Calibri"/>
                <w:sz w:val="20"/>
                <w:szCs w:val="20"/>
                <w:lang w:val="es-MX"/>
              </w:rPr>
              <w:t>Activo No Corriente</w:t>
            </w:r>
          </w:p>
        </w:tc>
        <w:tc>
          <w:tcPr>
            <w:tcW w:w="1265" w:type="dxa"/>
            <w:shd w:val="clear" w:color="auto" w:fill="auto"/>
            <w:vAlign w:val="bottom"/>
          </w:tcPr>
          <w:p w14:paraId="539D624D" w14:textId="77777777" w:rsidR="008F16FC" w:rsidRPr="008F16FC" w:rsidRDefault="008F16FC" w:rsidP="008F16FC">
            <w:pPr>
              <w:jc w:val="center"/>
              <w:rPr>
                <w:rFonts w:eastAsia="Calibri"/>
                <w:sz w:val="20"/>
                <w:szCs w:val="20"/>
                <w:lang w:val="es-MX"/>
              </w:rPr>
            </w:pPr>
            <w:r w:rsidRPr="008F16FC">
              <w:rPr>
                <w:rFonts w:eastAsia="Calibri"/>
                <w:sz w:val="20"/>
                <w:szCs w:val="20"/>
                <w:lang w:val="es-MX"/>
              </w:rPr>
              <w:t>3.608.422</w:t>
            </w:r>
          </w:p>
        </w:tc>
        <w:tc>
          <w:tcPr>
            <w:tcW w:w="1638" w:type="dxa"/>
            <w:shd w:val="clear" w:color="auto" w:fill="auto"/>
            <w:noWrap/>
            <w:vAlign w:val="bottom"/>
          </w:tcPr>
          <w:p w14:paraId="57D1047B" w14:textId="77777777" w:rsidR="008F16FC" w:rsidRPr="008F16FC" w:rsidRDefault="008F16FC" w:rsidP="008F16FC">
            <w:pPr>
              <w:jc w:val="center"/>
              <w:rPr>
                <w:rFonts w:eastAsia="Calibri"/>
                <w:sz w:val="20"/>
                <w:szCs w:val="20"/>
                <w:lang w:val="es-MX"/>
              </w:rPr>
            </w:pPr>
            <w:r w:rsidRPr="008F16FC">
              <w:rPr>
                <w:color w:val="000000"/>
                <w:sz w:val="20"/>
              </w:rPr>
              <w:t>3.230.990</w:t>
            </w:r>
          </w:p>
        </w:tc>
      </w:tr>
      <w:tr w:rsidR="008F16FC" w:rsidRPr="008F16FC" w14:paraId="2328F13E" w14:textId="77777777" w:rsidTr="008F16FC">
        <w:trPr>
          <w:trHeight w:val="255"/>
          <w:jc w:val="center"/>
        </w:trPr>
        <w:tc>
          <w:tcPr>
            <w:tcW w:w="3261" w:type="dxa"/>
            <w:shd w:val="clear" w:color="auto" w:fill="auto"/>
            <w:noWrap/>
            <w:hideMark/>
          </w:tcPr>
          <w:p w14:paraId="58F93574"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Total del Activo</w:t>
            </w:r>
          </w:p>
        </w:tc>
        <w:tc>
          <w:tcPr>
            <w:tcW w:w="1265" w:type="dxa"/>
            <w:shd w:val="clear" w:color="auto" w:fill="auto"/>
            <w:vAlign w:val="bottom"/>
          </w:tcPr>
          <w:p w14:paraId="6B8492B5" w14:textId="77777777" w:rsidR="008F16FC" w:rsidRPr="008F16FC" w:rsidRDefault="008F16FC" w:rsidP="008F16FC">
            <w:pPr>
              <w:jc w:val="center"/>
              <w:rPr>
                <w:rFonts w:eastAsia="Calibri"/>
                <w:b/>
                <w:sz w:val="20"/>
                <w:szCs w:val="20"/>
                <w:lang w:val="es-MX"/>
              </w:rPr>
            </w:pPr>
            <w:r w:rsidRPr="008F16FC">
              <w:rPr>
                <w:rFonts w:eastAsia="Calibri"/>
                <w:b/>
                <w:sz w:val="20"/>
                <w:szCs w:val="20"/>
                <w:lang w:val="es-MX"/>
              </w:rPr>
              <w:t>11.575.587</w:t>
            </w:r>
          </w:p>
        </w:tc>
        <w:tc>
          <w:tcPr>
            <w:tcW w:w="1638" w:type="dxa"/>
            <w:shd w:val="clear" w:color="auto" w:fill="auto"/>
            <w:noWrap/>
            <w:vAlign w:val="bottom"/>
          </w:tcPr>
          <w:p w14:paraId="57FD155A" w14:textId="77777777" w:rsidR="008F16FC" w:rsidRPr="008F16FC" w:rsidRDefault="008F16FC" w:rsidP="008F16FC">
            <w:pPr>
              <w:jc w:val="center"/>
              <w:rPr>
                <w:rFonts w:eastAsia="Calibri"/>
                <w:b/>
                <w:sz w:val="20"/>
                <w:szCs w:val="20"/>
                <w:lang w:val="es-MX"/>
              </w:rPr>
            </w:pPr>
            <w:r w:rsidRPr="008F16FC">
              <w:rPr>
                <w:b/>
                <w:color w:val="000000"/>
                <w:sz w:val="20"/>
              </w:rPr>
              <w:t>11.467.365</w:t>
            </w:r>
          </w:p>
        </w:tc>
      </w:tr>
      <w:tr w:rsidR="008F16FC" w:rsidRPr="008F16FC" w14:paraId="313AB96C" w14:textId="77777777" w:rsidTr="008F16FC">
        <w:trPr>
          <w:trHeight w:val="255"/>
          <w:jc w:val="center"/>
        </w:trPr>
        <w:tc>
          <w:tcPr>
            <w:tcW w:w="3261" w:type="dxa"/>
            <w:shd w:val="clear" w:color="auto" w:fill="auto"/>
            <w:noWrap/>
            <w:hideMark/>
          </w:tcPr>
          <w:p w14:paraId="74BB9F4D" w14:textId="77777777" w:rsidR="008F16FC" w:rsidRPr="008F16FC" w:rsidRDefault="008F16FC" w:rsidP="008F16FC">
            <w:pPr>
              <w:rPr>
                <w:rFonts w:eastAsia="Calibri"/>
                <w:sz w:val="20"/>
                <w:szCs w:val="20"/>
                <w:lang w:val="es-MX"/>
              </w:rPr>
            </w:pPr>
          </w:p>
        </w:tc>
        <w:tc>
          <w:tcPr>
            <w:tcW w:w="1265" w:type="dxa"/>
            <w:shd w:val="clear" w:color="auto" w:fill="auto"/>
          </w:tcPr>
          <w:p w14:paraId="5CDB4DA0" w14:textId="77777777" w:rsidR="008F16FC" w:rsidRPr="008F16FC" w:rsidRDefault="008F16FC" w:rsidP="008F16FC">
            <w:pPr>
              <w:ind w:right="57"/>
              <w:jc w:val="center"/>
              <w:rPr>
                <w:rFonts w:eastAsia="Calibri"/>
                <w:sz w:val="20"/>
                <w:szCs w:val="20"/>
                <w:lang w:val="es-MX"/>
              </w:rPr>
            </w:pPr>
          </w:p>
        </w:tc>
        <w:tc>
          <w:tcPr>
            <w:tcW w:w="1638" w:type="dxa"/>
            <w:shd w:val="clear" w:color="auto" w:fill="auto"/>
            <w:noWrap/>
          </w:tcPr>
          <w:p w14:paraId="643DC851" w14:textId="77777777" w:rsidR="008F16FC" w:rsidRPr="008F16FC" w:rsidRDefault="008F16FC" w:rsidP="008F16FC">
            <w:pPr>
              <w:ind w:right="57"/>
              <w:jc w:val="center"/>
              <w:rPr>
                <w:rFonts w:eastAsia="Calibri"/>
                <w:sz w:val="20"/>
                <w:szCs w:val="20"/>
                <w:lang w:val="es-MX"/>
              </w:rPr>
            </w:pPr>
          </w:p>
        </w:tc>
      </w:tr>
      <w:tr w:rsidR="008F16FC" w:rsidRPr="008F16FC" w14:paraId="0B35E57A" w14:textId="77777777" w:rsidTr="008F16FC">
        <w:trPr>
          <w:trHeight w:val="255"/>
          <w:jc w:val="center"/>
        </w:trPr>
        <w:tc>
          <w:tcPr>
            <w:tcW w:w="3261" w:type="dxa"/>
            <w:shd w:val="clear" w:color="auto" w:fill="auto"/>
            <w:noWrap/>
            <w:hideMark/>
          </w:tcPr>
          <w:p w14:paraId="34E83096" w14:textId="77777777" w:rsidR="008F16FC" w:rsidRPr="008F16FC" w:rsidRDefault="008F16FC" w:rsidP="008F16FC">
            <w:pPr>
              <w:rPr>
                <w:rFonts w:eastAsia="Calibri"/>
                <w:sz w:val="20"/>
                <w:szCs w:val="20"/>
                <w:lang w:val="es-MX"/>
              </w:rPr>
            </w:pPr>
            <w:r w:rsidRPr="008F16FC">
              <w:rPr>
                <w:rFonts w:eastAsia="Calibri"/>
                <w:sz w:val="20"/>
                <w:szCs w:val="20"/>
                <w:lang w:val="es-MX"/>
              </w:rPr>
              <w:t>Pasivo Corriente</w:t>
            </w:r>
          </w:p>
        </w:tc>
        <w:tc>
          <w:tcPr>
            <w:tcW w:w="1265" w:type="dxa"/>
            <w:shd w:val="clear" w:color="auto" w:fill="auto"/>
            <w:vAlign w:val="bottom"/>
          </w:tcPr>
          <w:p w14:paraId="4A9CC7DA" w14:textId="77777777" w:rsidR="008F16FC" w:rsidRPr="008F16FC" w:rsidRDefault="008F16FC" w:rsidP="008F16FC">
            <w:pPr>
              <w:jc w:val="center"/>
              <w:rPr>
                <w:rFonts w:eastAsia="Calibri"/>
                <w:sz w:val="20"/>
                <w:szCs w:val="20"/>
                <w:lang w:val="es-MX"/>
              </w:rPr>
            </w:pPr>
            <w:r w:rsidRPr="008F16FC">
              <w:rPr>
                <w:rFonts w:eastAsia="Calibri"/>
                <w:sz w:val="20"/>
                <w:szCs w:val="20"/>
                <w:lang w:val="es-MX"/>
              </w:rPr>
              <w:t>7.464.950</w:t>
            </w:r>
          </w:p>
        </w:tc>
        <w:tc>
          <w:tcPr>
            <w:tcW w:w="1638" w:type="dxa"/>
            <w:shd w:val="clear" w:color="auto" w:fill="auto"/>
            <w:noWrap/>
            <w:vAlign w:val="bottom"/>
          </w:tcPr>
          <w:p w14:paraId="7BABDC78" w14:textId="77777777" w:rsidR="008F16FC" w:rsidRPr="008F16FC" w:rsidRDefault="008F16FC" w:rsidP="008F16FC">
            <w:pPr>
              <w:jc w:val="center"/>
              <w:rPr>
                <w:rFonts w:eastAsia="Calibri"/>
                <w:sz w:val="20"/>
                <w:szCs w:val="20"/>
                <w:lang w:val="es-MX"/>
              </w:rPr>
            </w:pPr>
            <w:r w:rsidRPr="008F16FC">
              <w:rPr>
                <w:color w:val="000000"/>
                <w:sz w:val="20"/>
              </w:rPr>
              <w:t>7.767.746</w:t>
            </w:r>
          </w:p>
        </w:tc>
      </w:tr>
      <w:tr w:rsidR="008F16FC" w:rsidRPr="008F16FC" w14:paraId="299F8BCF" w14:textId="77777777" w:rsidTr="008F16FC">
        <w:trPr>
          <w:trHeight w:val="255"/>
          <w:jc w:val="center"/>
        </w:trPr>
        <w:tc>
          <w:tcPr>
            <w:tcW w:w="3261" w:type="dxa"/>
            <w:shd w:val="clear" w:color="auto" w:fill="auto"/>
            <w:noWrap/>
            <w:hideMark/>
          </w:tcPr>
          <w:p w14:paraId="2DB132CB" w14:textId="77777777" w:rsidR="008F16FC" w:rsidRPr="008F16FC" w:rsidRDefault="008F16FC" w:rsidP="008F16FC">
            <w:pPr>
              <w:rPr>
                <w:rFonts w:eastAsia="Calibri"/>
                <w:sz w:val="20"/>
                <w:szCs w:val="20"/>
                <w:lang w:val="es-MX"/>
              </w:rPr>
            </w:pPr>
            <w:r w:rsidRPr="008F16FC">
              <w:rPr>
                <w:rFonts w:eastAsia="Calibri"/>
                <w:sz w:val="20"/>
                <w:szCs w:val="20"/>
                <w:lang w:val="es-MX"/>
              </w:rPr>
              <w:t>Pasivo No Corriente</w:t>
            </w:r>
          </w:p>
        </w:tc>
        <w:tc>
          <w:tcPr>
            <w:tcW w:w="1265" w:type="dxa"/>
            <w:shd w:val="clear" w:color="auto" w:fill="auto"/>
            <w:vAlign w:val="bottom"/>
          </w:tcPr>
          <w:p w14:paraId="01F65570" w14:textId="77777777" w:rsidR="008F16FC" w:rsidRPr="008F16FC" w:rsidRDefault="008F16FC" w:rsidP="008F16FC">
            <w:pPr>
              <w:jc w:val="center"/>
              <w:rPr>
                <w:rFonts w:eastAsia="Calibri"/>
                <w:sz w:val="20"/>
                <w:szCs w:val="20"/>
                <w:lang w:val="es-MX"/>
              </w:rPr>
            </w:pPr>
            <w:r w:rsidRPr="008F16FC">
              <w:rPr>
                <w:rFonts w:eastAsia="Calibri"/>
                <w:sz w:val="20"/>
                <w:szCs w:val="20"/>
                <w:lang w:val="es-MX"/>
              </w:rPr>
              <w:t>900.752</w:t>
            </w:r>
          </w:p>
        </w:tc>
        <w:tc>
          <w:tcPr>
            <w:tcW w:w="1638" w:type="dxa"/>
            <w:shd w:val="clear" w:color="auto" w:fill="auto"/>
            <w:noWrap/>
            <w:vAlign w:val="bottom"/>
          </w:tcPr>
          <w:p w14:paraId="62386C4C" w14:textId="1337B6B2" w:rsidR="008F16FC" w:rsidRPr="008F16FC" w:rsidRDefault="008F16FC" w:rsidP="008F16FC">
            <w:pPr>
              <w:jc w:val="center"/>
              <w:rPr>
                <w:rFonts w:eastAsia="Calibri"/>
                <w:sz w:val="20"/>
                <w:szCs w:val="20"/>
                <w:lang w:val="es-MX"/>
              </w:rPr>
            </w:pPr>
            <w:r w:rsidRPr="008F16FC">
              <w:rPr>
                <w:color w:val="000000"/>
                <w:sz w:val="20"/>
              </w:rPr>
              <w:t>870.562</w:t>
            </w:r>
          </w:p>
        </w:tc>
      </w:tr>
      <w:tr w:rsidR="008F16FC" w:rsidRPr="008F16FC" w14:paraId="41B6063D" w14:textId="77777777" w:rsidTr="008F16FC">
        <w:trPr>
          <w:trHeight w:val="255"/>
          <w:jc w:val="center"/>
        </w:trPr>
        <w:tc>
          <w:tcPr>
            <w:tcW w:w="3261" w:type="dxa"/>
            <w:shd w:val="clear" w:color="auto" w:fill="auto"/>
            <w:noWrap/>
            <w:hideMark/>
          </w:tcPr>
          <w:p w14:paraId="68C359C4"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Total del Pasivo</w:t>
            </w:r>
          </w:p>
        </w:tc>
        <w:tc>
          <w:tcPr>
            <w:tcW w:w="1265" w:type="dxa"/>
            <w:shd w:val="clear" w:color="auto" w:fill="auto"/>
            <w:vAlign w:val="bottom"/>
          </w:tcPr>
          <w:p w14:paraId="29579EAE" w14:textId="77777777" w:rsidR="008F16FC" w:rsidRPr="008F16FC" w:rsidRDefault="008F16FC" w:rsidP="008F16FC">
            <w:pPr>
              <w:jc w:val="center"/>
              <w:rPr>
                <w:rFonts w:eastAsia="Calibri"/>
                <w:b/>
                <w:sz w:val="20"/>
                <w:szCs w:val="20"/>
                <w:lang w:val="es-MX"/>
              </w:rPr>
            </w:pPr>
            <w:r w:rsidRPr="008F16FC">
              <w:rPr>
                <w:rFonts w:eastAsia="Calibri"/>
                <w:b/>
                <w:sz w:val="20"/>
                <w:szCs w:val="20"/>
                <w:lang w:val="es-MX"/>
              </w:rPr>
              <w:t>8.365.702</w:t>
            </w:r>
          </w:p>
        </w:tc>
        <w:tc>
          <w:tcPr>
            <w:tcW w:w="1638" w:type="dxa"/>
            <w:shd w:val="clear" w:color="auto" w:fill="auto"/>
            <w:noWrap/>
            <w:vAlign w:val="bottom"/>
          </w:tcPr>
          <w:p w14:paraId="216F30F6" w14:textId="77777777" w:rsidR="008F16FC" w:rsidRPr="008F16FC" w:rsidRDefault="008F16FC" w:rsidP="008F16FC">
            <w:pPr>
              <w:jc w:val="center"/>
              <w:rPr>
                <w:rFonts w:eastAsia="Calibri"/>
                <w:b/>
                <w:sz w:val="20"/>
                <w:szCs w:val="20"/>
                <w:lang w:val="es-MX"/>
              </w:rPr>
            </w:pPr>
            <w:r w:rsidRPr="008F16FC">
              <w:rPr>
                <w:b/>
                <w:color w:val="000000"/>
                <w:sz w:val="20"/>
              </w:rPr>
              <w:t>8.638.308</w:t>
            </w:r>
          </w:p>
        </w:tc>
      </w:tr>
      <w:tr w:rsidR="008F16FC" w:rsidRPr="008F16FC" w14:paraId="2481597B" w14:textId="77777777" w:rsidTr="008F16FC">
        <w:trPr>
          <w:trHeight w:val="255"/>
          <w:jc w:val="center"/>
        </w:trPr>
        <w:tc>
          <w:tcPr>
            <w:tcW w:w="3261" w:type="dxa"/>
            <w:shd w:val="clear" w:color="auto" w:fill="auto"/>
            <w:noWrap/>
            <w:hideMark/>
          </w:tcPr>
          <w:p w14:paraId="7F1A26D3" w14:textId="77777777" w:rsidR="008F16FC" w:rsidRPr="008F16FC" w:rsidRDefault="008F16FC" w:rsidP="008F16FC">
            <w:pPr>
              <w:rPr>
                <w:rFonts w:eastAsia="Calibri"/>
                <w:sz w:val="20"/>
                <w:szCs w:val="20"/>
                <w:lang w:val="es-MX"/>
              </w:rPr>
            </w:pPr>
          </w:p>
        </w:tc>
        <w:tc>
          <w:tcPr>
            <w:tcW w:w="1265" w:type="dxa"/>
            <w:shd w:val="clear" w:color="auto" w:fill="auto"/>
          </w:tcPr>
          <w:p w14:paraId="29507699" w14:textId="77777777" w:rsidR="008F16FC" w:rsidRPr="008F16FC" w:rsidRDefault="008F16FC" w:rsidP="008F16FC">
            <w:pPr>
              <w:ind w:right="57"/>
              <w:jc w:val="center"/>
              <w:rPr>
                <w:rFonts w:eastAsia="Calibri"/>
                <w:sz w:val="20"/>
                <w:szCs w:val="20"/>
                <w:lang w:val="es-MX"/>
              </w:rPr>
            </w:pPr>
          </w:p>
        </w:tc>
        <w:tc>
          <w:tcPr>
            <w:tcW w:w="1638" w:type="dxa"/>
            <w:shd w:val="clear" w:color="auto" w:fill="auto"/>
            <w:noWrap/>
          </w:tcPr>
          <w:p w14:paraId="0EE28E7F" w14:textId="77777777" w:rsidR="008F16FC" w:rsidRPr="008F16FC" w:rsidRDefault="008F16FC" w:rsidP="008F16FC">
            <w:pPr>
              <w:ind w:right="57"/>
              <w:jc w:val="center"/>
              <w:rPr>
                <w:rFonts w:eastAsia="Calibri"/>
                <w:sz w:val="20"/>
                <w:szCs w:val="20"/>
                <w:lang w:val="es-MX"/>
              </w:rPr>
            </w:pPr>
          </w:p>
        </w:tc>
      </w:tr>
      <w:tr w:rsidR="008F16FC" w:rsidRPr="008F16FC" w14:paraId="67D6709E" w14:textId="77777777" w:rsidTr="008F16FC">
        <w:trPr>
          <w:trHeight w:val="255"/>
          <w:jc w:val="center"/>
        </w:trPr>
        <w:tc>
          <w:tcPr>
            <w:tcW w:w="3261" w:type="dxa"/>
            <w:shd w:val="clear" w:color="auto" w:fill="auto"/>
            <w:noWrap/>
            <w:hideMark/>
          </w:tcPr>
          <w:p w14:paraId="11529822"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Patrimonio Neto</w:t>
            </w:r>
          </w:p>
        </w:tc>
        <w:tc>
          <w:tcPr>
            <w:tcW w:w="1265" w:type="dxa"/>
            <w:shd w:val="clear" w:color="auto" w:fill="auto"/>
          </w:tcPr>
          <w:p w14:paraId="28A2F8AA" w14:textId="77777777" w:rsidR="008F16FC" w:rsidRPr="008F16FC" w:rsidRDefault="008F16FC" w:rsidP="008F16FC">
            <w:pPr>
              <w:jc w:val="center"/>
              <w:rPr>
                <w:rFonts w:eastAsia="Calibri"/>
                <w:b/>
                <w:sz w:val="20"/>
                <w:szCs w:val="20"/>
                <w:lang w:val="es-MX"/>
              </w:rPr>
            </w:pPr>
            <w:r w:rsidRPr="008F16FC">
              <w:rPr>
                <w:rFonts w:eastAsia="Calibri"/>
                <w:b/>
                <w:sz w:val="20"/>
                <w:szCs w:val="20"/>
                <w:lang w:val="es-MX"/>
              </w:rPr>
              <w:t>3.209.885</w:t>
            </w:r>
          </w:p>
        </w:tc>
        <w:tc>
          <w:tcPr>
            <w:tcW w:w="1638" w:type="dxa"/>
            <w:shd w:val="clear" w:color="auto" w:fill="auto"/>
            <w:noWrap/>
          </w:tcPr>
          <w:p w14:paraId="0F2A60F6" w14:textId="77777777" w:rsidR="008F16FC" w:rsidRPr="008F16FC" w:rsidRDefault="008F16FC" w:rsidP="008F16FC">
            <w:pPr>
              <w:jc w:val="center"/>
              <w:rPr>
                <w:rFonts w:eastAsia="Calibri"/>
                <w:b/>
                <w:sz w:val="20"/>
                <w:szCs w:val="20"/>
                <w:lang w:val="es-MX"/>
              </w:rPr>
            </w:pPr>
            <w:r w:rsidRPr="008F16FC">
              <w:rPr>
                <w:b/>
                <w:color w:val="000000"/>
                <w:sz w:val="20"/>
              </w:rPr>
              <w:t>2.829.057</w:t>
            </w:r>
          </w:p>
        </w:tc>
      </w:tr>
      <w:tr w:rsidR="008F16FC" w:rsidRPr="008F16FC" w14:paraId="60EAD0EF" w14:textId="77777777" w:rsidTr="008F16FC">
        <w:trPr>
          <w:trHeight w:val="255"/>
          <w:jc w:val="center"/>
        </w:trPr>
        <w:tc>
          <w:tcPr>
            <w:tcW w:w="3261" w:type="dxa"/>
            <w:shd w:val="clear" w:color="auto" w:fill="auto"/>
            <w:noWrap/>
            <w:hideMark/>
          </w:tcPr>
          <w:p w14:paraId="28AB4088" w14:textId="77777777" w:rsidR="008F16FC" w:rsidRPr="008F16FC" w:rsidRDefault="008F16FC" w:rsidP="008F16FC">
            <w:pPr>
              <w:rPr>
                <w:rFonts w:eastAsia="Calibri"/>
                <w:b/>
                <w:bCs/>
                <w:sz w:val="20"/>
                <w:szCs w:val="20"/>
                <w:lang w:val="es-MX"/>
              </w:rPr>
            </w:pPr>
            <w:r w:rsidRPr="008F16FC">
              <w:rPr>
                <w:rFonts w:eastAsia="Calibri"/>
                <w:b/>
                <w:bCs/>
                <w:sz w:val="20"/>
                <w:szCs w:val="20"/>
                <w:lang w:val="es-MX"/>
              </w:rPr>
              <w:t>Total del Pasivo más Patrimonio Neto</w:t>
            </w:r>
          </w:p>
        </w:tc>
        <w:tc>
          <w:tcPr>
            <w:tcW w:w="1265" w:type="dxa"/>
            <w:shd w:val="clear" w:color="auto" w:fill="auto"/>
          </w:tcPr>
          <w:p w14:paraId="4CD760CC" w14:textId="77777777" w:rsidR="008F16FC" w:rsidRPr="008F16FC" w:rsidRDefault="008F16FC" w:rsidP="008F16FC">
            <w:pPr>
              <w:jc w:val="center"/>
              <w:rPr>
                <w:rFonts w:eastAsia="Calibri"/>
                <w:b/>
                <w:sz w:val="20"/>
                <w:szCs w:val="20"/>
                <w:lang w:val="es-MX"/>
              </w:rPr>
            </w:pPr>
            <w:r w:rsidRPr="008F16FC">
              <w:rPr>
                <w:rFonts w:eastAsia="Calibri"/>
                <w:b/>
                <w:sz w:val="20"/>
                <w:szCs w:val="20"/>
                <w:lang w:val="es-MX"/>
              </w:rPr>
              <w:t>11.575.587</w:t>
            </w:r>
          </w:p>
        </w:tc>
        <w:tc>
          <w:tcPr>
            <w:tcW w:w="1638" w:type="dxa"/>
            <w:shd w:val="clear" w:color="auto" w:fill="auto"/>
            <w:noWrap/>
          </w:tcPr>
          <w:p w14:paraId="7DA93F35" w14:textId="77777777" w:rsidR="008F16FC" w:rsidRPr="008F16FC" w:rsidRDefault="008F16FC" w:rsidP="008F16FC">
            <w:pPr>
              <w:jc w:val="center"/>
              <w:rPr>
                <w:rFonts w:eastAsia="Calibri"/>
                <w:b/>
                <w:sz w:val="20"/>
                <w:szCs w:val="20"/>
                <w:lang w:val="es-MX"/>
              </w:rPr>
            </w:pPr>
            <w:r w:rsidRPr="008F16FC">
              <w:rPr>
                <w:rFonts w:eastAsia="Calibri"/>
                <w:b/>
                <w:sz w:val="20"/>
                <w:szCs w:val="20"/>
                <w:lang w:val="es-MX"/>
              </w:rPr>
              <w:t>11.467.365</w:t>
            </w:r>
          </w:p>
        </w:tc>
      </w:tr>
    </w:tbl>
    <w:p w14:paraId="2B5E4441" w14:textId="77777777" w:rsidR="008F16FC" w:rsidRPr="008F16FC" w:rsidRDefault="008F16FC" w:rsidP="00512442">
      <w:pPr>
        <w:jc w:val="both"/>
        <w:rPr>
          <w:rFonts w:eastAsia="Calibri"/>
          <w:sz w:val="20"/>
          <w:szCs w:val="20"/>
          <w:lang w:val="es-MX"/>
        </w:rPr>
      </w:pPr>
    </w:p>
    <w:p w14:paraId="2E2B105B" w14:textId="77777777" w:rsidR="008F16FC" w:rsidRPr="008F16FC" w:rsidRDefault="008F16FC" w:rsidP="008F16FC">
      <w:pPr>
        <w:jc w:val="both"/>
        <w:rPr>
          <w:rFonts w:eastAsia="Calibri"/>
          <w:sz w:val="20"/>
          <w:szCs w:val="20"/>
          <w:lang w:val="es-MX"/>
        </w:rPr>
      </w:pPr>
      <w:r w:rsidRPr="008F16FC">
        <w:rPr>
          <w:rFonts w:eastAsia="Calibri"/>
          <w:sz w:val="20"/>
          <w:szCs w:val="20"/>
          <w:lang w:val="es-MX"/>
        </w:rPr>
        <w:t>A continuación, se muestran las variaciones entre los rubros patrimoniales al 30 de junio de 2019 con respecto al 30 de septiembre de 2018, con sus correspondientes explicaciones:</w:t>
      </w:r>
    </w:p>
    <w:p w14:paraId="451F4AE0" w14:textId="77777777" w:rsidR="008F16FC" w:rsidRPr="008F16FC" w:rsidRDefault="008F16FC" w:rsidP="008F16FC">
      <w:pPr>
        <w:widowControl w:val="0"/>
        <w:jc w:val="both"/>
        <w:rPr>
          <w:rFonts w:eastAsia="Calibri"/>
          <w:sz w:val="20"/>
          <w:szCs w:val="20"/>
          <w:lang w:val="es-MX"/>
        </w:rPr>
      </w:pPr>
    </w:p>
    <w:tbl>
      <w:tblPr>
        <w:tblW w:w="9260" w:type="dxa"/>
        <w:tblInd w:w="55" w:type="dxa"/>
        <w:tblCellMar>
          <w:left w:w="70" w:type="dxa"/>
          <w:right w:w="70" w:type="dxa"/>
        </w:tblCellMar>
        <w:tblLook w:val="04A0" w:firstRow="1" w:lastRow="0" w:firstColumn="1" w:lastColumn="0" w:noHBand="0" w:noVBand="1"/>
      </w:tblPr>
      <w:tblGrid>
        <w:gridCol w:w="3953"/>
        <w:gridCol w:w="1340"/>
        <w:gridCol w:w="1340"/>
        <w:gridCol w:w="1287"/>
        <w:gridCol w:w="1340"/>
      </w:tblGrid>
      <w:tr w:rsidR="008F16FC" w:rsidRPr="008F16FC" w14:paraId="08F3704D" w14:textId="77777777" w:rsidTr="00BA304B">
        <w:trPr>
          <w:trHeight w:val="525"/>
        </w:trPr>
        <w:tc>
          <w:tcPr>
            <w:tcW w:w="395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C8848B8" w14:textId="77777777" w:rsidR="008F16FC" w:rsidRPr="008F16FC" w:rsidRDefault="008F16FC" w:rsidP="008F16FC">
            <w:pPr>
              <w:jc w:val="center"/>
              <w:rPr>
                <w:b/>
                <w:bCs/>
                <w:color w:val="000000"/>
                <w:sz w:val="20"/>
                <w:szCs w:val="20"/>
                <w:lang w:val="es-ES"/>
              </w:rPr>
            </w:pPr>
            <w:r w:rsidRPr="008F16FC">
              <w:rPr>
                <w:b/>
                <w:bCs/>
                <w:color w:val="000000"/>
                <w:sz w:val="20"/>
                <w:szCs w:val="20"/>
                <w:lang w:val="es-ES"/>
              </w:rPr>
              <w:t>Estado de situación patrimonial - Consolidado</w:t>
            </w:r>
          </w:p>
        </w:tc>
        <w:tc>
          <w:tcPr>
            <w:tcW w:w="1340" w:type="dxa"/>
            <w:tcBorders>
              <w:top w:val="single" w:sz="8" w:space="0" w:color="auto"/>
              <w:left w:val="nil"/>
              <w:bottom w:val="single" w:sz="8" w:space="0" w:color="auto"/>
              <w:right w:val="single" w:sz="4" w:space="0" w:color="auto"/>
            </w:tcBorders>
            <w:shd w:val="clear" w:color="auto" w:fill="auto"/>
            <w:noWrap/>
            <w:vAlign w:val="center"/>
            <w:hideMark/>
          </w:tcPr>
          <w:p w14:paraId="735A9069" w14:textId="77777777" w:rsidR="008F16FC" w:rsidRPr="008F16FC" w:rsidRDefault="008F16FC" w:rsidP="008F16FC">
            <w:pPr>
              <w:jc w:val="center"/>
              <w:rPr>
                <w:b/>
                <w:bCs/>
                <w:color w:val="000000"/>
                <w:sz w:val="20"/>
                <w:szCs w:val="20"/>
              </w:rPr>
            </w:pPr>
            <w:r w:rsidRPr="008F16FC">
              <w:rPr>
                <w:b/>
                <w:bCs/>
                <w:color w:val="000000"/>
                <w:sz w:val="20"/>
                <w:szCs w:val="20"/>
              </w:rPr>
              <w:t>2019</w:t>
            </w:r>
          </w:p>
        </w:tc>
        <w:tc>
          <w:tcPr>
            <w:tcW w:w="1340" w:type="dxa"/>
            <w:tcBorders>
              <w:top w:val="single" w:sz="8" w:space="0" w:color="auto"/>
              <w:left w:val="nil"/>
              <w:bottom w:val="single" w:sz="8" w:space="0" w:color="auto"/>
              <w:right w:val="single" w:sz="4" w:space="0" w:color="auto"/>
            </w:tcBorders>
            <w:shd w:val="clear" w:color="auto" w:fill="auto"/>
            <w:noWrap/>
            <w:vAlign w:val="center"/>
            <w:hideMark/>
          </w:tcPr>
          <w:p w14:paraId="7462F69D" w14:textId="77777777" w:rsidR="008F16FC" w:rsidRPr="008F16FC" w:rsidRDefault="008F16FC" w:rsidP="008F16FC">
            <w:pPr>
              <w:jc w:val="center"/>
              <w:rPr>
                <w:b/>
                <w:bCs/>
                <w:color w:val="000000"/>
                <w:sz w:val="20"/>
                <w:szCs w:val="20"/>
              </w:rPr>
            </w:pPr>
            <w:r w:rsidRPr="008F16FC">
              <w:rPr>
                <w:b/>
                <w:bCs/>
                <w:color w:val="000000"/>
                <w:sz w:val="20"/>
                <w:szCs w:val="20"/>
              </w:rPr>
              <w:t>2018</w:t>
            </w:r>
          </w:p>
        </w:tc>
        <w:tc>
          <w:tcPr>
            <w:tcW w:w="1287" w:type="dxa"/>
            <w:tcBorders>
              <w:top w:val="single" w:sz="8" w:space="0" w:color="auto"/>
              <w:left w:val="nil"/>
              <w:bottom w:val="single" w:sz="8" w:space="0" w:color="auto"/>
              <w:right w:val="single" w:sz="4" w:space="0" w:color="auto"/>
            </w:tcBorders>
            <w:shd w:val="clear" w:color="auto" w:fill="auto"/>
            <w:vAlign w:val="center"/>
            <w:hideMark/>
          </w:tcPr>
          <w:p w14:paraId="139BE996" w14:textId="77777777" w:rsidR="008F16FC" w:rsidRPr="008F16FC" w:rsidRDefault="008F16FC" w:rsidP="008F16FC">
            <w:pPr>
              <w:jc w:val="center"/>
              <w:rPr>
                <w:b/>
                <w:bCs/>
                <w:color w:val="000000"/>
                <w:sz w:val="20"/>
                <w:szCs w:val="20"/>
              </w:rPr>
            </w:pPr>
            <w:r w:rsidRPr="008F16FC">
              <w:rPr>
                <w:b/>
                <w:bCs/>
                <w:color w:val="000000"/>
                <w:sz w:val="20"/>
                <w:szCs w:val="20"/>
              </w:rPr>
              <w:t>Variación Absoluta</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5F5CDF68" w14:textId="77777777" w:rsidR="008F16FC" w:rsidRPr="008F16FC" w:rsidRDefault="008F16FC" w:rsidP="008F16FC">
            <w:pPr>
              <w:jc w:val="center"/>
              <w:rPr>
                <w:b/>
                <w:bCs/>
                <w:color w:val="000000"/>
                <w:sz w:val="20"/>
                <w:szCs w:val="20"/>
              </w:rPr>
            </w:pPr>
            <w:r w:rsidRPr="008F16FC">
              <w:rPr>
                <w:b/>
                <w:bCs/>
                <w:color w:val="000000"/>
                <w:sz w:val="20"/>
                <w:szCs w:val="20"/>
              </w:rPr>
              <w:t>Porcentual</w:t>
            </w:r>
          </w:p>
        </w:tc>
      </w:tr>
      <w:tr w:rsidR="008F16FC" w:rsidRPr="008F16FC" w14:paraId="386AC564" w14:textId="77777777" w:rsidTr="00BA304B">
        <w:trPr>
          <w:trHeight w:val="75"/>
        </w:trPr>
        <w:tc>
          <w:tcPr>
            <w:tcW w:w="3953" w:type="dxa"/>
            <w:tcBorders>
              <w:top w:val="nil"/>
              <w:left w:val="nil"/>
              <w:bottom w:val="nil"/>
              <w:right w:val="nil"/>
            </w:tcBorders>
            <w:shd w:val="clear" w:color="auto" w:fill="auto"/>
            <w:noWrap/>
            <w:vAlign w:val="bottom"/>
            <w:hideMark/>
          </w:tcPr>
          <w:p w14:paraId="7E27F370"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center"/>
            <w:hideMark/>
          </w:tcPr>
          <w:p w14:paraId="5DB31C1A" w14:textId="77777777" w:rsidR="008F16FC" w:rsidRPr="008F16FC" w:rsidRDefault="008F16FC" w:rsidP="008F16FC">
            <w:pPr>
              <w:jc w:val="center"/>
              <w:rPr>
                <w:b/>
                <w:bCs/>
                <w:color w:val="000000"/>
                <w:sz w:val="20"/>
                <w:szCs w:val="20"/>
              </w:rPr>
            </w:pPr>
          </w:p>
        </w:tc>
        <w:tc>
          <w:tcPr>
            <w:tcW w:w="1340" w:type="dxa"/>
            <w:tcBorders>
              <w:top w:val="nil"/>
              <w:left w:val="nil"/>
              <w:bottom w:val="nil"/>
              <w:right w:val="nil"/>
            </w:tcBorders>
            <w:shd w:val="clear" w:color="auto" w:fill="auto"/>
            <w:noWrap/>
            <w:vAlign w:val="center"/>
            <w:hideMark/>
          </w:tcPr>
          <w:p w14:paraId="3B49FA92" w14:textId="77777777" w:rsidR="008F16FC" w:rsidRPr="008F16FC" w:rsidRDefault="008F16FC" w:rsidP="008F16FC">
            <w:pPr>
              <w:jc w:val="center"/>
              <w:rPr>
                <w:b/>
                <w:bCs/>
                <w:color w:val="000000"/>
                <w:sz w:val="20"/>
                <w:szCs w:val="20"/>
              </w:rPr>
            </w:pPr>
          </w:p>
        </w:tc>
        <w:tc>
          <w:tcPr>
            <w:tcW w:w="1287" w:type="dxa"/>
            <w:tcBorders>
              <w:top w:val="nil"/>
              <w:left w:val="nil"/>
              <w:bottom w:val="nil"/>
              <w:right w:val="nil"/>
            </w:tcBorders>
            <w:shd w:val="clear" w:color="auto" w:fill="auto"/>
            <w:vAlign w:val="center"/>
            <w:hideMark/>
          </w:tcPr>
          <w:p w14:paraId="201E86D0" w14:textId="77777777" w:rsidR="008F16FC" w:rsidRPr="008F16FC" w:rsidRDefault="008F16FC" w:rsidP="008F16FC">
            <w:pPr>
              <w:jc w:val="center"/>
              <w:rPr>
                <w:color w:val="000000"/>
                <w:sz w:val="20"/>
                <w:szCs w:val="20"/>
              </w:rPr>
            </w:pPr>
          </w:p>
        </w:tc>
        <w:tc>
          <w:tcPr>
            <w:tcW w:w="1340" w:type="dxa"/>
            <w:tcBorders>
              <w:top w:val="nil"/>
              <w:left w:val="nil"/>
              <w:bottom w:val="nil"/>
              <w:right w:val="nil"/>
            </w:tcBorders>
            <w:shd w:val="clear" w:color="auto" w:fill="auto"/>
            <w:noWrap/>
            <w:vAlign w:val="center"/>
            <w:hideMark/>
          </w:tcPr>
          <w:p w14:paraId="4E268FE3" w14:textId="77777777" w:rsidR="008F16FC" w:rsidRPr="008F16FC" w:rsidRDefault="008F16FC" w:rsidP="008F16FC">
            <w:pPr>
              <w:jc w:val="center"/>
              <w:rPr>
                <w:color w:val="000000"/>
                <w:sz w:val="20"/>
                <w:szCs w:val="20"/>
              </w:rPr>
            </w:pPr>
          </w:p>
        </w:tc>
      </w:tr>
      <w:tr w:rsidR="008F16FC" w:rsidRPr="008F16FC" w14:paraId="728C37B6" w14:textId="77777777" w:rsidTr="00BA304B">
        <w:trPr>
          <w:trHeight w:val="255"/>
        </w:trPr>
        <w:tc>
          <w:tcPr>
            <w:tcW w:w="395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236391" w14:textId="77777777" w:rsidR="008F16FC" w:rsidRPr="008F16FC" w:rsidRDefault="008F16FC" w:rsidP="008F16FC">
            <w:pPr>
              <w:rPr>
                <w:b/>
                <w:bCs/>
                <w:color w:val="000000"/>
                <w:sz w:val="20"/>
                <w:szCs w:val="20"/>
                <w:lang w:val="es-ES"/>
              </w:rPr>
            </w:pPr>
            <w:r w:rsidRPr="008F16FC">
              <w:rPr>
                <w:b/>
                <w:bCs/>
                <w:color w:val="000000"/>
                <w:sz w:val="20"/>
                <w:szCs w:val="20"/>
                <w:lang w:val="es-ES"/>
              </w:rPr>
              <w:t xml:space="preserve">Efectivo y equivalentes al efectivo </w:t>
            </w:r>
            <w:r w:rsidRPr="008F16FC">
              <w:rPr>
                <w:b/>
                <w:bCs/>
                <w:i/>
                <w:iCs/>
                <w:color w:val="000000"/>
                <w:sz w:val="20"/>
                <w:szCs w:val="20"/>
                <w:lang w:val="es-ES"/>
              </w:rPr>
              <w:t>(1)</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2FAFB480" w14:textId="77777777" w:rsidR="008F16FC" w:rsidRPr="008F16FC" w:rsidRDefault="008F16FC" w:rsidP="008F16FC">
            <w:pPr>
              <w:rPr>
                <w:b/>
                <w:bCs/>
                <w:color w:val="000000"/>
                <w:sz w:val="20"/>
                <w:szCs w:val="20"/>
              </w:rPr>
            </w:pPr>
            <w:r w:rsidRPr="008F16FC">
              <w:rPr>
                <w:b/>
                <w:bCs/>
                <w:color w:val="000000"/>
                <w:sz w:val="20"/>
                <w:szCs w:val="20"/>
                <w:lang w:val="es-ES"/>
              </w:rPr>
              <w:t xml:space="preserve">     </w:t>
            </w:r>
            <w:r w:rsidRPr="008F16FC">
              <w:rPr>
                <w:b/>
                <w:bCs/>
                <w:color w:val="000000"/>
                <w:sz w:val="20"/>
                <w:szCs w:val="20"/>
              </w:rPr>
              <w:t xml:space="preserve">1.371.553 </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02AC720A" w14:textId="77777777" w:rsidR="008F16FC" w:rsidRPr="008F16FC" w:rsidRDefault="008F16FC" w:rsidP="008F16FC">
            <w:pPr>
              <w:rPr>
                <w:b/>
                <w:bCs/>
                <w:color w:val="000000"/>
                <w:sz w:val="20"/>
                <w:szCs w:val="20"/>
              </w:rPr>
            </w:pPr>
            <w:r w:rsidRPr="008F16FC">
              <w:rPr>
                <w:b/>
                <w:bCs/>
                <w:color w:val="000000"/>
                <w:sz w:val="20"/>
                <w:szCs w:val="20"/>
              </w:rPr>
              <w:t xml:space="preserve">     1.243.418 </w:t>
            </w:r>
          </w:p>
        </w:tc>
        <w:tc>
          <w:tcPr>
            <w:tcW w:w="1287" w:type="dxa"/>
            <w:tcBorders>
              <w:top w:val="single" w:sz="8" w:space="0" w:color="auto"/>
              <w:left w:val="nil"/>
              <w:bottom w:val="single" w:sz="4" w:space="0" w:color="auto"/>
              <w:right w:val="single" w:sz="4" w:space="0" w:color="auto"/>
            </w:tcBorders>
            <w:shd w:val="clear" w:color="auto" w:fill="auto"/>
            <w:noWrap/>
            <w:vAlign w:val="bottom"/>
            <w:hideMark/>
          </w:tcPr>
          <w:p w14:paraId="2C9F8D73" w14:textId="77777777" w:rsidR="008F16FC" w:rsidRPr="008F16FC" w:rsidRDefault="008F16FC" w:rsidP="008F16FC">
            <w:pPr>
              <w:rPr>
                <w:b/>
                <w:bCs/>
                <w:color w:val="000000"/>
                <w:sz w:val="20"/>
                <w:szCs w:val="20"/>
              </w:rPr>
            </w:pPr>
            <w:r w:rsidRPr="008F16FC">
              <w:rPr>
                <w:b/>
                <w:bCs/>
                <w:color w:val="000000"/>
                <w:sz w:val="20"/>
                <w:szCs w:val="20"/>
              </w:rPr>
              <w:t xml:space="preserve">        128.135 </w:t>
            </w:r>
          </w:p>
        </w:tc>
        <w:tc>
          <w:tcPr>
            <w:tcW w:w="1340" w:type="dxa"/>
            <w:tcBorders>
              <w:top w:val="single" w:sz="8" w:space="0" w:color="auto"/>
              <w:left w:val="nil"/>
              <w:bottom w:val="single" w:sz="4" w:space="0" w:color="auto"/>
              <w:right w:val="single" w:sz="8" w:space="0" w:color="auto"/>
            </w:tcBorders>
            <w:shd w:val="clear" w:color="auto" w:fill="auto"/>
            <w:noWrap/>
            <w:vAlign w:val="bottom"/>
            <w:hideMark/>
          </w:tcPr>
          <w:p w14:paraId="000247E1" w14:textId="77777777" w:rsidR="008F16FC" w:rsidRPr="008F16FC" w:rsidRDefault="008F16FC" w:rsidP="008F16FC">
            <w:pPr>
              <w:jc w:val="center"/>
              <w:rPr>
                <w:b/>
                <w:bCs/>
                <w:color w:val="000000"/>
                <w:sz w:val="20"/>
                <w:szCs w:val="20"/>
              </w:rPr>
            </w:pPr>
            <w:r w:rsidRPr="008F16FC">
              <w:rPr>
                <w:b/>
                <w:bCs/>
                <w:color w:val="000000"/>
                <w:sz w:val="20"/>
                <w:szCs w:val="20"/>
              </w:rPr>
              <w:t>10%</w:t>
            </w:r>
          </w:p>
        </w:tc>
      </w:tr>
      <w:tr w:rsidR="008F16FC" w:rsidRPr="008F16FC" w14:paraId="112C5520" w14:textId="77777777" w:rsidTr="00BA304B">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08422B12" w14:textId="77777777" w:rsidR="008F16FC" w:rsidRPr="008F16FC" w:rsidRDefault="008F16FC" w:rsidP="008F16FC">
            <w:pPr>
              <w:rPr>
                <w:b/>
                <w:bCs/>
                <w:color w:val="000000"/>
                <w:sz w:val="20"/>
                <w:szCs w:val="20"/>
              </w:rPr>
            </w:pPr>
            <w:r w:rsidRPr="008F16FC">
              <w:rPr>
                <w:b/>
                <w:bCs/>
                <w:color w:val="000000"/>
                <w:sz w:val="20"/>
                <w:szCs w:val="20"/>
              </w:rPr>
              <w:t xml:space="preserve">Créditos por ventas </w:t>
            </w:r>
            <w:r w:rsidRPr="008F16FC">
              <w:rPr>
                <w:b/>
                <w:bCs/>
                <w:i/>
                <w:iCs/>
                <w:color w:val="000000"/>
                <w:sz w:val="20"/>
                <w:szCs w:val="20"/>
              </w:rPr>
              <w:t>(2)</w:t>
            </w:r>
          </w:p>
        </w:tc>
        <w:tc>
          <w:tcPr>
            <w:tcW w:w="1340" w:type="dxa"/>
            <w:tcBorders>
              <w:top w:val="nil"/>
              <w:left w:val="nil"/>
              <w:bottom w:val="single" w:sz="4" w:space="0" w:color="auto"/>
              <w:right w:val="single" w:sz="4" w:space="0" w:color="auto"/>
            </w:tcBorders>
            <w:shd w:val="clear" w:color="auto" w:fill="auto"/>
            <w:noWrap/>
            <w:vAlign w:val="bottom"/>
            <w:hideMark/>
          </w:tcPr>
          <w:p w14:paraId="6D7B0CCE" w14:textId="77777777" w:rsidR="008F16FC" w:rsidRPr="008F16FC" w:rsidRDefault="008F16FC" w:rsidP="008F16FC">
            <w:pPr>
              <w:rPr>
                <w:b/>
                <w:bCs/>
                <w:color w:val="000000"/>
                <w:sz w:val="20"/>
                <w:szCs w:val="20"/>
              </w:rPr>
            </w:pPr>
            <w:r w:rsidRPr="008F16FC">
              <w:rPr>
                <w:b/>
                <w:bCs/>
                <w:color w:val="000000"/>
                <w:sz w:val="20"/>
                <w:szCs w:val="20"/>
              </w:rPr>
              <w:t xml:space="preserve">     2.681.537 </w:t>
            </w:r>
          </w:p>
        </w:tc>
        <w:tc>
          <w:tcPr>
            <w:tcW w:w="1340" w:type="dxa"/>
            <w:tcBorders>
              <w:top w:val="nil"/>
              <w:left w:val="nil"/>
              <w:bottom w:val="single" w:sz="4" w:space="0" w:color="auto"/>
              <w:right w:val="single" w:sz="4" w:space="0" w:color="auto"/>
            </w:tcBorders>
            <w:shd w:val="clear" w:color="auto" w:fill="auto"/>
            <w:noWrap/>
            <w:vAlign w:val="bottom"/>
            <w:hideMark/>
          </w:tcPr>
          <w:p w14:paraId="24A72EAD" w14:textId="77777777" w:rsidR="008F16FC" w:rsidRPr="008F16FC" w:rsidRDefault="008F16FC" w:rsidP="008F16FC">
            <w:pPr>
              <w:rPr>
                <w:b/>
                <w:bCs/>
                <w:color w:val="000000"/>
                <w:sz w:val="20"/>
                <w:szCs w:val="20"/>
              </w:rPr>
            </w:pPr>
            <w:r w:rsidRPr="008F16FC">
              <w:rPr>
                <w:b/>
                <w:bCs/>
                <w:color w:val="000000"/>
                <w:sz w:val="20"/>
                <w:szCs w:val="20"/>
              </w:rPr>
              <w:t xml:space="preserve">     3.127.785 </w:t>
            </w:r>
          </w:p>
        </w:tc>
        <w:tc>
          <w:tcPr>
            <w:tcW w:w="1287" w:type="dxa"/>
            <w:tcBorders>
              <w:top w:val="nil"/>
              <w:left w:val="nil"/>
              <w:bottom w:val="single" w:sz="4" w:space="0" w:color="auto"/>
              <w:right w:val="single" w:sz="4" w:space="0" w:color="auto"/>
            </w:tcBorders>
            <w:shd w:val="clear" w:color="auto" w:fill="auto"/>
            <w:noWrap/>
            <w:vAlign w:val="bottom"/>
            <w:hideMark/>
          </w:tcPr>
          <w:p w14:paraId="3CB675CB" w14:textId="77777777" w:rsidR="008F16FC" w:rsidRPr="008F16FC" w:rsidRDefault="008F16FC" w:rsidP="008F16FC">
            <w:pPr>
              <w:rPr>
                <w:b/>
                <w:bCs/>
                <w:color w:val="000000"/>
                <w:sz w:val="20"/>
                <w:szCs w:val="20"/>
              </w:rPr>
            </w:pPr>
            <w:r w:rsidRPr="008F16FC">
              <w:rPr>
                <w:b/>
                <w:bCs/>
                <w:color w:val="000000"/>
                <w:sz w:val="20"/>
                <w:szCs w:val="20"/>
              </w:rPr>
              <w:t xml:space="preserve">       -446.248 </w:t>
            </w:r>
          </w:p>
        </w:tc>
        <w:tc>
          <w:tcPr>
            <w:tcW w:w="1340" w:type="dxa"/>
            <w:tcBorders>
              <w:top w:val="nil"/>
              <w:left w:val="nil"/>
              <w:bottom w:val="single" w:sz="4" w:space="0" w:color="auto"/>
              <w:right w:val="single" w:sz="8" w:space="0" w:color="auto"/>
            </w:tcBorders>
            <w:shd w:val="clear" w:color="auto" w:fill="auto"/>
            <w:noWrap/>
            <w:vAlign w:val="bottom"/>
            <w:hideMark/>
          </w:tcPr>
          <w:p w14:paraId="3ED1C982" w14:textId="77777777" w:rsidR="008F16FC" w:rsidRPr="008F16FC" w:rsidRDefault="008F16FC" w:rsidP="008F16FC">
            <w:pPr>
              <w:jc w:val="center"/>
              <w:rPr>
                <w:b/>
                <w:bCs/>
                <w:color w:val="000000"/>
                <w:sz w:val="20"/>
                <w:szCs w:val="20"/>
              </w:rPr>
            </w:pPr>
            <w:r w:rsidRPr="008F16FC">
              <w:rPr>
                <w:b/>
                <w:bCs/>
                <w:color w:val="000000"/>
                <w:sz w:val="20"/>
                <w:szCs w:val="20"/>
              </w:rPr>
              <w:t>-14%</w:t>
            </w:r>
          </w:p>
        </w:tc>
      </w:tr>
      <w:tr w:rsidR="008F16FC" w:rsidRPr="008F16FC" w14:paraId="011D756C" w14:textId="77777777" w:rsidTr="00BA304B">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6CCA5861" w14:textId="77777777" w:rsidR="008F16FC" w:rsidRPr="008F16FC" w:rsidRDefault="008F16FC" w:rsidP="008F16FC">
            <w:pPr>
              <w:rPr>
                <w:b/>
                <w:bCs/>
                <w:color w:val="000000"/>
                <w:sz w:val="20"/>
                <w:szCs w:val="20"/>
              </w:rPr>
            </w:pPr>
            <w:r w:rsidRPr="008F16FC">
              <w:rPr>
                <w:b/>
                <w:bCs/>
                <w:color w:val="000000"/>
                <w:sz w:val="20"/>
                <w:szCs w:val="20"/>
              </w:rPr>
              <w:t xml:space="preserve">Activos por C. Construcción </w:t>
            </w:r>
            <w:r w:rsidRPr="008F16FC">
              <w:rPr>
                <w:b/>
                <w:bCs/>
                <w:i/>
                <w:iCs/>
                <w:color w:val="000000"/>
                <w:sz w:val="20"/>
                <w:szCs w:val="20"/>
              </w:rPr>
              <w:t>(3)</w:t>
            </w:r>
          </w:p>
        </w:tc>
        <w:tc>
          <w:tcPr>
            <w:tcW w:w="1340" w:type="dxa"/>
            <w:tcBorders>
              <w:top w:val="nil"/>
              <w:left w:val="nil"/>
              <w:bottom w:val="single" w:sz="4" w:space="0" w:color="auto"/>
              <w:right w:val="single" w:sz="4" w:space="0" w:color="auto"/>
            </w:tcBorders>
            <w:shd w:val="clear" w:color="auto" w:fill="auto"/>
            <w:noWrap/>
            <w:vAlign w:val="bottom"/>
            <w:hideMark/>
          </w:tcPr>
          <w:p w14:paraId="29AD8470" w14:textId="77777777" w:rsidR="008F16FC" w:rsidRPr="008F16FC" w:rsidRDefault="008F16FC" w:rsidP="008F16FC">
            <w:pPr>
              <w:rPr>
                <w:b/>
                <w:bCs/>
                <w:color w:val="000000"/>
                <w:sz w:val="20"/>
                <w:szCs w:val="20"/>
              </w:rPr>
            </w:pPr>
            <w:r w:rsidRPr="008F16FC">
              <w:rPr>
                <w:b/>
                <w:bCs/>
                <w:color w:val="000000"/>
                <w:sz w:val="20"/>
                <w:szCs w:val="20"/>
              </w:rPr>
              <w:t xml:space="preserve">        805.897 </w:t>
            </w:r>
          </w:p>
        </w:tc>
        <w:tc>
          <w:tcPr>
            <w:tcW w:w="1340" w:type="dxa"/>
            <w:tcBorders>
              <w:top w:val="nil"/>
              <w:left w:val="nil"/>
              <w:bottom w:val="single" w:sz="4" w:space="0" w:color="auto"/>
              <w:right w:val="single" w:sz="4" w:space="0" w:color="auto"/>
            </w:tcBorders>
            <w:shd w:val="clear" w:color="auto" w:fill="auto"/>
            <w:noWrap/>
            <w:vAlign w:val="bottom"/>
            <w:hideMark/>
          </w:tcPr>
          <w:p w14:paraId="00BE98A1" w14:textId="77777777" w:rsidR="008F16FC" w:rsidRPr="008F16FC" w:rsidRDefault="008F16FC" w:rsidP="008F16FC">
            <w:pPr>
              <w:rPr>
                <w:b/>
                <w:bCs/>
                <w:color w:val="000000"/>
                <w:sz w:val="20"/>
                <w:szCs w:val="20"/>
              </w:rPr>
            </w:pPr>
            <w:r w:rsidRPr="008F16FC">
              <w:rPr>
                <w:b/>
                <w:bCs/>
                <w:color w:val="000000"/>
                <w:sz w:val="20"/>
                <w:szCs w:val="20"/>
              </w:rPr>
              <w:t xml:space="preserve">     1.836.382 </w:t>
            </w:r>
          </w:p>
        </w:tc>
        <w:tc>
          <w:tcPr>
            <w:tcW w:w="1287" w:type="dxa"/>
            <w:tcBorders>
              <w:top w:val="nil"/>
              <w:left w:val="nil"/>
              <w:bottom w:val="single" w:sz="4" w:space="0" w:color="auto"/>
              <w:right w:val="single" w:sz="4" w:space="0" w:color="auto"/>
            </w:tcBorders>
            <w:shd w:val="clear" w:color="auto" w:fill="auto"/>
            <w:noWrap/>
            <w:vAlign w:val="bottom"/>
            <w:hideMark/>
          </w:tcPr>
          <w:p w14:paraId="2AF20718" w14:textId="77777777" w:rsidR="008F16FC" w:rsidRPr="008F16FC" w:rsidRDefault="008F16FC" w:rsidP="008F16FC">
            <w:pPr>
              <w:rPr>
                <w:b/>
                <w:bCs/>
                <w:color w:val="000000"/>
                <w:sz w:val="20"/>
                <w:szCs w:val="20"/>
              </w:rPr>
            </w:pPr>
            <w:r w:rsidRPr="008F16FC">
              <w:rPr>
                <w:b/>
                <w:bCs/>
                <w:color w:val="000000"/>
                <w:sz w:val="20"/>
                <w:szCs w:val="20"/>
              </w:rPr>
              <w:t xml:space="preserve">    -1.030.486 </w:t>
            </w:r>
          </w:p>
        </w:tc>
        <w:tc>
          <w:tcPr>
            <w:tcW w:w="1340" w:type="dxa"/>
            <w:tcBorders>
              <w:top w:val="nil"/>
              <w:left w:val="nil"/>
              <w:bottom w:val="single" w:sz="4" w:space="0" w:color="auto"/>
              <w:right w:val="single" w:sz="8" w:space="0" w:color="auto"/>
            </w:tcBorders>
            <w:shd w:val="clear" w:color="auto" w:fill="auto"/>
            <w:noWrap/>
            <w:vAlign w:val="bottom"/>
            <w:hideMark/>
          </w:tcPr>
          <w:p w14:paraId="2206FCD0" w14:textId="77777777" w:rsidR="008F16FC" w:rsidRPr="008F16FC" w:rsidRDefault="008F16FC" w:rsidP="008F16FC">
            <w:pPr>
              <w:jc w:val="center"/>
              <w:rPr>
                <w:b/>
                <w:bCs/>
                <w:color w:val="000000"/>
                <w:sz w:val="20"/>
                <w:szCs w:val="20"/>
              </w:rPr>
            </w:pPr>
            <w:r w:rsidRPr="008F16FC">
              <w:rPr>
                <w:b/>
                <w:bCs/>
                <w:color w:val="000000"/>
                <w:sz w:val="20"/>
                <w:szCs w:val="20"/>
              </w:rPr>
              <w:t>-56%</w:t>
            </w:r>
          </w:p>
        </w:tc>
      </w:tr>
      <w:tr w:rsidR="008F16FC" w:rsidRPr="008F16FC" w14:paraId="13D8A8BE" w14:textId="77777777" w:rsidTr="00BA304B">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622E4E64" w14:textId="77777777" w:rsidR="008F16FC" w:rsidRPr="008F16FC" w:rsidRDefault="008F16FC" w:rsidP="008F16FC">
            <w:pPr>
              <w:rPr>
                <w:b/>
                <w:bCs/>
                <w:color w:val="000000"/>
                <w:sz w:val="20"/>
                <w:szCs w:val="20"/>
              </w:rPr>
            </w:pPr>
            <w:r w:rsidRPr="008F16FC">
              <w:rPr>
                <w:b/>
                <w:bCs/>
                <w:color w:val="000000"/>
                <w:sz w:val="20"/>
                <w:szCs w:val="20"/>
              </w:rPr>
              <w:t xml:space="preserve">Créditos diversos </w:t>
            </w:r>
            <w:r w:rsidRPr="008F16FC">
              <w:rPr>
                <w:b/>
                <w:bCs/>
                <w:i/>
                <w:iCs/>
                <w:color w:val="000000"/>
                <w:sz w:val="20"/>
                <w:szCs w:val="20"/>
              </w:rPr>
              <w:t>(4)</w:t>
            </w:r>
          </w:p>
        </w:tc>
        <w:tc>
          <w:tcPr>
            <w:tcW w:w="1340" w:type="dxa"/>
            <w:tcBorders>
              <w:top w:val="nil"/>
              <w:left w:val="nil"/>
              <w:bottom w:val="single" w:sz="4" w:space="0" w:color="auto"/>
              <w:right w:val="single" w:sz="4" w:space="0" w:color="auto"/>
            </w:tcBorders>
            <w:shd w:val="clear" w:color="auto" w:fill="auto"/>
            <w:noWrap/>
            <w:vAlign w:val="bottom"/>
            <w:hideMark/>
          </w:tcPr>
          <w:p w14:paraId="25824396" w14:textId="77777777" w:rsidR="008F16FC" w:rsidRPr="008F16FC" w:rsidRDefault="008F16FC" w:rsidP="008F16FC">
            <w:pPr>
              <w:rPr>
                <w:b/>
                <w:bCs/>
                <w:color w:val="000000"/>
                <w:sz w:val="20"/>
                <w:szCs w:val="20"/>
              </w:rPr>
            </w:pPr>
            <w:r w:rsidRPr="008F16FC">
              <w:rPr>
                <w:b/>
                <w:bCs/>
                <w:color w:val="000000"/>
                <w:sz w:val="20"/>
                <w:szCs w:val="20"/>
              </w:rPr>
              <w:t xml:space="preserve">     1.717.452 </w:t>
            </w:r>
          </w:p>
        </w:tc>
        <w:tc>
          <w:tcPr>
            <w:tcW w:w="1340" w:type="dxa"/>
            <w:tcBorders>
              <w:top w:val="nil"/>
              <w:left w:val="nil"/>
              <w:bottom w:val="single" w:sz="4" w:space="0" w:color="auto"/>
              <w:right w:val="single" w:sz="4" w:space="0" w:color="auto"/>
            </w:tcBorders>
            <w:shd w:val="clear" w:color="auto" w:fill="auto"/>
            <w:noWrap/>
            <w:vAlign w:val="bottom"/>
            <w:hideMark/>
          </w:tcPr>
          <w:p w14:paraId="11679262" w14:textId="77777777" w:rsidR="008F16FC" w:rsidRPr="008F16FC" w:rsidRDefault="008F16FC" w:rsidP="008F16FC">
            <w:pPr>
              <w:rPr>
                <w:b/>
                <w:bCs/>
                <w:color w:val="000000"/>
                <w:sz w:val="20"/>
                <w:szCs w:val="20"/>
              </w:rPr>
            </w:pPr>
            <w:r w:rsidRPr="008F16FC">
              <w:rPr>
                <w:b/>
                <w:bCs/>
                <w:color w:val="000000"/>
                <w:sz w:val="20"/>
                <w:szCs w:val="20"/>
              </w:rPr>
              <w:t xml:space="preserve">     2.242.096 </w:t>
            </w:r>
          </w:p>
        </w:tc>
        <w:tc>
          <w:tcPr>
            <w:tcW w:w="1287" w:type="dxa"/>
            <w:tcBorders>
              <w:top w:val="nil"/>
              <w:left w:val="nil"/>
              <w:bottom w:val="single" w:sz="4" w:space="0" w:color="auto"/>
              <w:right w:val="single" w:sz="4" w:space="0" w:color="auto"/>
            </w:tcBorders>
            <w:shd w:val="clear" w:color="auto" w:fill="auto"/>
            <w:noWrap/>
            <w:vAlign w:val="bottom"/>
            <w:hideMark/>
          </w:tcPr>
          <w:p w14:paraId="4D67789E" w14:textId="77777777" w:rsidR="008F16FC" w:rsidRPr="008F16FC" w:rsidRDefault="008F16FC" w:rsidP="008F16FC">
            <w:pPr>
              <w:rPr>
                <w:b/>
                <w:bCs/>
                <w:color w:val="000000"/>
                <w:sz w:val="20"/>
                <w:szCs w:val="20"/>
              </w:rPr>
            </w:pPr>
            <w:r w:rsidRPr="008F16FC">
              <w:rPr>
                <w:b/>
                <w:bCs/>
                <w:color w:val="000000"/>
                <w:sz w:val="20"/>
                <w:szCs w:val="20"/>
              </w:rPr>
              <w:t xml:space="preserve">       -524.644 </w:t>
            </w:r>
          </w:p>
        </w:tc>
        <w:tc>
          <w:tcPr>
            <w:tcW w:w="1340" w:type="dxa"/>
            <w:tcBorders>
              <w:top w:val="nil"/>
              <w:left w:val="nil"/>
              <w:bottom w:val="single" w:sz="4" w:space="0" w:color="auto"/>
              <w:right w:val="single" w:sz="8" w:space="0" w:color="auto"/>
            </w:tcBorders>
            <w:shd w:val="clear" w:color="auto" w:fill="auto"/>
            <w:noWrap/>
            <w:vAlign w:val="bottom"/>
            <w:hideMark/>
          </w:tcPr>
          <w:p w14:paraId="158B1606" w14:textId="77777777" w:rsidR="008F16FC" w:rsidRPr="008F16FC" w:rsidRDefault="008F16FC" w:rsidP="008F16FC">
            <w:pPr>
              <w:jc w:val="center"/>
              <w:rPr>
                <w:b/>
                <w:bCs/>
                <w:color w:val="000000"/>
                <w:sz w:val="20"/>
                <w:szCs w:val="20"/>
              </w:rPr>
            </w:pPr>
            <w:r w:rsidRPr="008F16FC">
              <w:rPr>
                <w:b/>
                <w:bCs/>
                <w:color w:val="000000"/>
                <w:sz w:val="20"/>
                <w:szCs w:val="20"/>
              </w:rPr>
              <w:t>-23%</w:t>
            </w:r>
          </w:p>
        </w:tc>
      </w:tr>
      <w:tr w:rsidR="008F16FC" w:rsidRPr="008F16FC" w14:paraId="518834F6" w14:textId="77777777" w:rsidTr="00BA304B">
        <w:trPr>
          <w:trHeight w:val="270"/>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79CE3C37" w14:textId="77777777" w:rsidR="008F16FC" w:rsidRPr="008F16FC" w:rsidRDefault="008F16FC" w:rsidP="008F16FC">
            <w:pPr>
              <w:rPr>
                <w:b/>
                <w:bCs/>
                <w:color w:val="000000"/>
                <w:sz w:val="20"/>
                <w:szCs w:val="20"/>
              </w:rPr>
            </w:pPr>
            <w:r w:rsidRPr="008F16FC">
              <w:rPr>
                <w:b/>
                <w:bCs/>
                <w:color w:val="000000"/>
                <w:sz w:val="20"/>
                <w:szCs w:val="20"/>
              </w:rPr>
              <w:t xml:space="preserve">Inventarios </w:t>
            </w:r>
            <w:r w:rsidRPr="008F16FC">
              <w:rPr>
                <w:b/>
                <w:bCs/>
                <w:i/>
                <w:iCs/>
                <w:color w:val="000000"/>
                <w:sz w:val="20"/>
                <w:szCs w:val="20"/>
              </w:rPr>
              <w:t>(5)</w:t>
            </w:r>
          </w:p>
        </w:tc>
        <w:tc>
          <w:tcPr>
            <w:tcW w:w="1340" w:type="dxa"/>
            <w:tcBorders>
              <w:top w:val="nil"/>
              <w:left w:val="nil"/>
              <w:bottom w:val="single" w:sz="4" w:space="0" w:color="auto"/>
              <w:right w:val="single" w:sz="4" w:space="0" w:color="auto"/>
            </w:tcBorders>
            <w:shd w:val="clear" w:color="auto" w:fill="auto"/>
            <w:noWrap/>
            <w:vAlign w:val="bottom"/>
            <w:hideMark/>
          </w:tcPr>
          <w:p w14:paraId="77E8F6D9" w14:textId="77777777" w:rsidR="008F16FC" w:rsidRPr="008F16FC" w:rsidRDefault="008F16FC" w:rsidP="008F16FC">
            <w:pPr>
              <w:rPr>
                <w:b/>
                <w:bCs/>
                <w:color w:val="000000"/>
                <w:sz w:val="20"/>
                <w:szCs w:val="20"/>
              </w:rPr>
            </w:pPr>
            <w:r w:rsidRPr="008F16FC">
              <w:rPr>
                <w:b/>
                <w:bCs/>
                <w:color w:val="000000"/>
                <w:sz w:val="20"/>
                <w:szCs w:val="20"/>
              </w:rPr>
              <w:t xml:space="preserve">        745.329 </w:t>
            </w:r>
          </w:p>
        </w:tc>
        <w:tc>
          <w:tcPr>
            <w:tcW w:w="1340" w:type="dxa"/>
            <w:tcBorders>
              <w:top w:val="nil"/>
              <w:left w:val="nil"/>
              <w:bottom w:val="single" w:sz="4" w:space="0" w:color="auto"/>
              <w:right w:val="single" w:sz="4" w:space="0" w:color="auto"/>
            </w:tcBorders>
            <w:shd w:val="clear" w:color="auto" w:fill="auto"/>
            <w:noWrap/>
            <w:vAlign w:val="bottom"/>
            <w:hideMark/>
          </w:tcPr>
          <w:p w14:paraId="3F52E030" w14:textId="77777777" w:rsidR="008F16FC" w:rsidRPr="008F16FC" w:rsidRDefault="008F16FC" w:rsidP="008F16FC">
            <w:pPr>
              <w:rPr>
                <w:b/>
                <w:bCs/>
                <w:color w:val="000000"/>
                <w:sz w:val="20"/>
                <w:szCs w:val="20"/>
              </w:rPr>
            </w:pPr>
            <w:r w:rsidRPr="008F16FC">
              <w:rPr>
                <w:b/>
                <w:bCs/>
                <w:color w:val="000000"/>
                <w:sz w:val="20"/>
                <w:szCs w:val="20"/>
              </w:rPr>
              <w:t xml:space="preserve">        559.279 </w:t>
            </w:r>
          </w:p>
        </w:tc>
        <w:tc>
          <w:tcPr>
            <w:tcW w:w="1287" w:type="dxa"/>
            <w:tcBorders>
              <w:top w:val="nil"/>
              <w:left w:val="nil"/>
              <w:bottom w:val="single" w:sz="4" w:space="0" w:color="auto"/>
              <w:right w:val="single" w:sz="4" w:space="0" w:color="auto"/>
            </w:tcBorders>
            <w:shd w:val="clear" w:color="auto" w:fill="auto"/>
            <w:noWrap/>
            <w:vAlign w:val="bottom"/>
            <w:hideMark/>
          </w:tcPr>
          <w:p w14:paraId="696F66EE" w14:textId="77777777" w:rsidR="008F16FC" w:rsidRPr="008F16FC" w:rsidRDefault="008F16FC" w:rsidP="008F16FC">
            <w:pPr>
              <w:rPr>
                <w:b/>
                <w:bCs/>
                <w:color w:val="000000"/>
                <w:sz w:val="20"/>
                <w:szCs w:val="20"/>
              </w:rPr>
            </w:pPr>
            <w:r w:rsidRPr="008F16FC">
              <w:rPr>
                <w:b/>
                <w:bCs/>
                <w:color w:val="000000"/>
                <w:sz w:val="20"/>
                <w:szCs w:val="20"/>
              </w:rPr>
              <w:t xml:space="preserve">        186.050 </w:t>
            </w:r>
          </w:p>
        </w:tc>
        <w:tc>
          <w:tcPr>
            <w:tcW w:w="1340" w:type="dxa"/>
            <w:tcBorders>
              <w:top w:val="nil"/>
              <w:left w:val="nil"/>
              <w:bottom w:val="single" w:sz="4" w:space="0" w:color="auto"/>
              <w:right w:val="single" w:sz="8" w:space="0" w:color="auto"/>
            </w:tcBorders>
            <w:shd w:val="clear" w:color="auto" w:fill="auto"/>
            <w:noWrap/>
            <w:vAlign w:val="bottom"/>
            <w:hideMark/>
          </w:tcPr>
          <w:p w14:paraId="71CC9BF7" w14:textId="77777777" w:rsidR="008F16FC" w:rsidRPr="008F16FC" w:rsidRDefault="008F16FC" w:rsidP="008F16FC">
            <w:pPr>
              <w:jc w:val="center"/>
              <w:rPr>
                <w:b/>
                <w:bCs/>
                <w:color w:val="000000"/>
                <w:sz w:val="20"/>
                <w:szCs w:val="20"/>
              </w:rPr>
            </w:pPr>
            <w:r w:rsidRPr="008F16FC">
              <w:rPr>
                <w:b/>
                <w:bCs/>
                <w:color w:val="000000"/>
                <w:sz w:val="20"/>
                <w:szCs w:val="20"/>
              </w:rPr>
              <w:t>33%</w:t>
            </w:r>
          </w:p>
        </w:tc>
      </w:tr>
      <w:tr w:rsidR="00AE6F90" w:rsidRPr="008F16FC" w14:paraId="6E42F730" w14:textId="77777777" w:rsidTr="008F16FC">
        <w:trPr>
          <w:trHeight w:val="270"/>
        </w:trPr>
        <w:tc>
          <w:tcPr>
            <w:tcW w:w="3953" w:type="dxa"/>
            <w:tcBorders>
              <w:top w:val="single" w:sz="8" w:space="0" w:color="auto"/>
              <w:left w:val="single" w:sz="8" w:space="0" w:color="auto"/>
              <w:bottom w:val="single" w:sz="8" w:space="0" w:color="auto"/>
              <w:right w:val="nil"/>
            </w:tcBorders>
            <w:shd w:val="clear" w:color="auto" w:fill="auto"/>
            <w:noWrap/>
            <w:vAlign w:val="bottom"/>
            <w:hideMark/>
          </w:tcPr>
          <w:p w14:paraId="7164A04C" w14:textId="77777777" w:rsidR="008F16FC" w:rsidRPr="008F16FC" w:rsidRDefault="008F16FC" w:rsidP="008F16FC">
            <w:pPr>
              <w:rPr>
                <w:b/>
                <w:bCs/>
                <w:color w:val="000000"/>
                <w:sz w:val="20"/>
                <w:szCs w:val="20"/>
              </w:rPr>
            </w:pPr>
            <w:r w:rsidRPr="008F16FC">
              <w:rPr>
                <w:b/>
                <w:bCs/>
                <w:color w:val="000000"/>
                <w:sz w:val="20"/>
                <w:szCs w:val="20"/>
              </w:rPr>
              <w:t>Total Activo Corriente</w:t>
            </w:r>
          </w:p>
        </w:tc>
        <w:tc>
          <w:tcPr>
            <w:tcW w:w="1340" w:type="dxa"/>
            <w:tcBorders>
              <w:top w:val="single" w:sz="8" w:space="0" w:color="auto"/>
              <w:left w:val="nil"/>
              <w:bottom w:val="single" w:sz="8" w:space="0" w:color="auto"/>
              <w:right w:val="nil"/>
            </w:tcBorders>
            <w:shd w:val="clear" w:color="auto" w:fill="auto"/>
            <w:noWrap/>
            <w:vAlign w:val="bottom"/>
            <w:hideMark/>
          </w:tcPr>
          <w:p w14:paraId="3C668922" w14:textId="77777777" w:rsidR="008F16FC" w:rsidRPr="008F16FC" w:rsidRDefault="008F16FC" w:rsidP="008F16FC">
            <w:pPr>
              <w:rPr>
                <w:b/>
                <w:bCs/>
                <w:color w:val="000000"/>
                <w:sz w:val="20"/>
                <w:szCs w:val="20"/>
              </w:rPr>
            </w:pPr>
            <w:r w:rsidRPr="008F16FC">
              <w:rPr>
                <w:b/>
                <w:bCs/>
                <w:color w:val="000000"/>
                <w:sz w:val="20"/>
                <w:szCs w:val="20"/>
              </w:rPr>
              <w:t xml:space="preserve">     7.321.769 </w:t>
            </w:r>
          </w:p>
        </w:tc>
        <w:tc>
          <w:tcPr>
            <w:tcW w:w="1340" w:type="dxa"/>
            <w:tcBorders>
              <w:top w:val="single" w:sz="8" w:space="0" w:color="auto"/>
              <w:left w:val="nil"/>
              <w:bottom w:val="single" w:sz="8" w:space="0" w:color="auto"/>
              <w:right w:val="nil"/>
            </w:tcBorders>
            <w:shd w:val="clear" w:color="auto" w:fill="auto"/>
            <w:noWrap/>
            <w:vAlign w:val="bottom"/>
            <w:hideMark/>
          </w:tcPr>
          <w:p w14:paraId="44A7AB34" w14:textId="77777777" w:rsidR="008F16FC" w:rsidRPr="008F16FC" w:rsidRDefault="008F16FC" w:rsidP="008F16FC">
            <w:pPr>
              <w:rPr>
                <w:b/>
                <w:bCs/>
                <w:color w:val="000000"/>
                <w:sz w:val="20"/>
                <w:szCs w:val="20"/>
              </w:rPr>
            </w:pPr>
            <w:r w:rsidRPr="008F16FC">
              <w:rPr>
                <w:b/>
                <w:bCs/>
                <w:color w:val="000000"/>
                <w:sz w:val="20"/>
                <w:szCs w:val="20"/>
              </w:rPr>
              <w:t xml:space="preserve">     9.008.961 </w:t>
            </w:r>
          </w:p>
        </w:tc>
        <w:tc>
          <w:tcPr>
            <w:tcW w:w="1287" w:type="dxa"/>
            <w:tcBorders>
              <w:top w:val="single" w:sz="8" w:space="0" w:color="auto"/>
              <w:left w:val="nil"/>
              <w:bottom w:val="single" w:sz="8" w:space="0" w:color="auto"/>
              <w:right w:val="nil"/>
            </w:tcBorders>
            <w:shd w:val="clear" w:color="auto" w:fill="auto"/>
            <w:noWrap/>
            <w:vAlign w:val="bottom"/>
            <w:hideMark/>
          </w:tcPr>
          <w:p w14:paraId="6F5FB92A" w14:textId="77777777" w:rsidR="008F16FC" w:rsidRPr="008F16FC" w:rsidRDefault="008F16FC" w:rsidP="008F16FC">
            <w:pPr>
              <w:rPr>
                <w:b/>
                <w:bCs/>
                <w:color w:val="000000"/>
                <w:sz w:val="20"/>
                <w:szCs w:val="20"/>
              </w:rPr>
            </w:pPr>
            <w:r w:rsidRPr="008F16FC">
              <w:rPr>
                <w:b/>
                <w:bCs/>
                <w:color w:val="000000"/>
                <w:sz w:val="20"/>
                <w:szCs w:val="20"/>
              </w:rPr>
              <w:t xml:space="preserve">    -1.687.193 </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464F60D7" w14:textId="77777777" w:rsidR="008F16FC" w:rsidRPr="008F16FC" w:rsidRDefault="008F16FC" w:rsidP="008F16FC">
            <w:pPr>
              <w:jc w:val="center"/>
              <w:rPr>
                <w:b/>
                <w:bCs/>
                <w:color w:val="000000"/>
                <w:sz w:val="20"/>
                <w:szCs w:val="20"/>
              </w:rPr>
            </w:pPr>
            <w:r w:rsidRPr="008F16FC">
              <w:rPr>
                <w:b/>
                <w:bCs/>
                <w:color w:val="000000"/>
                <w:sz w:val="20"/>
                <w:szCs w:val="20"/>
              </w:rPr>
              <w:t>-19%</w:t>
            </w:r>
          </w:p>
        </w:tc>
      </w:tr>
      <w:tr w:rsidR="008F16FC" w:rsidRPr="008F16FC" w14:paraId="075AB391" w14:textId="77777777" w:rsidTr="00BA304B">
        <w:trPr>
          <w:trHeight w:val="75"/>
        </w:trPr>
        <w:tc>
          <w:tcPr>
            <w:tcW w:w="3953" w:type="dxa"/>
            <w:tcBorders>
              <w:top w:val="nil"/>
              <w:left w:val="nil"/>
              <w:bottom w:val="nil"/>
              <w:right w:val="nil"/>
            </w:tcBorders>
            <w:shd w:val="clear" w:color="auto" w:fill="auto"/>
            <w:noWrap/>
            <w:vAlign w:val="bottom"/>
            <w:hideMark/>
          </w:tcPr>
          <w:p w14:paraId="1A11D989"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center"/>
            <w:hideMark/>
          </w:tcPr>
          <w:p w14:paraId="39D3223B" w14:textId="77777777" w:rsidR="008F16FC" w:rsidRPr="008F16FC" w:rsidRDefault="008F16FC" w:rsidP="008F16FC">
            <w:pPr>
              <w:jc w:val="center"/>
              <w:rPr>
                <w:b/>
                <w:bCs/>
                <w:color w:val="000000"/>
                <w:sz w:val="20"/>
                <w:szCs w:val="20"/>
              </w:rPr>
            </w:pPr>
          </w:p>
        </w:tc>
        <w:tc>
          <w:tcPr>
            <w:tcW w:w="1340" w:type="dxa"/>
            <w:tcBorders>
              <w:top w:val="nil"/>
              <w:left w:val="nil"/>
              <w:bottom w:val="nil"/>
              <w:right w:val="nil"/>
            </w:tcBorders>
            <w:shd w:val="clear" w:color="auto" w:fill="auto"/>
            <w:noWrap/>
            <w:vAlign w:val="center"/>
            <w:hideMark/>
          </w:tcPr>
          <w:p w14:paraId="73D4F384" w14:textId="77777777" w:rsidR="008F16FC" w:rsidRPr="008F16FC" w:rsidRDefault="008F16FC" w:rsidP="008F16FC">
            <w:pPr>
              <w:jc w:val="center"/>
              <w:rPr>
                <w:b/>
                <w:bCs/>
                <w:color w:val="000000"/>
                <w:sz w:val="20"/>
                <w:szCs w:val="20"/>
              </w:rPr>
            </w:pPr>
          </w:p>
        </w:tc>
        <w:tc>
          <w:tcPr>
            <w:tcW w:w="1287" w:type="dxa"/>
            <w:tcBorders>
              <w:top w:val="nil"/>
              <w:left w:val="nil"/>
              <w:bottom w:val="nil"/>
              <w:right w:val="nil"/>
            </w:tcBorders>
            <w:shd w:val="clear" w:color="auto" w:fill="auto"/>
            <w:vAlign w:val="center"/>
            <w:hideMark/>
          </w:tcPr>
          <w:p w14:paraId="4B8F1719" w14:textId="77777777" w:rsidR="008F16FC" w:rsidRPr="008F16FC" w:rsidRDefault="008F16FC" w:rsidP="008F16FC">
            <w:pPr>
              <w:jc w:val="center"/>
              <w:rPr>
                <w:color w:val="000000"/>
                <w:sz w:val="20"/>
                <w:szCs w:val="20"/>
              </w:rPr>
            </w:pPr>
          </w:p>
        </w:tc>
        <w:tc>
          <w:tcPr>
            <w:tcW w:w="1340" w:type="dxa"/>
            <w:tcBorders>
              <w:top w:val="nil"/>
              <w:left w:val="nil"/>
              <w:bottom w:val="nil"/>
              <w:right w:val="nil"/>
            </w:tcBorders>
            <w:shd w:val="clear" w:color="auto" w:fill="auto"/>
            <w:noWrap/>
            <w:vAlign w:val="center"/>
            <w:hideMark/>
          </w:tcPr>
          <w:p w14:paraId="4B75F592" w14:textId="77777777" w:rsidR="008F16FC" w:rsidRPr="008F16FC" w:rsidRDefault="008F16FC" w:rsidP="008F16FC">
            <w:pPr>
              <w:jc w:val="center"/>
              <w:rPr>
                <w:color w:val="000000"/>
                <w:sz w:val="20"/>
                <w:szCs w:val="20"/>
              </w:rPr>
            </w:pPr>
          </w:p>
        </w:tc>
      </w:tr>
      <w:tr w:rsidR="008F16FC" w:rsidRPr="008F16FC" w14:paraId="263BE013" w14:textId="77777777" w:rsidTr="00BA304B">
        <w:trPr>
          <w:trHeight w:val="255"/>
        </w:trPr>
        <w:tc>
          <w:tcPr>
            <w:tcW w:w="395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DA766C4" w14:textId="77777777" w:rsidR="008F16FC" w:rsidRPr="008F16FC" w:rsidRDefault="008F16FC" w:rsidP="008F16FC">
            <w:pPr>
              <w:rPr>
                <w:b/>
                <w:bCs/>
                <w:color w:val="000000"/>
                <w:sz w:val="20"/>
                <w:szCs w:val="20"/>
              </w:rPr>
            </w:pPr>
            <w:r w:rsidRPr="008F16FC">
              <w:rPr>
                <w:b/>
                <w:bCs/>
                <w:color w:val="000000"/>
                <w:sz w:val="20"/>
                <w:szCs w:val="20"/>
              </w:rPr>
              <w:t>Activos financieros</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5A1E43AB" w14:textId="77777777" w:rsidR="008F16FC" w:rsidRPr="008F16FC" w:rsidRDefault="008F16FC" w:rsidP="008F16FC">
            <w:pPr>
              <w:rPr>
                <w:b/>
                <w:bCs/>
                <w:color w:val="000000"/>
                <w:sz w:val="20"/>
                <w:szCs w:val="20"/>
              </w:rPr>
            </w:pPr>
            <w:r w:rsidRPr="008F16FC">
              <w:rPr>
                <w:b/>
                <w:bCs/>
                <w:color w:val="000000"/>
                <w:sz w:val="20"/>
                <w:szCs w:val="20"/>
              </w:rPr>
              <w:t xml:space="preserve">          25.658 </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5616E87D" w14:textId="77777777" w:rsidR="008F16FC" w:rsidRPr="008F16FC" w:rsidRDefault="008F16FC" w:rsidP="008F16FC">
            <w:pPr>
              <w:rPr>
                <w:b/>
                <w:bCs/>
                <w:color w:val="000000"/>
                <w:sz w:val="20"/>
                <w:szCs w:val="20"/>
              </w:rPr>
            </w:pPr>
            <w:r w:rsidRPr="008F16FC">
              <w:rPr>
                <w:b/>
                <w:bCs/>
                <w:color w:val="000000"/>
                <w:sz w:val="20"/>
                <w:szCs w:val="20"/>
              </w:rPr>
              <w:t xml:space="preserve">          23.274 </w:t>
            </w:r>
          </w:p>
        </w:tc>
        <w:tc>
          <w:tcPr>
            <w:tcW w:w="1287" w:type="dxa"/>
            <w:tcBorders>
              <w:top w:val="single" w:sz="8" w:space="0" w:color="auto"/>
              <w:left w:val="nil"/>
              <w:bottom w:val="single" w:sz="4" w:space="0" w:color="auto"/>
              <w:right w:val="single" w:sz="4" w:space="0" w:color="auto"/>
            </w:tcBorders>
            <w:shd w:val="clear" w:color="auto" w:fill="auto"/>
            <w:noWrap/>
            <w:vAlign w:val="bottom"/>
            <w:hideMark/>
          </w:tcPr>
          <w:p w14:paraId="47E1D66E" w14:textId="77777777" w:rsidR="008F16FC" w:rsidRPr="008F16FC" w:rsidRDefault="008F16FC" w:rsidP="008F16FC">
            <w:pPr>
              <w:rPr>
                <w:b/>
                <w:bCs/>
                <w:color w:val="000000"/>
                <w:sz w:val="20"/>
                <w:szCs w:val="20"/>
              </w:rPr>
            </w:pPr>
            <w:r w:rsidRPr="008F16FC">
              <w:rPr>
                <w:b/>
                <w:bCs/>
                <w:color w:val="000000"/>
                <w:sz w:val="20"/>
                <w:szCs w:val="20"/>
              </w:rPr>
              <w:t xml:space="preserve">            2.384 </w:t>
            </w:r>
          </w:p>
        </w:tc>
        <w:tc>
          <w:tcPr>
            <w:tcW w:w="1340" w:type="dxa"/>
            <w:tcBorders>
              <w:top w:val="single" w:sz="8" w:space="0" w:color="auto"/>
              <w:left w:val="nil"/>
              <w:bottom w:val="single" w:sz="4" w:space="0" w:color="auto"/>
              <w:right w:val="single" w:sz="8" w:space="0" w:color="auto"/>
            </w:tcBorders>
            <w:shd w:val="clear" w:color="auto" w:fill="auto"/>
            <w:noWrap/>
            <w:vAlign w:val="bottom"/>
            <w:hideMark/>
          </w:tcPr>
          <w:p w14:paraId="3DEC1DB1" w14:textId="77777777" w:rsidR="008F16FC" w:rsidRPr="008F16FC" w:rsidRDefault="008F16FC" w:rsidP="008F16FC">
            <w:pPr>
              <w:jc w:val="center"/>
              <w:rPr>
                <w:b/>
                <w:bCs/>
                <w:color w:val="000000"/>
                <w:sz w:val="20"/>
                <w:szCs w:val="20"/>
              </w:rPr>
            </w:pPr>
            <w:r w:rsidRPr="008F16FC">
              <w:rPr>
                <w:b/>
                <w:bCs/>
                <w:color w:val="000000"/>
                <w:sz w:val="20"/>
                <w:szCs w:val="20"/>
              </w:rPr>
              <w:t>10%</w:t>
            </w:r>
          </w:p>
        </w:tc>
      </w:tr>
      <w:tr w:rsidR="008F16FC" w:rsidRPr="008F16FC" w14:paraId="37FF3A13" w14:textId="77777777" w:rsidTr="00BA304B">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62100B66" w14:textId="77777777" w:rsidR="008F16FC" w:rsidRPr="008F16FC" w:rsidRDefault="008F16FC" w:rsidP="008F16FC">
            <w:pPr>
              <w:rPr>
                <w:b/>
                <w:bCs/>
                <w:color w:val="000000"/>
                <w:sz w:val="20"/>
                <w:szCs w:val="20"/>
              </w:rPr>
            </w:pPr>
            <w:r w:rsidRPr="008F16FC">
              <w:rPr>
                <w:b/>
                <w:bCs/>
                <w:color w:val="000000"/>
                <w:sz w:val="20"/>
                <w:szCs w:val="20"/>
              </w:rPr>
              <w:t>Propiedades de inversión</w:t>
            </w:r>
          </w:p>
        </w:tc>
        <w:tc>
          <w:tcPr>
            <w:tcW w:w="1340" w:type="dxa"/>
            <w:tcBorders>
              <w:top w:val="nil"/>
              <w:left w:val="nil"/>
              <w:bottom w:val="single" w:sz="4" w:space="0" w:color="auto"/>
              <w:right w:val="single" w:sz="4" w:space="0" w:color="auto"/>
            </w:tcBorders>
            <w:shd w:val="clear" w:color="auto" w:fill="auto"/>
            <w:noWrap/>
            <w:vAlign w:val="bottom"/>
            <w:hideMark/>
          </w:tcPr>
          <w:p w14:paraId="1C92215F" w14:textId="77777777" w:rsidR="008F16FC" w:rsidRPr="008F16FC" w:rsidRDefault="008F16FC" w:rsidP="008F16FC">
            <w:pPr>
              <w:rPr>
                <w:b/>
                <w:bCs/>
                <w:color w:val="000000"/>
                <w:sz w:val="20"/>
                <w:szCs w:val="20"/>
              </w:rPr>
            </w:pPr>
            <w:r w:rsidRPr="008F16FC">
              <w:rPr>
                <w:b/>
                <w:bCs/>
                <w:color w:val="000000"/>
                <w:sz w:val="20"/>
                <w:szCs w:val="20"/>
              </w:rPr>
              <w:t xml:space="preserve">          38.147 </w:t>
            </w:r>
          </w:p>
        </w:tc>
        <w:tc>
          <w:tcPr>
            <w:tcW w:w="1340" w:type="dxa"/>
            <w:tcBorders>
              <w:top w:val="nil"/>
              <w:left w:val="nil"/>
              <w:bottom w:val="single" w:sz="4" w:space="0" w:color="auto"/>
              <w:right w:val="single" w:sz="4" w:space="0" w:color="auto"/>
            </w:tcBorders>
            <w:shd w:val="clear" w:color="auto" w:fill="auto"/>
            <w:noWrap/>
            <w:vAlign w:val="bottom"/>
            <w:hideMark/>
          </w:tcPr>
          <w:p w14:paraId="2D1700C5" w14:textId="77777777" w:rsidR="008F16FC" w:rsidRPr="008F16FC" w:rsidRDefault="008F16FC" w:rsidP="008F16FC">
            <w:pPr>
              <w:rPr>
                <w:b/>
                <w:bCs/>
                <w:color w:val="000000"/>
                <w:sz w:val="20"/>
                <w:szCs w:val="20"/>
              </w:rPr>
            </w:pPr>
            <w:r w:rsidRPr="008F16FC">
              <w:rPr>
                <w:b/>
                <w:bCs/>
                <w:color w:val="000000"/>
                <w:sz w:val="20"/>
                <w:szCs w:val="20"/>
              </w:rPr>
              <w:t xml:space="preserve">          38.833 </w:t>
            </w:r>
          </w:p>
        </w:tc>
        <w:tc>
          <w:tcPr>
            <w:tcW w:w="1287" w:type="dxa"/>
            <w:tcBorders>
              <w:top w:val="nil"/>
              <w:left w:val="nil"/>
              <w:bottom w:val="single" w:sz="4" w:space="0" w:color="auto"/>
              <w:right w:val="single" w:sz="4" w:space="0" w:color="auto"/>
            </w:tcBorders>
            <w:shd w:val="clear" w:color="auto" w:fill="auto"/>
            <w:noWrap/>
            <w:vAlign w:val="bottom"/>
            <w:hideMark/>
          </w:tcPr>
          <w:p w14:paraId="66855570" w14:textId="77777777" w:rsidR="008F16FC" w:rsidRPr="008F16FC" w:rsidRDefault="008F16FC" w:rsidP="008F16FC">
            <w:pPr>
              <w:rPr>
                <w:b/>
                <w:bCs/>
                <w:color w:val="000000"/>
                <w:sz w:val="20"/>
                <w:szCs w:val="20"/>
              </w:rPr>
            </w:pPr>
            <w:r w:rsidRPr="008F16FC">
              <w:rPr>
                <w:b/>
                <w:bCs/>
                <w:color w:val="000000"/>
                <w:sz w:val="20"/>
                <w:szCs w:val="20"/>
              </w:rPr>
              <w:t xml:space="preserve">             -686 </w:t>
            </w:r>
          </w:p>
        </w:tc>
        <w:tc>
          <w:tcPr>
            <w:tcW w:w="1340" w:type="dxa"/>
            <w:tcBorders>
              <w:top w:val="nil"/>
              <w:left w:val="nil"/>
              <w:bottom w:val="single" w:sz="4" w:space="0" w:color="auto"/>
              <w:right w:val="single" w:sz="8" w:space="0" w:color="auto"/>
            </w:tcBorders>
            <w:shd w:val="clear" w:color="auto" w:fill="auto"/>
            <w:noWrap/>
            <w:vAlign w:val="bottom"/>
            <w:hideMark/>
          </w:tcPr>
          <w:p w14:paraId="242B9BA8" w14:textId="77777777" w:rsidR="008F16FC" w:rsidRPr="008F16FC" w:rsidRDefault="008F16FC" w:rsidP="008F16FC">
            <w:pPr>
              <w:jc w:val="center"/>
              <w:rPr>
                <w:b/>
                <w:bCs/>
                <w:color w:val="000000"/>
                <w:sz w:val="20"/>
                <w:szCs w:val="20"/>
              </w:rPr>
            </w:pPr>
            <w:r w:rsidRPr="008F16FC">
              <w:rPr>
                <w:b/>
                <w:bCs/>
                <w:color w:val="000000"/>
                <w:sz w:val="20"/>
                <w:szCs w:val="20"/>
              </w:rPr>
              <w:t>-2%</w:t>
            </w:r>
          </w:p>
        </w:tc>
      </w:tr>
      <w:tr w:rsidR="008F16FC" w:rsidRPr="008F16FC" w14:paraId="79968B9B" w14:textId="77777777" w:rsidTr="00BA304B">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5563ADAA" w14:textId="77777777" w:rsidR="008F16FC" w:rsidRPr="008F16FC" w:rsidRDefault="008F16FC" w:rsidP="008F16FC">
            <w:pPr>
              <w:rPr>
                <w:b/>
                <w:bCs/>
                <w:color w:val="000000"/>
                <w:sz w:val="20"/>
                <w:szCs w:val="20"/>
              </w:rPr>
            </w:pPr>
            <w:r w:rsidRPr="008F16FC">
              <w:rPr>
                <w:b/>
                <w:bCs/>
                <w:color w:val="000000"/>
                <w:sz w:val="20"/>
                <w:szCs w:val="20"/>
              </w:rPr>
              <w:t xml:space="preserve">Propiedades, planta y equipo </w:t>
            </w:r>
            <w:r w:rsidRPr="008F16FC">
              <w:rPr>
                <w:b/>
                <w:bCs/>
                <w:i/>
                <w:iCs/>
                <w:color w:val="000000"/>
                <w:sz w:val="20"/>
                <w:szCs w:val="20"/>
              </w:rPr>
              <w:t>(6)</w:t>
            </w:r>
          </w:p>
        </w:tc>
        <w:tc>
          <w:tcPr>
            <w:tcW w:w="1340" w:type="dxa"/>
            <w:tcBorders>
              <w:top w:val="nil"/>
              <w:left w:val="nil"/>
              <w:bottom w:val="single" w:sz="4" w:space="0" w:color="auto"/>
              <w:right w:val="single" w:sz="4" w:space="0" w:color="auto"/>
            </w:tcBorders>
            <w:shd w:val="clear" w:color="auto" w:fill="auto"/>
            <w:noWrap/>
            <w:vAlign w:val="bottom"/>
            <w:hideMark/>
          </w:tcPr>
          <w:p w14:paraId="6C0A2686" w14:textId="77777777" w:rsidR="008F16FC" w:rsidRPr="008F16FC" w:rsidRDefault="008F16FC" w:rsidP="008F16FC">
            <w:pPr>
              <w:rPr>
                <w:b/>
                <w:bCs/>
                <w:color w:val="000000"/>
                <w:sz w:val="20"/>
                <w:szCs w:val="20"/>
              </w:rPr>
            </w:pPr>
            <w:r w:rsidRPr="008F16FC">
              <w:rPr>
                <w:b/>
                <w:bCs/>
                <w:color w:val="000000"/>
                <w:sz w:val="20"/>
                <w:szCs w:val="20"/>
              </w:rPr>
              <w:t xml:space="preserve">     2.211.426 </w:t>
            </w:r>
          </w:p>
        </w:tc>
        <w:tc>
          <w:tcPr>
            <w:tcW w:w="1340" w:type="dxa"/>
            <w:tcBorders>
              <w:top w:val="nil"/>
              <w:left w:val="nil"/>
              <w:bottom w:val="single" w:sz="4" w:space="0" w:color="auto"/>
              <w:right w:val="single" w:sz="4" w:space="0" w:color="auto"/>
            </w:tcBorders>
            <w:shd w:val="clear" w:color="auto" w:fill="auto"/>
            <w:noWrap/>
            <w:vAlign w:val="bottom"/>
            <w:hideMark/>
          </w:tcPr>
          <w:p w14:paraId="5C74E5BA" w14:textId="77777777" w:rsidR="008F16FC" w:rsidRPr="008F16FC" w:rsidRDefault="008F16FC" w:rsidP="008F16FC">
            <w:pPr>
              <w:rPr>
                <w:b/>
                <w:bCs/>
                <w:color w:val="000000"/>
                <w:sz w:val="20"/>
                <w:szCs w:val="20"/>
              </w:rPr>
            </w:pPr>
            <w:r w:rsidRPr="008F16FC">
              <w:rPr>
                <w:b/>
                <w:bCs/>
                <w:color w:val="000000"/>
                <w:sz w:val="20"/>
                <w:szCs w:val="20"/>
              </w:rPr>
              <w:t xml:space="preserve">     2.544.205 </w:t>
            </w:r>
          </w:p>
        </w:tc>
        <w:tc>
          <w:tcPr>
            <w:tcW w:w="1287" w:type="dxa"/>
            <w:tcBorders>
              <w:top w:val="nil"/>
              <w:left w:val="nil"/>
              <w:bottom w:val="single" w:sz="4" w:space="0" w:color="auto"/>
              <w:right w:val="single" w:sz="4" w:space="0" w:color="auto"/>
            </w:tcBorders>
            <w:shd w:val="clear" w:color="auto" w:fill="auto"/>
            <w:noWrap/>
            <w:vAlign w:val="bottom"/>
            <w:hideMark/>
          </w:tcPr>
          <w:p w14:paraId="0B9E04F0" w14:textId="77777777" w:rsidR="008F16FC" w:rsidRPr="008F16FC" w:rsidRDefault="008F16FC" w:rsidP="008F16FC">
            <w:pPr>
              <w:rPr>
                <w:b/>
                <w:bCs/>
                <w:color w:val="000000"/>
                <w:sz w:val="20"/>
                <w:szCs w:val="20"/>
              </w:rPr>
            </w:pPr>
            <w:r w:rsidRPr="008F16FC">
              <w:rPr>
                <w:b/>
                <w:bCs/>
                <w:color w:val="000000"/>
                <w:sz w:val="20"/>
                <w:szCs w:val="20"/>
              </w:rPr>
              <w:t xml:space="preserve">       -332.778 </w:t>
            </w:r>
          </w:p>
        </w:tc>
        <w:tc>
          <w:tcPr>
            <w:tcW w:w="1340" w:type="dxa"/>
            <w:tcBorders>
              <w:top w:val="nil"/>
              <w:left w:val="nil"/>
              <w:bottom w:val="single" w:sz="4" w:space="0" w:color="auto"/>
              <w:right w:val="single" w:sz="8" w:space="0" w:color="auto"/>
            </w:tcBorders>
            <w:shd w:val="clear" w:color="auto" w:fill="auto"/>
            <w:noWrap/>
            <w:vAlign w:val="bottom"/>
            <w:hideMark/>
          </w:tcPr>
          <w:p w14:paraId="48302209" w14:textId="77777777" w:rsidR="008F16FC" w:rsidRPr="008F16FC" w:rsidRDefault="008F16FC" w:rsidP="008F16FC">
            <w:pPr>
              <w:jc w:val="center"/>
              <w:rPr>
                <w:b/>
                <w:bCs/>
                <w:color w:val="000000"/>
                <w:sz w:val="20"/>
                <w:szCs w:val="20"/>
              </w:rPr>
            </w:pPr>
            <w:r w:rsidRPr="008F16FC">
              <w:rPr>
                <w:b/>
                <w:bCs/>
                <w:color w:val="000000"/>
                <w:sz w:val="20"/>
                <w:szCs w:val="20"/>
              </w:rPr>
              <w:t>-13%</w:t>
            </w:r>
          </w:p>
        </w:tc>
      </w:tr>
      <w:tr w:rsidR="008F16FC" w:rsidRPr="008F16FC" w14:paraId="6D5C3BA0" w14:textId="77777777" w:rsidTr="00BA304B">
        <w:trPr>
          <w:trHeight w:val="270"/>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1F76BF6F" w14:textId="77777777" w:rsidR="008F16FC" w:rsidRPr="008F16FC" w:rsidRDefault="008F16FC" w:rsidP="008F16FC">
            <w:pPr>
              <w:rPr>
                <w:b/>
                <w:bCs/>
                <w:color w:val="000000"/>
                <w:sz w:val="20"/>
                <w:szCs w:val="20"/>
              </w:rPr>
            </w:pPr>
            <w:r w:rsidRPr="008F16FC">
              <w:rPr>
                <w:b/>
                <w:bCs/>
                <w:color w:val="000000"/>
                <w:sz w:val="20"/>
                <w:szCs w:val="20"/>
              </w:rPr>
              <w:t>Activos intangibles</w:t>
            </w:r>
          </w:p>
        </w:tc>
        <w:tc>
          <w:tcPr>
            <w:tcW w:w="1340" w:type="dxa"/>
            <w:tcBorders>
              <w:top w:val="nil"/>
              <w:left w:val="nil"/>
              <w:bottom w:val="single" w:sz="4" w:space="0" w:color="auto"/>
              <w:right w:val="single" w:sz="4" w:space="0" w:color="auto"/>
            </w:tcBorders>
            <w:shd w:val="clear" w:color="auto" w:fill="auto"/>
            <w:noWrap/>
            <w:vAlign w:val="bottom"/>
            <w:hideMark/>
          </w:tcPr>
          <w:p w14:paraId="299ABE32" w14:textId="77777777" w:rsidR="008F16FC" w:rsidRPr="008F16FC" w:rsidRDefault="008F16FC" w:rsidP="008F16FC">
            <w:pPr>
              <w:rPr>
                <w:b/>
                <w:bCs/>
                <w:color w:val="000000"/>
                <w:sz w:val="20"/>
                <w:szCs w:val="20"/>
              </w:rPr>
            </w:pPr>
            <w:r w:rsidRPr="008F16FC">
              <w:rPr>
                <w:b/>
                <w:bCs/>
                <w:color w:val="000000"/>
                <w:sz w:val="20"/>
                <w:szCs w:val="20"/>
              </w:rPr>
              <w:t xml:space="preserve">        596.974 </w:t>
            </w:r>
          </w:p>
        </w:tc>
        <w:tc>
          <w:tcPr>
            <w:tcW w:w="1340" w:type="dxa"/>
            <w:tcBorders>
              <w:top w:val="nil"/>
              <w:left w:val="nil"/>
              <w:bottom w:val="single" w:sz="4" w:space="0" w:color="auto"/>
              <w:right w:val="single" w:sz="4" w:space="0" w:color="auto"/>
            </w:tcBorders>
            <w:shd w:val="clear" w:color="auto" w:fill="auto"/>
            <w:noWrap/>
            <w:vAlign w:val="bottom"/>
            <w:hideMark/>
          </w:tcPr>
          <w:p w14:paraId="307F58D6" w14:textId="77777777" w:rsidR="008F16FC" w:rsidRPr="008F16FC" w:rsidRDefault="008F16FC" w:rsidP="008F16FC">
            <w:pPr>
              <w:rPr>
                <w:b/>
                <w:bCs/>
                <w:color w:val="000000"/>
                <w:sz w:val="20"/>
                <w:szCs w:val="20"/>
              </w:rPr>
            </w:pPr>
            <w:r w:rsidRPr="008F16FC">
              <w:rPr>
                <w:b/>
                <w:bCs/>
                <w:color w:val="000000"/>
                <w:sz w:val="20"/>
                <w:szCs w:val="20"/>
              </w:rPr>
              <w:t xml:space="preserve">        571.499 </w:t>
            </w:r>
          </w:p>
        </w:tc>
        <w:tc>
          <w:tcPr>
            <w:tcW w:w="1287" w:type="dxa"/>
            <w:tcBorders>
              <w:top w:val="nil"/>
              <w:left w:val="nil"/>
              <w:bottom w:val="single" w:sz="4" w:space="0" w:color="auto"/>
              <w:right w:val="single" w:sz="4" w:space="0" w:color="auto"/>
            </w:tcBorders>
            <w:shd w:val="clear" w:color="auto" w:fill="auto"/>
            <w:noWrap/>
            <w:vAlign w:val="bottom"/>
            <w:hideMark/>
          </w:tcPr>
          <w:p w14:paraId="207FC6F6" w14:textId="77777777" w:rsidR="008F16FC" w:rsidRPr="008F16FC" w:rsidRDefault="008F16FC" w:rsidP="008F16FC">
            <w:pPr>
              <w:rPr>
                <w:b/>
                <w:bCs/>
                <w:color w:val="000000"/>
                <w:sz w:val="20"/>
                <w:szCs w:val="20"/>
              </w:rPr>
            </w:pPr>
            <w:r w:rsidRPr="008F16FC">
              <w:rPr>
                <w:b/>
                <w:bCs/>
                <w:color w:val="000000"/>
                <w:sz w:val="20"/>
                <w:szCs w:val="20"/>
              </w:rPr>
              <w:t xml:space="preserve">          25.474 </w:t>
            </w:r>
          </w:p>
        </w:tc>
        <w:tc>
          <w:tcPr>
            <w:tcW w:w="1340" w:type="dxa"/>
            <w:tcBorders>
              <w:top w:val="nil"/>
              <w:left w:val="nil"/>
              <w:bottom w:val="single" w:sz="4" w:space="0" w:color="auto"/>
              <w:right w:val="single" w:sz="8" w:space="0" w:color="auto"/>
            </w:tcBorders>
            <w:shd w:val="clear" w:color="auto" w:fill="auto"/>
            <w:noWrap/>
            <w:vAlign w:val="bottom"/>
            <w:hideMark/>
          </w:tcPr>
          <w:p w14:paraId="61008E34" w14:textId="77777777" w:rsidR="008F16FC" w:rsidRPr="008F16FC" w:rsidRDefault="008F16FC" w:rsidP="008F16FC">
            <w:pPr>
              <w:jc w:val="center"/>
              <w:rPr>
                <w:b/>
                <w:bCs/>
                <w:color w:val="000000"/>
                <w:sz w:val="20"/>
                <w:szCs w:val="20"/>
              </w:rPr>
            </w:pPr>
            <w:r w:rsidRPr="008F16FC">
              <w:rPr>
                <w:b/>
                <w:bCs/>
                <w:color w:val="000000"/>
                <w:sz w:val="20"/>
                <w:szCs w:val="20"/>
              </w:rPr>
              <w:t>4%</w:t>
            </w:r>
          </w:p>
        </w:tc>
      </w:tr>
      <w:tr w:rsidR="00AE6F90" w:rsidRPr="008F16FC" w14:paraId="7F7B3907" w14:textId="77777777" w:rsidTr="008F16FC">
        <w:trPr>
          <w:trHeight w:val="270"/>
        </w:trPr>
        <w:tc>
          <w:tcPr>
            <w:tcW w:w="3953" w:type="dxa"/>
            <w:tcBorders>
              <w:top w:val="single" w:sz="8" w:space="0" w:color="auto"/>
              <w:left w:val="single" w:sz="8" w:space="0" w:color="auto"/>
              <w:bottom w:val="single" w:sz="8" w:space="0" w:color="auto"/>
              <w:right w:val="nil"/>
            </w:tcBorders>
            <w:shd w:val="clear" w:color="auto" w:fill="auto"/>
            <w:noWrap/>
            <w:vAlign w:val="bottom"/>
            <w:hideMark/>
          </w:tcPr>
          <w:p w14:paraId="0668680F" w14:textId="77777777" w:rsidR="008F16FC" w:rsidRPr="008F16FC" w:rsidRDefault="008F16FC" w:rsidP="008F16FC">
            <w:pPr>
              <w:rPr>
                <w:b/>
                <w:bCs/>
                <w:color w:val="000000"/>
                <w:sz w:val="20"/>
                <w:szCs w:val="20"/>
              </w:rPr>
            </w:pPr>
            <w:r w:rsidRPr="008F16FC">
              <w:rPr>
                <w:b/>
                <w:bCs/>
                <w:color w:val="000000"/>
                <w:sz w:val="20"/>
                <w:szCs w:val="20"/>
              </w:rPr>
              <w:t>Total Activo No Corriente</w:t>
            </w:r>
          </w:p>
        </w:tc>
        <w:tc>
          <w:tcPr>
            <w:tcW w:w="1340" w:type="dxa"/>
            <w:tcBorders>
              <w:top w:val="single" w:sz="8" w:space="0" w:color="auto"/>
              <w:left w:val="nil"/>
              <w:bottom w:val="single" w:sz="8" w:space="0" w:color="auto"/>
              <w:right w:val="nil"/>
            </w:tcBorders>
            <w:shd w:val="clear" w:color="auto" w:fill="auto"/>
            <w:noWrap/>
            <w:vAlign w:val="bottom"/>
            <w:hideMark/>
          </w:tcPr>
          <w:p w14:paraId="6E6CAF89" w14:textId="77777777" w:rsidR="008F16FC" w:rsidRPr="008F16FC" w:rsidRDefault="008F16FC" w:rsidP="008F16FC">
            <w:pPr>
              <w:rPr>
                <w:b/>
                <w:bCs/>
                <w:color w:val="000000"/>
                <w:sz w:val="20"/>
                <w:szCs w:val="20"/>
              </w:rPr>
            </w:pPr>
            <w:r w:rsidRPr="008F16FC">
              <w:rPr>
                <w:b/>
                <w:bCs/>
                <w:color w:val="000000"/>
                <w:sz w:val="20"/>
                <w:szCs w:val="20"/>
              </w:rPr>
              <w:t xml:space="preserve">     2.872.205 </w:t>
            </w:r>
          </w:p>
        </w:tc>
        <w:tc>
          <w:tcPr>
            <w:tcW w:w="1340" w:type="dxa"/>
            <w:tcBorders>
              <w:top w:val="single" w:sz="8" w:space="0" w:color="auto"/>
              <w:left w:val="nil"/>
              <w:bottom w:val="single" w:sz="8" w:space="0" w:color="auto"/>
              <w:right w:val="nil"/>
            </w:tcBorders>
            <w:shd w:val="clear" w:color="auto" w:fill="auto"/>
            <w:noWrap/>
            <w:vAlign w:val="bottom"/>
            <w:hideMark/>
          </w:tcPr>
          <w:p w14:paraId="5A96FB6D" w14:textId="77777777" w:rsidR="008F16FC" w:rsidRPr="008F16FC" w:rsidRDefault="008F16FC" w:rsidP="008F16FC">
            <w:pPr>
              <w:rPr>
                <w:b/>
                <w:bCs/>
                <w:color w:val="000000"/>
                <w:sz w:val="20"/>
                <w:szCs w:val="20"/>
              </w:rPr>
            </w:pPr>
            <w:r w:rsidRPr="008F16FC">
              <w:rPr>
                <w:b/>
                <w:bCs/>
                <w:color w:val="000000"/>
                <w:sz w:val="20"/>
                <w:szCs w:val="20"/>
              </w:rPr>
              <w:t xml:space="preserve">     3.177.811 </w:t>
            </w:r>
          </w:p>
        </w:tc>
        <w:tc>
          <w:tcPr>
            <w:tcW w:w="1287" w:type="dxa"/>
            <w:tcBorders>
              <w:top w:val="single" w:sz="8" w:space="0" w:color="auto"/>
              <w:left w:val="nil"/>
              <w:bottom w:val="single" w:sz="8" w:space="0" w:color="auto"/>
              <w:right w:val="nil"/>
            </w:tcBorders>
            <w:shd w:val="clear" w:color="auto" w:fill="auto"/>
            <w:noWrap/>
            <w:vAlign w:val="bottom"/>
            <w:hideMark/>
          </w:tcPr>
          <w:p w14:paraId="6D386AB9" w14:textId="77777777" w:rsidR="008F16FC" w:rsidRPr="008F16FC" w:rsidRDefault="008F16FC" w:rsidP="008F16FC">
            <w:pPr>
              <w:rPr>
                <w:b/>
                <w:bCs/>
                <w:color w:val="000000"/>
                <w:sz w:val="20"/>
                <w:szCs w:val="20"/>
              </w:rPr>
            </w:pPr>
            <w:r w:rsidRPr="008F16FC">
              <w:rPr>
                <w:b/>
                <w:bCs/>
                <w:color w:val="000000"/>
                <w:sz w:val="20"/>
                <w:szCs w:val="20"/>
              </w:rPr>
              <w:t xml:space="preserve">       -305.606 </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28632B27" w14:textId="77777777" w:rsidR="008F16FC" w:rsidRPr="008F16FC" w:rsidRDefault="008F16FC" w:rsidP="008F16FC">
            <w:pPr>
              <w:jc w:val="center"/>
              <w:rPr>
                <w:b/>
                <w:bCs/>
                <w:color w:val="000000"/>
                <w:sz w:val="20"/>
                <w:szCs w:val="20"/>
              </w:rPr>
            </w:pPr>
            <w:r w:rsidRPr="008F16FC">
              <w:rPr>
                <w:b/>
                <w:bCs/>
                <w:color w:val="000000"/>
                <w:sz w:val="20"/>
                <w:szCs w:val="20"/>
              </w:rPr>
              <w:t>-10%</w:t>
            </w:r>
          </w:p>
        </w:tc>
      </w:tr>
      <w:tr w:rsidR="008F16FC" w:rsidRPr="008F16FC" w14:paraId="320B0EC1" w14:textId="77777777" w:rsidTr="00BA304B">
        <w:trPr>
          <w:trHeight w:val="270"/>
        </w:trPr>
        <w:tc>
          <w:tcPr>
            <w:tcW w:w="3953" w:type="dxa"/>
            <w:tcBorders>
              <w:top w:val="nil"/>
              <w:left w:val="nil"/>
              <w:bottom w:val="nil"/>
              <w:right w:val="nil"/>
            </w:tcBorders>
            <w:shd w:val="clear" w:color="auto" w:fill="auto"/>
            <w:noWrap/>
            <w:vAlign w:val="bottom"/>
            <w:hideMark/>
          </w:tcPr>
          <w:p w14:paraId="3547B4C9"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1AEF4496"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6826DF7E" w14:textId="77777777" w:rsidR="008F16FC" w:rsidRPr="008F16FC" w:rsidRDefault="008F16FC" w:rsidP="008F16FC">
            <w:pPr>
              <w:rPr>
                <w:color w:val="000000"/>
                <w:sz w:val="20"/>
                <w:szCs w:val="20"/>
              </w:rPr>
            </w:pPr>
          </w:p>
        </w:tc>
        <w:tc>
          <w:tcPr>
            <w:tcW w:w="1287" w:type="dxa"/>
            <w:tcBorders>
              <w:top w:val="nil"/>
              <w:left w:val="nil"/>
              <w:bottom w:val="nil"/>
              <w:right w:val="nil"/>
            </w:tcBorders>
            <w:shd w:val="clear" w:color="auto" w:fill="auto"/>
            <w:noWrap/>
            <w:vAlign w:val="bottom"/>
            <w:hideMark/>
          </w:tcPr>
          <w:p w14:paraId="3658DD09"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0A246A34" w14:textId="77777777" w:rsidR="008F16FC" w:rsidRPr="008F16FC" w:rsidRDefault="008F16FC" w:rsidP="008F16FC">
            <w:pPr>
              <w:jc w:val="center"/>
              <w:rPr>
                <w:color w:val="000000"/>
                <w:sz w:val="20"/>
                <w:szCs w:val="20"/>
              </w:rPr>
            </w:pPr>
          </w:p>
        </w:tc>
      </w:tr>
      <w:tr w:rsidR="00AE6F90" w:rsidRPr="008F16FC" w14:paraId="6AE4DF5B" w14:textId="77777777" w:rsidTr="008F16FC">
        <w:trPr>
          <w:trHeight w:val="270"/>
        </w:trPr>
        <w:tc>
          <w:tcPr>
            <w:tcW w:w="3953" w:type="dxa"/>
            <w:tcBorders>
              <w:top w:val="single" w:sz="8" w:space="0" w:color="auto"/>
              <w:left w:val="single" w:sz="8" w:space="0" w:color="auto"/>
              <w:bottom w:val="single" w:sz="8" w:space="0" w:color="auto"/>
              <w:right w:val="nil"/>
            </w:tcBorders>
            <w:shd w:val="clear" w:color="auto" w:fill="auto"/>
            <w:noWrap/>
            <w:vAlign w:val="bottom"/>
            <w:hideMark/>
          </w:tcPr>
          <w:p w14:paraId="6D41CEFD" w14:textId="77777777" w:rsidR="008F16FC" w:rsidRPr="008F16FC" w:rsidRDefault="008F16FC" w:rsidP="008F16FC">
            <w:pPr>
              <w:rPr>
                <w:b/>
                <w:bCs/>
                <w:color w:val="000000"/>
                <w:sz w:val="20"/>
                <w:szCs w:val="20"/>
              </w:rPr>
            </w:pPr>
            <w:r w:rsidRPr="008F16FC">
              <w:rPr>
                <w:b/>
                <w:bCs/>
                <w:color w:val="000000"/>
                <w:sz w:val="20"/>
                <w:szCs w:val="20"/>
              </w:rPr>
              <w:t>TOTAL ACTIVO</w:t>
            </w:r>
          </w:p>
        </w:tc>
        <w:tc>
          <w:tcPr>
            <w:tcW w:w="1340" w:type="dxa"/>
            <w:tcBorders>
              <w:top w:val="single" w:sz="8" w:space="0" w:color="auto"/>
              <w:left w:val="nil"/>
              <w:bottom w:val="single" w:sz="8" w:space="0" w:color="auto"/>
              <w:right w:val="nil"/>
            </w:tcBorders>
            <w:shd w:val="clear" w:color="auto" w:fill="auto"/>
            <w:noWrap/>
            <w:vAlign w:val="bottom"/>
            <w:hideMark/>
          </w:tcPr>
          <w:p w14:paraId="10AEA7B0" w14:textId="77777777" w:rsidR="008F16FC" w:rsidRPr="008F16FC" w:rsidRDefault="008F16FC" w:rsidP="008F16FC">
            <w:pPr>
              <w:rPr>
                <w:b/>
                <w:bCs/>
                <w:color w:val="000000"/>
                <w:sz w:val="20"/>
                <w:szCs w:val="20"/>
              </w:rPr>
            </w:pPr>
            <w:r w:rsidRPr="008F16FC">
              <w:rPr>
                <w:b/>
                <w:bCs/>
                <w:color w:val="000000"/>
                <w:sz w:val="20"/>
                <w:szCs w:val="20"/>
              </w:rPr>
              <w:t xml:space="preserve">    10.193.974 </w:t>
            </w:r>
          </w:p>
        </w:tc>
        <w:tc>
          <w:tcPr>
            <w:tcW w:w="1340" w:type="dxa"/>
            <w:tcBorders>
              <w:top w:val="single" w:sz="8" w:space="0" w:color="auto"/>
              <w:left w:val="nil"/>
              <w:bottom w:val="single" w:sz="8" w:space="0" w:color="auto"/>
              <w:right w:val="nil"/>
            </w:tcBorders>
            <w:shd w:val="clear" w:color="auto" w:fill="auto"/>
            <w:noWrap/>
            <w:vAlign w:val="bottom"/>
            <w:hideMark/>
          </w:tcPr>
          <w:p w14:paraId="1763D472" w14:textId="77777777" w:rsidR="008F16FC" w:rsidRPr="008F16FC" w:rsidRDefault="008F16FC" w:rsidP="008F16FC">
            <w:pPr>
              <w:rPr>
                <w:b/>
                <w:bCs/>
                <w:color w:val="000000"/>
                <w:sz w:val="20"/>
                <w:szCs w:val="20"/>
              </w:rPr>
            </w:pPr>
            <w:r w:rsidRPr="008F16FC">
              <w:rPr>
                <w:b/>
                <w:bCs/>
                <w:color w:val="000000"/>
                <w:sz w:val="20"/>
                <w:szCs w:val="20"/>
              </w:rPr>
              <w:t xml:space="preserve">    12.186.772 </w:t>
            </w:r>
          </w:p>
        </w:tc>
        <w:tc>
          <w:tcPr>
            <w:tcW w:w="1287" w:type="dxa"/>
            <w:tcBorders>
              <w:top w:val="single" w:sz="8" w:space="0" w:color="auto"/>
              <w:left w:val="nil"/>
              <w:bottom w:val="single" w:sz="8" w:space="0" w:color="auto"/>
              <w:right w:val="nil"/>
            </w:tcBorders>
            <w:shd w:val="clear" w:color="auto" w:fill="auto"/>
            <w:noWrap/>
            <w:vAlign w:val="bottom"/>
            <w:hideMark/>
          </w:tcPr>
          <w:p w14:paraId="6BD9D428" w14:textId="77777777" w:rsidR="008F16FC" w:rsidRPr="008F16FC" w:rsidRDefault="008F16FC" w:rsidP="008F16FC">
            <w:pPr>
              <w:rPr>
                <w:b/>
                <w:bCs/>
                <w:color w:val="000000"/>
                <w:sz w:val="20"/>
                <w:szCs w:val="20"/>
              </w:rPr>
            </w:pPr>
            <w:r w:rsidRPr="008F16FC">
              <w:rPr>
                <w:b/>
                <w:bCs/>
                <w:color w:val="000000"/>
                <w:sz w:val="20"/>
                <w:szCs w:val="20"/>
              </w:rPr>
              <w:t xml:space="preserve">    -1.992.799 </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1EACEBF5" w14:textId="77777777" w:rsidR="008F16FC" w:rsidRPr="008F16FC" w:rsidRDefault="008F16FC" w:rsidP="008F16FC">
            <w:pPr>
              <w:jc w:val="center"/>
              <w:rPr>
                <w:b/>
                <w:bCs/>
                <w:color w:val="000000"/>
                <w:sz w:val="20"/>
                <w:szCs w:val="20"/>
              </w:rPr>
            </w:pPr>
            <w:r w:rsidRPr="008F16FC">
              <w:rPr>
                <w:b/>
                <w:bCs/>
                <w:color w:val="000000"/>
                <w:sz w:val="20"/>
                <w:szCs w:val="20"/>
              </w:rPr>
              <w:t>-16%</w:t>
            </w:r>
          </w:p>
        </w:tc>
      </w:tr>
      <w:tr w:rsidR="008F16FC" w:rsidRPr="008F16FC" w14:paraId="21B28119" w14:textId="77777777" w:rsidTr="00BA304B">
        <w:trPr>
          <w:trHeight w:val="270"/>
        </w:trPr>
        <w:tc>
          <w:tcPr>
            <w:tcW w:w="3953" w:type="dxa"/>
            <w:tcBorders>
              <w:top w:val="nil"/>
              <w:left w:val="nil"/>
              <w:bottom w:val="nil"/>
              <w:right w:val="nil"/>
            </w:tcBorders>
            <w:shd w:val="clear" w:color="auto" w:fill="auto"/>
            <w:noWrap/>
            <w:vAlign w:val="bottom"/>
            <w:hideMark/>
          </w:tcPr>
          <w:p w14:paraId="69599F97"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2E4C55AC"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417F7DF4" w14:textId="77777777" w:rsidR="008F16FC" w:rsidRPr="008F16FC" w:rsidRDefault="008F16FC" w:rsidP="008F16FC">
            <w:pPr>
              <w:rPr>
                <w:color w:val="000000"/>
                <w:sz w:val="20"/>
                <w:szCs w:val="20"/>
              </w:rPr>
            </w:pPr>
          </w:p>
        </w:tc>
        <w:tc>
          <w:tcPr>
            <w:tcW w:w="1287" w:type="dxa"/>
            <w:tcBorders>
              <w:top w:val="nil"/>
              <w:left w:val="nil"/>
              <w:bottom w:val="nil"/>
              <w:right w:val="nil"/>
            </w:tcBorders>
            <w:shd w:val="clear" w:color="auto" w:fill="auto"/>
            <w:noWrap/>
            <w:vAlign w:val="bottom"/>
            <w:hideMark/>
          </w:tcPr>
          <w:p w14:paraId="530FC4A5"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1EF7C0F7" w14:textId="77777777" w:rsidR="008F16FC" w:rsidRPr="008F16FC" w:rsidRDefault="008F16FC" w:rsidP="008F16FC">
            <w:pPr>
              <w:jc w:val="center"/>
              <w:rPr>
                <w:color w:val="000000"/>
                <w:sz w:val="20"/>
                <w:szCs w:val="20"/>
              </w:rPr>
            </w:pPr>
          </w:p>
        </w:tc>
      </w:tr>
      <w:tr w:rsidR="008F16FC" w:rsidRPr="008F16FC" w14:paraId="1857D0D0" w14:textId="77777777" w:rsidTr="00BA304B">
        <w:trPr>
          <w:trHeight w:val="255"/>
        </w:trPr>
        <w:tc>
          <w:tcPr>
            <w:tcW w:w="395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80F6CDB" w14:textId="77777777" w:rsidR="008F16FC" w:rsidRPr="008F16FC" w:rsidRDefault="008F16FC" w:rsidP="008F16FC">
            <w:pPr>
              <w:rPr>
                <w:b/>
                <w:bCs/>
                <w:color w:val="000000"/>
                <w:sz w:val="20"/>
                <w:szCs w:val="20"/>
              </w:rPr>
            </w:pPr>
            <w:r w:rsidRPr="008F16FC">
              <w:rPr>
                <w:b/>
                <w:bCs/>
                <w:color w:val="000000"/>
                <w:sz w:val="20"/>
                <w:szCs w:val="20"/>
              </w:rPr>
              <w:t xml:space="preserve">Acreedores comerciales </w:t>
            </w:r>
            <w:r w:rsidRPr="008F16FC">
              <w:rPr>
                <w:b/>
                <w:bCs/>
                <w:i/>
                <w:iCs/>
                <w:color w:val="000000"/>
                <w:sz w:val="20"/>
                <w:szCs w:val="20"/>
              </w:rPr>
              <w:t>(7)</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62CFE00E" w14:textId="77777777" w:rsidR="008F16FC" w:rsidRPr="008F16FC" w:rsidRDefault="008F16FC" w:rsidP="008F16FC">
            <w:pPr>
              <w:rPr>
                <w:b/>
                <w:bCs/>
                <w:color w:val="000000"/>
                <w:sz w:val="20"/>
                <w:szCs w:val="20"/>
              </w:rPr>
            </w:pPr>
            <w:r w:rsidRPr="008F16FC">
              <w:rPr>
                <w:b/>
                <w:bCs/>
                <w:color w:val="000000"/>
                <w:sz w:val="20"/>
                <w:szCs w:val="20"/>
              </w:rPr>
              <w:t xml:space="preserve">     1.510.688 </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5BD35266" w14:textId="77777777" w:rsidR="008F16FC" w:rsidRPr="008F16FC" w:rsidRDefault="008F16FC" w:rsidP="008F16FC">
            <w:pPr>
              <w:rPr>
                <w:b/>
                <w:bCs/>
                <w:color w:val="000000"/>
                <w:sz w:val="20"/>
                <w:szCs w:val="20"/>
              </w:rPr>
            </w:pPr>
            <w:r w:rsidRPr="008F16FC">
              <w:rPr>
                <w:b/>
                <w:bCs/>
                <w:color w:val="000000"/>
                <w:sz w:val="20"/>
                <w:szCs w:val="20"/>
              </w:rPr>
              <w:t xml:space="preserve">     1.169.438 </w:t>
            </w:r>
          </w:p>
        </w:tc>
        <w:tc>
          <w:tcPr>
            <w:tcW w:w="1287" w:type="dxa"/>
            <w:tcBorders>
              <w:top w:val="single" w:sz="8" w:space="0" w:color="auto"/>
              <w:left w:val="nil"/>
              <w:bottom w:val="single" w:sz="4" w:space="0" w:color="auto"/>
              <w:right w:val="single" w:sz="4" w:space="0" w:color="auto"/>
            </w:tcBorders>
            <w:shd w:val="clear" w:color="auto" w:fill="auto"/>
            <w:noWrap/>
            <w:vAlign w:val="bottom"/>
            <w:hideMark/>
          </w:tcPr>
          <w:p w14:paraId="550D00AC" w14:textId="77777777" w:rsidR="008F16FC" w:rsidRPr="008F16FC" w:rsidRDefault="008F16FC" w:rsidP="008F16FC">
            <w:pPr>
              <w:rPr>
                <w:b/>
                <w:bCs/>
                <w:color w:val="000000"/>
                <w:sz w:val="20"/>
                <w:szCs w:val="20"/>
              </w:rPr>
            </w:pPr>
            <w:r w:rsidRPr="008F16FC">
              <w:rPr>
                <w:b/>
                <w:bCs/>
                <w:color w:val="000000"/>
                <w:sz w:val="20"/>
                <w:szCs w:val="20"/>
              </w:rPr>
              <w:t xml:space="preserve">        341.249 </w:t>
            </w:r>
          </w:p>
        </w:tc>
        <w:tc>
          <w:tcPr>
            <w:tcW w:w="1340" w:type="dxa"/>
            <w:tcBorders>
              <w:top w:val="single" w:sz="8" w:space="0" w:color="auto"/>
              <w:left w:val="nil"/>
              <w:bottom w:val="single" w:sz="4" w:space="0" w:color="auto"/>
              <w:right w:val="single" w:sz="8" w:space="0" w:color="auto"/>
            </w:tcBorders>
            <w:shd w:val="clear" w:color="auto" w:fill="auto"/>
            <w:noWrap/>
            <w:vAlign w:val="bottom"/>
            <w:hideMark/>
          </w:tcPr>
          <w:p w14:paraId="6EDFBCB8" w14:textId="77777777" w:rsidR="008F16FC" w:rsidRPr="008F16FC" w:rsidRDefault="008F16FC" w:rsidP="008F16FC">
            <w:pPr>
              <w:jc w:val="center"/>
              <w:rPr>
                <w:b/>
                <w:bCs/>
                <w:color w:val="000000"/>
                <w:sz w:val="20"/>
                <w:szCs w:val="20"/>
              </w:rPr>
            </w:pPr>
            <w:r w:rsidRPr="008F16FC">
              <w:rPr>
                <w:b/>
                <w:bCs/>
                <w:color w:val="000000"/>
                <w:sz w:val="20"/>
                <w:szCs w:val="20"/>
              </w:rPr>
              <w:t>29%</w:t>
            </w:r>
          </w:p>
        </w:tc>
      </w:tr>
      <w:tr w:rsidR="008F16FC" w:rsidRPr="008F16FC" w14:paraId="51DD360D" w14:textId="77777777" w:rsidTr="00BA304B">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7BF279AD" w14:textId="77777777" w:rsidR="008F16FC" w:rsidRPr="008F16FC" w:rsidRDefault="008F16FC" w:rsidP="008F16FC">
            <w:pPr>
              <w:rPr>
                <w:b/>
                <w:bCs/>
                <w:color w:val="000000"/>
                <w:sz w:val="20"/>
                <w:szCs w:val="20"/>
              </w:rPr>
            </w:pPr>
            <w:r w:rsidRPr="008F16FC">
              <w:rPr>
                <w:b/>
                <w:bCs/>
                <w:color w:val="000000"/>
                <w:sz w:val="20"/>
                <w:szCs w:val="20"/>
              </w:rPr>
              <w:t xml:space="preserve">Pasivos por C. Construcción </w:t>
            </w:r>
            <w:r w:rsidRPr="008F16FC">
              <w:rPr>
                <w:b/>
                <w:bCs/>
                <w:i/>
                <w:iCs/>
                <w:color w:val="000000"/>
                <w:sz w:val="20"/>
                <w:szCs w:val="20"/>
              </w:rPr>
              <w:t>(8)</w:t>
            </w:r>
          </w:p>
        </w:tc>
        <w:tc>
          <w:tcPr>
            <w:tcW w:w="1340" w:type="dxa"/>
            <w:tcBorders>
              <w:top w:val="nil"/>
              <w:left w:val="nil"/>
              <w:bottom w:val="single" w:sz="4" w:space="0" w:color="auto"/>
              <w:right w:val="single" w:sz="4" w:space="0" w:color="auto"/>
            </w:tcBorders>
            <w:shd w:val="clear" w:color="auto" w:fill="auto"/>
            <w:noWrap/>
            <w:vAlign w:val="bottom"/>
            <w:hideMark/>
          </w:tcPr>
          <w:p w14:paraId="2032D1F1" w14:textId="77777777" w:rsidR="008F16FC" w:rsidRPr="008F16FC" w:rsidRDefault="008F16FC" w:rsidP="008F16FC">
            <w:pPr>
              <w:rPr>
                <w:b/>
                <w:bCs/>
                <w:color w:val="000000"/>
                <w:sz w:val="20"/>
                <w:szCs w:val="20"/>
              </w:rPr>
            </w:pPr>
            <w:r w:rsidRPr="008F16FC">
              <w:rPr>
                <w:b/>
                <w:bCs/>
                <w:color w:val="000000"/>
                <w:sz w:val="20"/>
                <w:szCs w:val="20"/>
              </w:rPr>
              <w:t xml:space="preserve">     3.306.611 </w:t>
            </w:r>
          </w:p>
        </w:tc>
        <w:tc>
          <w:tcPr>
            <w:tcW w:w="1340" w:type="dxa"/>
            <w:tcBorders>
              <w:top w:val="nil"/>
              <w:left w:val="nil"/>
              <w:bottom w:val="single" w:sz="4" w:space="0" w:color="auto"/>
              <w:right w:val="single" w:sz="4" w:space="0" w:color="auto"/>
            </w:tcBorders>
            <w:shd w:val="clear" w:color="auto" w:fill="auto"/>
            <w:noWrap/>
            <w:vAlign w:val="bottom"/>
            <w:hideMark/>
          </w:tcPr>
          <w:p w14:paraId="58ACDA33" w14:textId="77777777" w:rsidR="008F16FC" w:rsidRPr="008F16FC" w:rsidRDefault="008F16FC" w:rsidP="008F16FC">
            <w:pPr>
              <w:rPr>
                <w:b/>
                <w:bCs/>
                <w:color w:val="000000"/>
                <w:sz w:val="20"/>
                <w:szCs w:val="20"/>
              </w:rPr>
            </w:pPr>
            <w:r w:rsidRPr="008F16FC">
              <w:rPr>
                <w:b/>
                <w:bCs/>
                <w:color w:val="000000"/>
                <w:sz w:val="20"/>
                <w:szCs w:val="20"/>
              </w:rPr>
              <w:t xml:space="preserve">     5.323.430 </w:t>
            </w:r>
          </w:p>
        </w:tc>
        <w:tc>
          <w:tcPr>
            <w:tcW w:w="1287" w:type="dxa"/>
            <w:tcBorders>
              <w:top w:val="nil"/>
              <w:left w:val="nil"/>
              <w:bottom w:val="single" w:sz="4" w:space="0" w:color="auto"/>
              <w:right w:val="single" w:sz="4" w:space="0" w:color="auto"/>
            </w:tcBorders>
            <w:shd w:val="clear" w:color="auto" w:fill="auto"/>
            <w:noWrap/>
            <w:vAlign w:val="bottom"/>
            <w:hideMark/>
          </w:tcPr>
          <w:p w14:paraId="7A3BB396" w14:textId="77777777" w:rsidR="008F16FC" w:rsidRPr="008F16FC" w:rsidRDefault="008F16FC" w:rsidP="008F16FC">
            <w:pPr>
              <w:rPr>
                <w:b/>
                <w:bCs/>
                <w:color w:val="000000"/>
                <w:sz w:val="20"/>
                <w:szCs w:val="20"/>
              </w:rPr>
            </w:pPr>
            <w:r w:rsidRPr="008F16FC">
              <w:rPr>
                <w:b/>
                <w:bCs/>
                <w:color w:val="000000"/>
                <w:sz w:val="20"/>
                <w:szCs w:val="20"/>
              </w:rPr>
              <w:t xml:space="preserve">    -2.016.819 </w:t>
            </w:r>
          </w:p>
        </w:tc>
        <w:tc>
          <w:tcPr>
            <w:tcW w:w="1340" w:type="dxa"/>
            <w:tcBorders>
              <w:top w:val="nil"/>
              <w:left w:val="nil"/>
              <w:bottom w:val="single" w:sz="4" w:space="0" w:color="auto"/>
              <w:right w:val="single" w:sz="8" w:space="0" w:color="auto"/>
            </w:tcBorders>
            <w:shd w:val="clear" w:color="auto" w:fill="auto"/>
            <w:noWrap/>
            <w:vAlign w:val="bottom"/>
            <w:hideMark/>
          </w:tcPr>
          <w:p w14:paraId="5F657242" w14:textId="77777777" w:rsidR="008F16FC" w:rsidRPr="008F16FC" w:rsidRDefault="008F16FC" w:rsidP="008F16FC">
            <w:pPr>
              <w:jc w:val="center"/>
              <w:rPr>
                <w:b/>
                <w:bCs/>
                <w:color w:val="000000"/>
                <w:sz w:val="20"/>
                <w:szCs w:val="20"/>
              </w:rPr>
            </w:pPr>
            <w:r w:rsidRPr="008F16FC">
              <w:rPr>
                <w:b/>
                <w:bCs/>
                <w:color w:val="000000"/>
                <w:sz w:val="20"/>
                <w:szCs w:val="20"/>
              </w:rPr>
              <w:t>-38%</w:t>
            </w:r>
          </w:p>
        </w:tc>
      </w:tr>
      <w:tr w:rsidR="008F16FC" w:rsidRPr="008F16FC" w14:paraId="6FC15900" w14:textId="77777777" w:rsidTr="00BA304B">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2E6F7607" w14:textId="77777777" w:rsidR="008F16FC" w:rsidRPr="008F16FC" w:rsidRDefault="008F16FC" w:rsidP="008F16FC">
            <w:pPr>
              <w:rPr>
                <w:b/>
                <w:bCs/>
                <w:color w:val="000000"/>
                <w:sz w:val="20"/>
                <w:szCs w:val="20"/>
              </w:rPr>
            </w:pPr>
            <w:r w:rsidRPr="008F16FC">
              <w:rPr>
                <w:b/>
                <w:bCs/>
                <w:color w:val="000000"/>
                <w:sz w:val="20"/>
                <w:szCs w:val="20"/>
              </w:rPr>
              <w:t xml:space="preserve">Pasivos financieros </w:t>
            </w:r>
            <w:r w:rsidRPr="008F16FC">
              <w:rPr>
                <w:b/>
                <w:bCs/>
                <w:i/>
                <w:iCs/>
                <w:color w:val="000000"/>
                <w:sz w:val="20"/>
                <w:szCs w:val="20"/>
              </w:rPr>
              <w:t>(9)</w:t>
            </w:r>
          </w:p>
        </w:tc>
        <w:tc>
          <w:tcPr>
            <w:tcW w:w="1340" w:type="dxa"/>
            <w:tcBorders>
              <w:top w:val="nil"/>
              <w:left w:val="nil"/>
              <w:bottom w:val="single" w:sz="4" w:space="0" w:color="auto"/>
              <w:right w:val="single" w:sz="4" w:space="0" w:color="auto"/>
            </w:tcBorders>
            <w:shd w:val="clear" w:color="auto" w:fill="auto"/>
            <w:noWrap/>
            <w:vAlign w:val="bottom"/>
            <w:hideMark/>
          </w:tcPr>
          <w:p w14:paraId="050FB434" w14:textId="77777777" w:rsidR="008F16FC" w:rsidRPr="008F16FC" w:rsidRDefault="008F16FC" w:rsidP="008F16FC">
            <w:pPr>
              <w:rPr>
                <w:b/>
                <w:bCs/>
                <w:color w:val="000000"/>
                <w:sz w:val="20"/>
                <w:szCs w:val="20"/>
              </w:rPr>
            </w:pPr>
            <w:r w:rsidRPr="008F16FC">
              <w:rPr>
                <w:b/>
                <w:bCs/>
                <w:color w:val="000000"/>
                <w:sz w:val="20"/>
                <w:szCs w:val="20"/>
              </w:rPr>
              <w:t xml:space="preserve">     1.347.257 </w:t>
            </w:r>
          </w:p>
        </w:tc>
        <w:tc>
          <w:tcPr>
            <w:tcW w:w="1340" w:type="dxa"/>
            <w:tcBorders>
              <w:top w:val="nil"/>
              <w:left w:val="nil"/>
              <w:bottom w:val="single" w:sz="4" w:space="0" w:color="auto"/>
              <w:right w:val="single" w:sz="4" w:space="0" w:color="auto"/>
            </w:tcBorders>
            <w:shd w:val="clear" w:color="auto" w:fill="auto"/>
            <w:noWrap/>
            <w:vAlign w:val="bottom"/>
            <w:hideMark/>
          </w:tcPr>
          <w:p w14:paraId="4680D135" w14:textId="77777777" w:rsidR="008F16FC" w:rsidRPr="008F16FC" w:rsidRDefault="008F16FC" w:rsidP="008F16FC">
            <w:pPr>
              <w:rPr>
                <w:b/>
                <w:bCs/>
                <w:color w:val="000000"/>
                <w:sz w:val="20"/>
                <w:szCs w:val="20"/>
              </w:rPr>
            </w:pPr>
            <w:r w:rsidRPr="008F16FC">
              <w:rPr>
                <w:b/>
                <w:bCs/>
                <w:color w:val="000000"/>
                <w:sz w:val="20"/>
                <w:szCs w:val="20"/>
              </w:rPr>
              <w:t xml:space="preserve">     1.531.556 </w:t>
            </w:r>
          </w:p>
        </w:tc>
        <w:tc>
          <w:tcPr>
            <w:tcW w:w="1287" w:type="dxa"/>
            <w:tcBorders>
              <w:top w:val="nil"/>
              <w:left w:val="nil"/>
              <w:bottom w:val="single" w:sz="4" w:space="0" w:color="auto"/>
              <w:right w:val="single" w:sz="4" w:space="0" w:color="auto"/>
            </w:tcBorders>
            <w:shd w:val="clear" w:color="auto" w:fill="auto"/>
            <w:noWrap/>
            <w:vAlign w:val="bottom"/>
            <w:hideMark/>
          </w:tcPr>
          <w:p w14:paraId="56E6BF6F" w14:textId="77777777" w:rsidR="008F16FC" w:rsidRPr="008F16FC" w:rsidRDefault="008F16FC" w:rsidP="008F16FC">
            <w:pPr>
              <w:rPr>
                <w:b/>
                <w:bCs/>
                <w:color w:val="000000"/>
                <w:sz w:val="20"/>
                <w:szCs w:val="20"/>
              </w:rPr>
            </w:pPr>
            <w:r w:rsidRPr="008F16FC">
              <w:rPr>
                <w:b/>
                <w:bCs/>
                <w:color w:val="000000"/>
                <w:sz w:val="20"/>
                <w:szCs w:val="20"/>
              </w:rPr>
              <w:t xml:space="preserve">       -184.298 </w:t>
            </w:r>
          </w:p>
        </w:tc>
        <w:tc>
          <w:tcPr>
            <w:tcW w:w="1340" w:type="dxa"/>
            <w:tcBorders>
              <w:top w:val="nil"/>
              <w:left w:val="nil"/>
              <w:bottom w:val="single" w:sz="4" w:space="0" w:color="auto"/>
              <w:right w:val="single" w:sz="8" w:space="0" w:color="auto"/>
            </w:tcBorders>
            <w:shd w:val="clear" w:color="auto" w:fill="auto"/>
            <w:noWrap/>
            <w:vAlign w:val="bottom"/>
            <w:hideMark/>
          </w:tcPr>
          <w:p w14:paraId="6D4AF5B7" w14:textId="77777777" w:rsidR="008F16FC" w:rsidRPr="008F16FC" w:rsidRDefault="008F16FC" w:rsidP="008F16FC">
            <w:pPr>
              <w:jc w:val="center"/>
              <w:rPr>
                <w:b/>
                <w:bCs/>
                <w:color w:val="000000"/>
                <w:sz w:val="20"/>
                <w:szCs w:val="20"/>
              </w:rPr>
            </w:pPr>
            <w:r w:rsidRPr="008F16FC">
              <w:rPr>
                <w:b/>
                <w:bCs/>
                <w:color w:val="000000"/>
                <w:sz w:val="20"/>
                <w:szCs w:val="20"/>
              </w:rPr>
              <w:t>-12%</w:t>
            </w:r>
          </w:p>
        </w:tc>
      </w:tr>
      <w:tr w:rsidR="008F16FC" w:rsidRPr="008F16FC" w14:paraId="4B67DDFB" w14:textId="77777777" w:rsidTr="00BA304B">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67804803" w14:textId="77777777" w:rsidR="008F16FC" w:rsidRPr="008F16FC" w:rsidRDefault="008F16FC" w:rsidP="008F16FC">
            <w:pPr>
              <w:rPr>
                <w:b/>
                <w:bCs/>
                <w:color w:val="000000"/>
                <w:sz w:val="20"/>
                <w:szCs w:val="20"/>
              </w:rPr>
            </w:pPr>
            <w:r w:rsidRPr="008F16FC">
              <w:rPr>
                <w:b/>
                <w:bCs/>
                <w:color w:val="000000"/>
                <w:sz w:val="20"/>
                <w:szCs w:val="20"/>
              </w:rPr>
              <w:t xml:space="preserve">Beneficios al personal </w:t>
            </w:r>
            <w:r w:rsidRPr="008F16FC">
              <w:rPr>
                <w:b/>
                <w:bCs/>
                <w:i/>
                <w:iCs/>
                <w:color w:val="000000"/>
                <w:sz w:val="20"/>
                <w:szCs w:val="20"/>
              </w:rPr>
              <w:t>(10)</w:t>
            </w:r>
          </w:p>
        </w:tc>
        <w:tc>
          <w:tcPr>
            <w:tcW w:w="1340" w:type="dxa"/>
            <w:tcBorders>
              <w:top w:val="nil"/>
              <w:left w:val="nil"/>
              <w:bottom w:val="single" w:sz="4" w:space="0" w:color="auto"/>
              <w:right w:val="single" w:sz="4" w:space="0" w:color="auto"/>
            </w:tcBorders>
            <w:shd w:val="clear" w:color="auto" w:fill="auto"/>
            <w:noWrap/>
            <w:vAlign w:val="bottom"/>
            <w:hideMark/>
          </w:tcPr>
          <w:p w14:paraId="3F579466" w14:textId="77777777" w:rsidR="008F16FC" w:rsidRPr="008F16FC" w:rsidRDefault="008F16FC" w:rsidP="008F16FC">
            <w:pPr>
              <w:rPr>
                <w:b/>
                <w:bCs/>
                <w:color w:val="000000"/>
                <w:sz w:val="20"/>
                <w:szCs w:val="20"/>
              </w:rPr>
            </w:pPr>
            <w:r w:rsidRPr="008F16FC">
              <w:rPr>
                <w:b/>
                <w:bCs/>
                <w:color w:val="000000"/>
                <w:sz w:val="20"/>
                <w:szCs w:val="20"/>
              </w:rPr>
              <w:t xml:space="preserve">        507.015 </w:t>
            </w:r>
          </w:p>
        </w:tc>
        <w:tc>
          <w:tcPr>
            <w:tcW w:w="1340" w:type="dxa"/>
            <w:tcBorders>
              <w:top w:val="nil"/>
              <w:left w:val="nil"/>
              <w:bottom w:val="single" w:sz="4" w:space="0" w:color="auto"/>
              <w:right w:val="single" w:sz="4" w:space="0" w:color="auto"/>
            </w:tcBorders>
            <w:shd w:val="clear" w:color="auto" w:fill="auto"/>
            <w:noWrap/>
            <w:vAlign w:val="bottom"/>
            <w:hideMark/>
          </w:tcPr>
          <w:p w14:paraId="1DE4E9D1" w14:textId="77777777" w:rsidR="008F16FC" w:rsidRPr="008F16FC" w:rsidRDefault="008F16FC" w:rsidP="008F16FC">
            <w:pPr>
              <w:rPr>
                <w:b/>
                <w:bCs/>
                <w:color w:val="000000"/>
                <w:sz w:val="20"/>
                <w:szCs w:val="20"/>
              </w:rPr>
            </w:pPr>
            <w:r w:rsidRPr="008F16FC">
              <w:rPr>
                <w:b/>
                <w:bCs/>
                <w:color w:val="000000"/>
                <w:sz w:val="20"/>
                <w:szCs w:val="20"/>
              </w:rPr>
              <w:t xml:space="preserve">        618.297 </w:t>
            </w:r>
          </w:p>
        </w:tc>
        <w:tc>
          <w:tcPr>
            <w:tcW w:w="1287" w:type="dxa"/>
            <w:tcBorders>
              <w:top w:val="nil"/>
              <w:left w:val="nil"/>
              <w:bottom w:val="single" w:sz="4" w:space="0" w:color="auto"/>
              <w:right w:val="single" w:sz="4" w:space="0" w:color="auto"/>
            </w:tcBorders>
            <w:shd w:val="clear" w:color="auto" w:fill="auto"/>
            <w:noWrap/>
            <w:vAlign w:val="bottom"/>
            <w:hideMark/>
          </w:tcPr>
          <w:p w14:paraId="71EACBD1" w14:textId="77777777" w:rsidR="008F16FC" w:rsidRPr="008F16FC" w:rsidRDefault="008F16FC" w:rsidP="008F16FC">
            <w:pPr>
              <w:rPr>
                <w:b/>
                <w:bCs/>
                <w:color w:val="000000"/>
                <w:sz w:val="20"/>
                <w:szCs w:val="20"/>
              </w:rPr>
            </w:pPr>
            <w:r w:rsidRPr="008F16FC">
              <w:rPr>
                <w:b/>
                <w:bCs/>
                <w:color w:val="000000"/>
                <w:sz w:val="20"/>
                <w:szCs w:val="20"/>
              </w:rPr>
              <w:t xml:space="preserve">       -111.282 </w:t>
            </w:r>
          </w:p>
        </w:tc>
        <w:tc>
          <w:tcPr>
            <w:tcW w:w="1340" w:type="dxa"/>
            <w:tcBorders>
              <w:top w:val="nil"/>
              <w:left w:val="nil"/>
              <w:bottom w:val="single" w:sz="4" w:space="0" w:color="auto"/>
              <w:right w:val="single" w:sz="8" w:space="0" w:color="auto"/>
            </w:tcBorders>
            <w:shd w:val="clear" w:color="auto" w:fill="auto"/>
            <w:noWrap/>
            <w:vAlign w:val="bottom"/>
            <w:hideMark/>
          </w:tcPr>
          <w:p w14:paraId="579A0969" w14:textId="77777777" w:rsidR="008F16FC" w:rsidRPr="008F16FC" w:rsidRDefault="008F16FC" w:rsidP="008F16FC">
            <w:pPr>
              <w:jc w:val="center"/>
              <w:rPr>
                <w:b/>
                <w:bCs/>
                <w:color w:val="000000"/>
                <w:sz w:val="20"/>
                <w:szCs w:val="20"/>
              </w:rPr>
            </w:pPr>
            <w:r w:rsidRPr="008F16FC">
              <w:rPr>
                <w:b/>
                <w:bCs/>
                <w:color w:val="000000"/>
                <w:sz w:val="20"/>
                <w:szCs w:val="20"/>
              </w:rPr>
              <w:t>-18%</w:t>
            </w:r>
          </w:p>
        </w:tc>
      </w:tr>
      <w:tr w:rsidR="008F16FC" w:rsidRPr="008F16FC" w14:paraId="3B0E312F" w14:textId="77777777" w:rsidTr="00BA304B">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6ABBC20B" w14:textId="77777777" w:rsidR="008F16FC" w:rsidRPr="008F16FC" w:rsidRDefault="008F16FC" w:rsidP="008F16FC">
            <w:pPr>
              <w:rPr>
                <w:b/>
                <w:bCs/>
                <w:color w:val="000000"/>
                <w:sz w:val="20"/>
                <w:szCs w:val="20"/>
              </w:rPr>
            </w:pPr>
            <w:r w:rsidRPr="008F16FC">
              <w:rPr>
                <w:b/>
                <w:bCs/>
                <w:color w:val="000000"/>
                <w:sz w:val="20"/>
                <w:szCs w:val="20"/>
              </w:rPr>
              <w:t>Impuestos y otros gravámenes</w:t>
            </w:r>
          </w:p>
        </w:tc>
        <w:tc>
          <w:tcPr>
            <w:tcW w:w="1340" w:type="dxa"/>
            <w:tcBorders>
              <w:top w:val="nil"/>
              <w:left w:val="nil"/>
              <w:bottom w:val="single" w:sz="4" w:space="0" w:color="auto"/>
              <w:right w:val="single" w:sz="4" w:space="0" w:color="auto"/>
            </w:tcBorders>
            <w:shd w:val="clear" w:color="auto" w:fill="auto"/>
            <w:noWrap/>
            <w:vAlign w:val="bottom"/>
            <w:hideMark/>
          </w:tcPr>
          <w:p w14:paraId="4010145C" w14:textId="77777777" w:rsidR="008F16FC" w:rsidRPr="008F16FC" w:rsidRDefault="008F16FC" w:rsidP="008F16FC">
            <w:pPr>
              <w:rPr>
                <w:b/>
                <w:bCs/>
                <w:color w:val="000000"/>
                <w:sz w:val="20"/>
                <w:szCs w:val="20"/>
              </w:rPr>
            </w:pPr>
            <w:r w:rsidRPr="008F16FC">
              <w:rPr>
                <w:b/>
                <w:bCs/>
                <w:color w:val="000000"/>
                <w:sz w:val="20"/>
                <w:szCs w:val="20"/>
              </w:rPr>
              <w:t xml:space="preserve">        178.641 </w:t>
            </w:r>
          </w:p>
        </w:tc>
        <w:tc>
          <w:tcPr>
            <w:tcW w:w="1340" w:type="dxa"/>
            <w:tcBorders>
              <w:top w:val="nil"/>
              <w:left w:val="nil"/>
              <w:bottom w:val="single" w:sz="4" w:space="0" w:color="auto"/>
              <w:right w:val="single" w:sz="4" w:space="0" w:color="auto"/>
            </w:tcBorders>
            <w:shd w:val="clear" w:color="auto" w:fill="auto"/>
            <w:noWrap/>
            <w:vAlign w:val="bottom"/>
            <w:hideMark/>
          </w:tcPr>
          <w:p w14:paraId="43E9EAA2" w14:textId="77777777" w:rsidR="008F16FC" w:rsidRPr="008F16FC" w:rsidRDefault="008F16FC" w:rsidP="008F16FC">
            <w:pPr>
              <w:rPr>
                <w:b/>
                <w:bCs/>
                <w:color w:val="000000"/>
                <w:sz w:val="20"/>
                <w:szCs w:val="20"/>
              </w:rPr>
            </w:pPr>
            <w:r w:rsidRPr="008F16FC">
              <w:rPr>
                <w:b/>
                <w:bCs/>
                <w:color w:val="000000"/>
                <w:sz w:val="20"/>
                <w:szCs w:val="20"/>
              </w:rPr>
              <w:t xml:space="preserve">        204.153 </w:t>
            </w:r>
          </w:p>
        </w:tc>
        <w:tc>
          <w:tcPr>
            <w:tcW w:w="1287" w:type="dxa"/>
            <w:tcBorders>
              <w:top w:val="nil"/>
              <w:left w:val="nil"/>
              <w:bottom w:val="single" w:sz="4" w:space="0" w:color="auto"/>
              <w:right w:val="single" w:sz="4" w:space="0" w:color="auto"/>
            </w:tcBorders>
            <w:shd w:val="clear" w:color="auto" w:fill="auto"/>
            <w:noWrap/>
            <w:vAlign w:val="bottom"/>
            <w:hideMark/>
          </w:tcPr>
          <w:p w14:paraId="7FDB2130" w14:textId="77777777" w:rsidR="008F16FC" w:rsidRPr="008F16FC" w:rsidRDefault="008F16FC" w:rsidP="008F16FC">
            <w:pPr>
              <w:rPr>
                <w:b/>
                <w:bCs/>
                <w:color w:val="000000"/>
                <w:sz w:val="20"/>
                <w:szCs w:val="20"/>
              </w:rPr>
            </w:pPr>
            <w:r w:rsidRPr="008F16FC">
              <w:rPr>
                <w:b/>
                <w:bCs/>
                <w:color w:val="000000"/>
                <w:sz w:val="20"/>
                <w:szCs w:val="20"/>
              </w:rPr>
              <w:t xml:space="preserve">         -25.512 </w:t>
            </w:r>
          </w:p>
        </w:tc>
        <w:tc>
          <w:tcPr>
            <w:tcW w:w="1340" w:type="dxa"/>
            <w:tcBorders>
              <w:top w:val="nil"/>
              <w:left w:val="nil"/>
              <w:bottom w:val="single" w:sz="4" w:space="0" w:color="auto"/>
              <w:right w:val="single" w:sz="8" w:space="0" w:color="auto"/>
            </w:tcBorders>
            <w:shd w:val="clear" w:color="auto" w:fill="auto"/>
            <w:noWrap/>
            <w:vAlign w:val="bottom"/>
            <w:hideMark/>
          </w:tcPr>
          <w:p w14:paraId="14953490" w14:textId="77777777" w:rsidR="008F16FC" w:rsidRPr="008F16FC" w:rsidRDefault="008F16FC" w:rsidP="008F16FC">
            <w:pPr>
              <w:jc w:val="center"/>
              <w:rPr>
                <w:b/>
                <w:bCs/>
                <w:color w:val="000000"/>
                <w:sz w:val="20"/>
                <w:szCs w:val="20"/>
              </w:rPr>
            </w:pPr>
            <w:r w:rsidRPr="008F16FC">
              <w:rPr>
                <w:b/>
                <w:bCs/>
                <w:color w:val="000000"/>
                <w:sz w:val="20"/>
                <w:szCs w:val="20"/>
              </w:rPr>
              <w:t>-12%</w:t>
            </w:r>
          </w:p>
        </w:tc>
      </w:tr>
      <w:tr w:rsidR="008F16FC" w:rsidRPr="008F16FC" w14:paraId="49917A18" w14:textId="77777777" w:rsidTr="00BA304B">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2A81ACBF" w14:textId="77777777" w:rsidR="008F16FC" w:rsidRPr="008F16FC" w:rsidRDefault="008F16FC" w:rsidP="008F16FC">
            <w:pPr>
              <w:rPr>
                <w:b/>
                <w:bCs/>
                <w:color w:val="000000"/>
                <w:sz w:val="20"/>
                <w:szCs w:val="20"/>
                <w:lang w:val="es-ES"/>
              </w:rPr>
            </w:pPr>
            <w:r w:rsidRPr="008F16FC">
              <w:rPr>
                <w:b/>
                <w:bCs/>
                <w:color w:val="000000"/>
                <w:sz w:val="20"/>
                <w:szCs w:val="20"/>
                <w:lang w:val="es-ES"/>
              </w:rPr>
              <w:t>Impuesto a las ganancias a pagar</w:t>
            </w:r>
          </w:p>
        </w:tc>
        <w:tc>
          <w:tcPr>
            <w:tcW w:w="1340" w:type="dxa"/>
            <w:tcBorders>
              <w:top w:val="nil"/>
              <w:left w:val="nil"/>
              <w:bottom w:val="single" w:sz="4" w:space="0" w:color="auto"/>
              <w:right w:val="single" w:sz="4" w:space="0" w:color="auto"/>
            </w:tcBorders>
            <w:shd w:val="clear" w:color="auto" w:fill="auto"/>
            <w:noWrap/>
            <w:vAlign w:val="bottom"/>
            <w:hideMark/>
          </w:tcPr>
          <w:p w14:paraId="4BCCD89A" w14:textId="77777777" w:rsidR="008F16FC" w:rsidRPr="008F16FC" w:rsidRDefault="008F16FC" w:rsidP="008F16FC">
            <w:pPr>
              <w:rPr>
                <w:b/>
                <w:bCs/>
                <w:color w:val="000000"/>
                <w:sz w:val="20"/>
                <w:szCs w:val="20"/>
              </w:rPr>
            </w:pPr>
            <w:r w:rsidRPr="008F16FC">
              <w:rPr>
                <w:b/>
                <w:bCs/>
                <w:color w:val="000000"/>
                <w:sz w:val="20"/>
                <w:szCs w:val="20"/>
                <w:lang w:val="es-ES"/>
              </w:rPr>
              <w:t xml:space="preserve">                 </w:t>
            </w:r>
            <w:r w:rsidRPr="008F16FC">
              <w:rPr>
                <w:b/>
                <w:bCs/>
                <w:color w:val="00000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bottom"/>
            <w:hideMark/>
          </w:tcPr>
          <w:p w14:paraId="0C9E7526" w14:textId="77777777" w:rsidR="008F16FC" w:rsidRPr="008F16FC" w:rsidRDefault="008F16FC" w:rsidP="008F16FC">
            <w:pPr>
              <w:rPr>
                <w:b/>
                <w:bCs/>
                <w:color w:val="000000"/>
                <w:sz w:val="20"/>
                <w:szCs w:val="20"/>
              </w:rPr>
            </w:pPr>
            <w:r w:rsidRPr="008F16FC">
              <w:rPr>
                <w:b/>
                <w:bCs/>
                <w:color w:val="000000"/>
                <w:sz w:val="20"/>
                <w:szCs w:val="20"/>
              </w:rPr>
              <w:t xml:space="preserve">          12.262 </w:t>
            </w:r>
          </w:p>
        </w:tc>
        <w:tc>
          <w:tcPr>
            <w:tcW w:w="1287" w:type="dxa"/>
            <w:tcBorders>
              <w:top w:val="nil"/>
              <w:left w:val="nil"/>
              <w:bottom w:val="single" w:sz="4" w:space="0" w:color="auto"/>
              <w:right w:val="single" w:sz="4" w:space="0" w:color="auto"/>
            </w:tcBorders>
            <w:shd w:val="clear" w:color="auto" w:fill="auto"/>
            <w:noWrap/>
            <w:vAlign w:val="bottom"/>
            <w:hideMark/>
          </w:tcPr>
          <w:p w14:paraId="3600E72E" w14:textId="77777777" w:rsidR="008F16FC" w:rsidRPr="008F16FC" w:rsidRDefault="008F16FC" w:rsidP="008F16FC">
            <w:pPr>
              <w:rPr>
                <w:b/>
                <w:bCs/>
                <w:color w:val="000000"/>
                <w:sz w:val="20"/>
                <w:szCs w:val="20"/>
              </w:rPr>
            </w:pPr>
            <w:r w:rsidRPr="008F16FC">
              <w:rPr>
                <w:b/>
                <w:bCs/>
                <w:color w:val="000000"/>
                <w:sz w:val="20"/>
                <w:szCs w:val="20"/>
              </w:rPr>
              <w:t xml:space="preserve">         -12.262 </w:t>
            </w:r>
          </w:p>
        </w:tc>
        <w:tc>
          <w:tcPr>
            <w:tcW w:w="1340" w:type="dxa"/>
            <w:tcBorders>
              <w:top w:val="nil"/>
              <w:left w:val="nil"/>
              <w:bottom w:val="single" w:sz="4" w:space="0" w:color="auto"/>
              <w:right w:val="single" w:sz="8" w:space="0" w:color="auto"/>
            </w:tcBorders>
            <w:shd w:val="clear" w:color="auto" w:fill="auto"/>
            <w:noWrap/>
            <w:vAlign w:val="bottom"/>
            <w:hideMark/>
          </w:tcPr>
          <w:p w14:paraId="5BB1A846" w14:textId="77777777" w:rsidR="008F16FC" w:rsidRPr="008F16FC" w:rsidRDefault="008F16FC" w:rsidP="008F16FC">
            <w:pPr>
              <w:jc w:val="center"/>
              <w:rPr>
                <w:b/>
                <w:bCs/>
                <w:color w:val="000000"/>
                <w:sz w:val="20"/>
                <w:szCs w:val="20"/>
              </w:rPr>
            </w:pPr>
            <w:r w:rsidRPr="008F16FC">
              <w:rPr>
                <w:b/>
                <w:bCs/>
                <w:color w:val="000000"/>
                <w:sz w:val="20"/>
                <w:szCs w:val="20"/>
              </w:rPr>
              <w:t>-100%</w:t>
            </w:r>
          </w:p>
        </w:tc>
      </w:tr>
      <w:tr w:rsidR="008F16FC" w:rsidRPr="008F16FC" w14:paraId="15976D8F" w14:textId="77777777" w:rsidTr="00BA304B">
        <w:trPr>
          <w:trHeight w:val="270"/>
        </w:trPr>
        <w:tc>
          <w:tcPr>
            <w:tcW w:w="3953" w:type="dxa"/>
            <w:tcBorders>
              <w:top w:val="nil"/>
              <w:left w:val="single" w:sz="8" w:space="0" w:color="auto"/>
              <w:bottom w:val="single" w:sz="8" w:space="0" w:color="auto"/>
              <w:right w:val="single" w:sz="4" w:space="0" w:color="auto"/>
            </w:tcBorders>
            <w:shd w:val="clear" w:color="auto" w:fill="auto"/>
            <w:noWrap/>
            <w:vAlign w:val="bottom"/>
            <w:hideMark/>
          </w:tcPr>
          <w:p w14:paraId="6D05BD70" w14:textId="77777777" w:rsidR="008F16FC" w:rsidRPr="008F16FC" w:rsidRDefault="008F16FC" w:rsidP="008F16FC">
            <w:pPr>
              <w:rPr>
                <w:b/>
                <w:bCs/>
                <w:color w:val="000000"/>
                <w:sz w:val="20"/>
                <w:szCs w:val="20"/>
              </w:rPr>
            </w:pPr>
            <w:r w:rsidRPr="008F16FC">
              <w:rPr>
                <w:b/>
                <w:bCs/>
                <w:color w:val="000000"/>
                <w:sz w:val="20"/>
                <w:szCs w:val="20"/>
              </w:rPr>
              <w:t xml:space="preserve">Provisiones </w:t>
            </w:r>
            <w:r w:rsidRPr="008F16FC">
              <w:rPr>
                <w:b/>
                <w:bCs/>
                <w:i/>
                <w:iCs/>
                <w:color w:val="000000"/>
                <w:sz w:val="20"/>
                <w:szCs w:val="20"/>
              </w:rPr>
              <w:t>(11)</w:t>
            </w:r>
          </w:p>
        </w:tc>
        <w:tc>
          <w:tcPr>
            <w:tcW w:w="1340" w:type="dxa"/>
            <w:tcBorders>
              <w:top w:val="nil"/>
              <w:left w:val="nil"/>
              <w:bottom w:val="single" w:sz="8" w:space="0" w:color="auto"/>
              <w:right w:val="single" w:sz="4" w:space="0" w:color="auto"/>
            </w:tcBorders>
            <w:shd w:val="clear" w:color="auto" w:fill="auto"/>
            <w:noWrap/>
            <w:vAlign w:val="bottom"/>
            <w:hideMark/>
          </w:tcPr>
          <w:p w14:paraId="10415FE9" w14:textId="77777777" w:rsidR="008F16FC" w:rsidRPr="008F16FC" w:rsidRDefault="008F16FC" w:rsidP="008F16FC">
            <w:pPr>
              <w:rPr>
                <w:b/>
                <w:bCs/>
                <w:color w:val="000000"/>
                <w:sz w:val="20"/>
                <w:szCs w:val="20"/>
              </w:rPr>
            </w:pPr>
            <w:r w:rsidRPr="008F16FC">
              <w:rPr>
                <w:b/>
                <w:bCs/>
                <w:color w:val="000000"/>
                <w:sz w:val="20"/>
                <w:szCs w:val="20"/>
              </w:rPr>
              <w:t xml:space="preserve">          54.965 </w:t>
            </w:r>
          </w:p>
        </w:tc>
        <w:tc>
          <w:tcPr>
            <w:tcW w:w="1340" w:type="dxa"/>
            <w:tcBorders>
              <w:top w:val="nil"/>
              <w:left w:val="nil"/>
              <w:bottom w:val="single" w:sz="8" w:space="0" w:color="auto"/>
              <w:right w:val="single" w:sz="4" w:space="0" w:color="auto"/>
            </w:tcBorders>
            <w:shd w:val="clear" w:color="auto" w:fill="auto"/>
            <w:noWrap/>
            <w:vAlign w:val="bottom"/>
            <w:hideMark/>
          </w:tcPr>
          <w:p w14:paraId="3709289D" w14:textId="77777777" w:rsidR="008F16FC" w:rsidRPr="008F16FC" w:rsidRDefault="008F16FC" w:rsidP="008F16FC">
            <w:pPr>
              <w:rPr>
                <w:b/>
                <w:bCs/>
                <w:color w:val="000000"/>
                <w:sz w:val="20"/>
                <w:szCs w:val="20"/>
              </w:rPr>
            </w:pPr>
            <w:r w:rsidRPr="008F16FC">
              <w:rPr>
                <w:b/>
                <w:bCs/>
                <w:color w:val="000000"/>
                <w:sz w:val="20"/>
                <w:szCs w:val="20"/>
              </w:rPr>
              <w:t xml:space="preserve">        143.251 </w:t>
            </w:r>
          </w:p>
        </w:tc>
        <w:tc>
          <w:tcPr>
            <w:tcW w:w="1287" w:type="dxa"/>
            <w:tcBorders>
              <w:top w:val="nil"/>
              <w:left w:val="nil"/>
              <w:bottom w:val="single" w:sz="8" w:space="0" w:color="auto"/>
              <w:right w:val="single" w:sz="4" w:space="0" w:color="auto"/>
            </w:tcBorders>
            <w:shd w:val="clear" w:color="auto" w:fill="auto"/>
            <w:noWrap/>
            <w:vAlign w:val="bottom"/>
            <w:hideMark/>
          </w:tcPr>
          <w:p w14:paraId="7567E6FF" w14:textId="77777777" w:rsidR="008F16FC" w:rsidRPr="008F16FC" w:rsidRDefault="008F16FC" w:rsidP="008F16FC">
            <w:pPr>
              <w:rPr>
                <w:b/>
                <w:bCs/>
                <w:color w:val="000000"/>
                <w:sz w:val="20"/>
                <w:szCs w:val="20"/>
              </w:rPr>
            </w:pPr>
            <w:r w:rsidRPr="008F16FC">
              <w:rPr>
                <w:b/>
                <w:bCs/>
                <w:color w:val="000000"/>
                <w:sz w:val="20"/>
                <w:szCs w:val="20"/>
              </w:rPr>
              <w:t xml:space="preserve">         -88.286 </w:t>
            </w:r>
          </w:p>
        </w:tc>
        <w:tc>
          <w:tcPr>
            <w:tcW w:w="1340" w:type="dxa"/>
            <w:tcBorders>
              <w:top w:val="nil"/>
              <w:left w:val="nil"/>
              <w:bottom w:val="single" w:sz="8" w:space="0" w:color="auto"/>
              <w:right w:val="single" w:sz="8" w:space="0" w:color="auto"/>
            </w:tcBorders>
            <w:shd w:val="clear" w:color="auto" w:fill="auto"/>
            <w:noWrap/>
            <w:vAlign w:val="bottom"/>
            <w:hideMark/>
          </w:tcPr>
          <w:p w14:paraId="2E15CE48" w14:textId="77777777" w:rsidR="008F16FC" w:rsidRPr="008F16FC" w:rsidRDefault="008F16FC" w:rsidP="008F16FC">
            <w:pPr>
              <w:jc w:val="center"/>
              <w:rPr>
                <w:b/>
                <w:bCs/>
                <w:color w:val="000000"/>
                <w:sz w:val="20"/>
                <w:szCs w:val="20"/>
              </w:rPr>
            </w:pPr>
            <w:r w:rsidRPr="008F16FC">
              <w:rPr>
                <w:b/>
                <w:bCs/>
                <w:color w:val="000000"/>
                <w:sz w:val="20"/>
                <w:szCs w:val="20"/>
              </w:rPr>
              <w:t>-62%</w:t>
            </w:r>
          </w:p>
        </w:tc>
      </w:tr>
      <w:tr w:rsidR="00AE6F90" w:rsidRPr="008F16FC" w14:paraId="24159874" w14:textId="77777777" w:rsidTr="008F16FC">
        <w:trPr>
          <w:trHeight w:val="270"/>
        </w:trPr>
        <w:tc>
          <w:tcPr>
            <w:tcW w:w="3953" w:type="dxa"/>
            <w:tcBorders>
              <w:top w:val="single" w:sz="8" w:space="0" w:color="auto"/>
              <w:left w:val="single" w:sz="8" w:space="0" w:color="auto"/>
              <w:bottom w:val="single" w:sz="8" w:space="0" w:color="auto"/>
              <w:right w:val="nil"/>
            </w:tcBorders>
            <w:shd w:val="clear" w:color="auto" w:fill="auto"/>
            <w:noWrap/>
            <w:vAlign w:val="bottom"/>
            <w:hideMark/>
          </w:tcPr>
          <w:p w14:paraId="6D52D2C6" w14:textId="77777777" w:rsidR="008F16FC" w:rsidRPr="008F16FC" w:rsidRDefault="008F16FC" w:rsidP="008F16FC">
            <w:pPr>
              <w:rPr>
                <w:b/>
                <w:bCs/>
                <w:color w:val="000000"/>
                <w:sz w:val="20"/>
                <w:szCs w:val="20"/>
              </w:rPr>
            </w:pPr>
            <w:r w:rsidRPr="008F16FC">
              <w:rPr>
                <w:b/>
                <w:bCs/>
                <w:color w:val="000000"/>
                <w:sz w:val="20"/>
                <w:szCs w:val="20"/>
              </w:rPr>
              <w:t>Total Pasivo Corriente</w:t>
            </w:r>
          </w:p>
        </w:tc>
        <w:tc>
          <w:tcPr>
            <w:tcW w:w="1340" w:type="dxa"/>
            <w:tcBorders>
              <w:top w:val="single" w:sz="8" w:space="0" w:color="auto"/>
              <w:left w:val="nil"/>
              <w:bottom w:val="single" w:sz="8" w:space="0" w:color="auto"/>
              <w:right w:val="nil"/>
            </w:tcBorders>
            <w:shd w:val="clear" w:color="auto" w:fill="auto"/>
            <w:noWrap/>
            <w:vAlign w:val="bottom"/>
            <w:hideMark/>
          </w:tcPr>
          <w:p w14:paraId="1D6CEF3E" w14:textId="77777777" w:rsidR="008F16FC" w:rsidRPr="008F16FC" w:rsidRDefault="008F16FC" w:rsidP="008F16FC">
            <w:pPr>
              <w:rPr>
                <w:b/>
                <w:bCs/>
                <w:color w:val="000000"/>
                <w:sz w:val="20"/>
                <w:szCs w:val="20"/>
              </w:rPr>
            </w:pPr>
            <w:r w:rsidRPr="008F16FC">
              <w:rPr>
                <w:b/>
                <w:bCs/>
                <w:color w:val="000000"/>
                <w:sz w:val="20"/>
                <w:szCs w:val="20"/>
              </w:rPr>
              <w:t xml:space="preserve">     6.905.178 </w:t>
            </w:r>
          </w:p>
        </w:tc>
        <w:tc>
          <w:tcPr>
            <w:tcW w:w="1340" w:type="dxa"/>
            <w:tcBorders>
              <w:top w:val="single" w:sz="8" w:space="0" w:color="auto"/>
              <w:left w:val="nil"/>
              <w:bottom w:val="single" w:sz="8" w:space="0" w:color="auto"/>
              <w:right w:val="nil"/>
            </w:tcBorders>
            <w:shd w:val="clear" w:color="auto" w:fill="auto"/>
            <w:noWrap/>
            <w:vAlign w:val="bottom"/>
            <w:hideMark/>
          </w:tcPr>
          <w:p w14:paraId="7722D3FE" w14:textId="77777777" w:rsidR="008F16FC" w:rsidRPr="008F16FC" w:rsidRDefault="008F16FC" w:rsidP="008F16FC">
            <w:pPr>
              <w:rPr>
                <w:b/>
                <w:bCs/>
                <w:color w:val="000000"/>
                <w:sz w:val="20"/>
                <w:szCs w:val="20"/>
              </w:rPr>
            </w:pPr>
            <w:r w:rsidRPr="008F16FC">
              <w:rPr>
                <w:b/>
                <w:bCs/>
                <w:color w:val="000000"/>
                <w:sz w:val="20"/>
                <w:szCs w:val="20"/>
              </w:rPr>
              <w:t xml:space="preserve">     9.002.387 </w:t>
            </w:r>
          </w:p>
        </w:tc>
        <w:tc>
          <w:tcPr>
            <w:tcW w:w="1287" w:type="dxa"/>
            <w:tcBorders>
              <w:top w:val="single" w:sz="8" w:space="0" w:color="auto"/>
              <w:left w:val="nil"/>
              <w:bottom w:val="single" w:sz="8" w:space="0" w:color="auto"/>
              <w:right w:val="nil"/>
            </w:tcBorders>
            <w:shd w:val="clear" w:color="auto" w:fill="auto"/>
            <w:noWrap/>
            <w:vAlign w:val="bottom"/>
            <w:hideMark/>
          </w:tcPr>
          <w:p w14:paraId="0E2BB981" w14:textId="77777777" w:rsidR="008F16FC" w:rsidRPr="008F16FC" w:rsidRDefault="008F16FC" w:rsidP="008F16FC">
            <w:pPr>
              <w:rPr>
                <w:b/>
                <w:bCs/>
                <w:color w:val="000000"/>
                <w:sz w:val="20"/>
                <w:szCs w:val="20"/>
              </w:rPr>
            </w:pPr>
            <w:r w:rsidRPr="008F16FC">
              <w:rPr>
                <w:b/>
                <w:bCs/>
                <w:color w:val="000000"/>
                <w:sz w:val="20"/>
                <w:szCs w:val="20"/>
              </w:rPr>
              <w:t xml:space="preserve">    -2.097.209 </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3E7831A7" w14:textId="77777777" w:rsidR="008F16FC" w:rsidRPr="008F16FC" w:rsidRDefault="008F16FC" w:rsidP="008F16FC">
            <w:pPr>
              <w:jc w:val="center"/>
              <w:rPr>
                <w:b/>
                <w:bCs/>
                <w:color w:val="000000"/>
                <w:sz w:val="20"/>
                <w:szCs w:val="20"/>
              </w:rPr>
            </w:pPr>
            <w:r w:rsidRPr="008F16FC">
              <w:rPr>
                <w:b/>
                <w:bCs/>
                <w:color w:val="000000"/>
                <w:sz w:val="20"/>
                <w:szCs w:val="20"/>
              </w:rPr>
              <w:t>-23%</w:t>
            </w:r>
          </w:p>
        </w:tc>
      </w:tr>
      <w:tr w:rsidR="008F16FC" w:rsidRPr="008F16FC" w14:paraId="71B36E47" w14:textId="77777777" w:rsidTr="00BA304B">
        <w:trPr>
          <w:trHeight w:val="75"/>
        </w:trPr>
        <w:tc>
          <w:tcPr>
            <w:tcW w:w="3953" w:type="dxa"/>
            <w:tcBorders>
              <w:top w:val="nil"/>
              <w:left w:val="nil"/>
              <w:bottom w:val="nil"/>
              <w:right w:val="nil"/>
            </w:tcBorders>
            <w:shd w:val="clear" w:color="auto" w:fill="auto"/>
            <w:noWrap/>
            <w:vAlign w:val="bottom"/>
            <w:hideMark/>
          </w:tcPr>
          <w:p w14:paraId="6B866A3D"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center"/>
            <w:hideMark/>
          </w:tcPr>
          <w:p w14:paraId="1EA686AC" w14:textId="77777777" w:rsidR="008F16FC" w:rsidRPr="008F16FC" w:rsidRDefault="008F16FC" w:rsidP="008F16FC">
            <w:pPr>
              <w:jc w:val="center"/>
              <w:rPr>
                <w:b/>
                <w:bCs/>
                <w:color w:val="000000"/>
                <w:sz w:val="20"/>
                <w:szCs w:val="20"/>
              </w:rPr>
            </w:pPr>
          </w:p>
        </w:tc>
        <w:tc>
          <w:tcPr>
            <w:tcW w:w="1340" w:type="dxa"/>
            <w:tcBorders>
              <w:top w:val="nil"/>
              <w:left w:val="nil"/>
              <w:bottom w:val="nil"/>
              <w:right w:val="nil"/>
            </w:tcBorders>
            <w:shd w:val="clear" w:color="auto" w:fill="auto"/>
            <w:noWrap/>
            <w:vAlign w:val="center"/>
            <w:hideMark/>
          </w:tcPr>
          <w:p w14:paraId="75892629" w14:textId="77777777" w:rsidR="008F16FC" w:rsidRPr="008F16FC" w:rsidRDefault="008F16FC" w:rsidP="008F16FC">
            <w:pPr>
              <w:jc w:val="center"/>
              <w:rPr>
                <w:b/>
                <w:bCs/>
                <w:color w:val="000000"/>
                <w:sz w:val="20"/>
                <w:szCs w:val="20"/>
              </w:rPr>
            </w:pPr>
          </w:p>
        </w:tc>
        <w:tc>
          <w:tcPr>
            <w:tcW w:w="1287" w:type="dxa"/>
            <w:tcBorders>
              <w:top w:val="nil"/>
              <w:left w:val="nil"/>
              <w:bottom w:val="nil"/>
              <w:right w:val="nil"/>
            </w:tcBorders>
            <w:shd w:val="clear" w:color="auto" w:fill="auto"/>
            <w:vAlign w:val="center"/>
            <w:hideMark/>
          </w:tcPr>
          <w:p w14:paraId="2989DD25" w14:textId="77777777" w:rsidR="008F16FC" w:rsidRPr="008F16FC" w:rsidRDefault="008F16FC" w:rsidP="008F16FC">
            <w:pPr>
              <w:jc w:val="center"/>
              <w:rPr>
                <w:color w:val="000000"/>
                <w:sz w:val="20"/>
                <w:szCs w:val="20"/>
              </w:rPr>
            </w:pPr>
          </w:p>
        </w:tc>
        <w:tc>
          <w:tcPr>
            <w:tcW w:w="1340" w:type="dxa"/>
            <w:tcBorders>
              <w:top w:val="nil"/>
              <w:left w:val="nil"/>
              <w:bottom w:val="nil"/>
              <w:right w:val="nil"/>
            </w:tcBorders>
            <w:shd w:val="clear" w:color="auto" w:fill="auto"/>
            <w:noWrap/>
            <w:vAlign w:val="center"/>
            <w:hideMark/>
          </w:tcPr>
          <w:p w14:paraId="28F59DCC" w14:textId="77777777" w:rsidR="008F16FC" w:rsidRPr="008F16FC" w:rsidRDefault="008F16FC" w:rsidP="008F16FC">
            <w:pPr>
              <w:jc w:val="center"/>
              <w:rPr>
                <w:color w:val="000000"/>
                <w:sz w:val="20"/>
                <w:szCs w:val="20"/>
              </w:rPr>
            </w:pPr>
          </w:p>
        </w:tc>
      </w:tr>
      <w:tr w:rsidR="008F16FC" w:rsidRPr="008F16FC" w14:paraId="3807ED99" w14:textId="77777777" w:rsidTr="00BA304B">
        <w:trPr>
          <w:trHeight w:val="255"/>
        </w:trPr>
        <w:tc>
          <w:tcPr>
            <w:tcW w:w="395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B9A8B76" w14:textId="77777777" w:rsidR="008F16FC" w:rsidRPr="008F16FC" w:rsidRDefault="008F16FC" w:rsidP="008F16FC">
            <w:pPr>
              <w:rPr>
                <w:b/>
                <w:bCs/>
                <w:color w:val="000000"/>
                <w:sz w:val="20"/>
                <w:szCs w:val="20"/>
              </w:rPr>
            </w:pPr>
            <w:r w:rsidRPr="008F16FC">
              <w:rPr>
                <w:b/>
                <w:bCs/>
                <w:color w:val="000000"/>
                <w:sz w:val="20"/>
                <w:szCs w:val="20"/>
              </w:rPr>
              <w:t xml:space="preserve">Pasivos financieros </w:t>
            </w:r>
            <w:r w:rsidRPr="008F16FC">
              <w:rPr>
                <w:b/>
                <w:bCs/>
                <w:i/>
                <w:iCs/>
                <w:color w:val="000000"/>
                <w:sz w:val="20"/>
                <w:szCs w:val="20"/>
              </w:rPr>
              <w:t>(12)</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42E4F679" w14:textId="77777777" w:rsidR="008F16FC" w:rsidRPr="008F16FC" w:rsidRDefault="008F16FC" w:rsidP="008F16FC">
            <w:pPr>
              <w:rPr>
                <w:b/>
                <w:bCs/>
                <w:color w:val="000000"/>
                <w:sz w:val="20"/>
                <w:szCs w:val="20"/>
              </w:rPr>
            </w:pPr>
            <w:r w:rsidRPr="008F16FC">
              <w:rPr>
                <w:b/>
                <w:bCs/>
                <w:color w:val="000000"/>
                <w:sz w:val="20"/>
                <w:szCs w:val="20"/>
              </w:rPr>
              <w:t xml:space="preserve">          22.500 </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64D05A2B" w14:textId="77777777" w:rsidR="008F16FC" w:rsidRPr="008F16FC" w:rsidRDefault="008F16FC" w:rsidP="008F16FC">
            <w:pPr>
              <w:rPr>
                <w:b/>
                <w:bCs/>
                <w:color w:val="000000"/>
                <w:sz w:val="20"/>
                <w:szCs w:val="20"/>
              </w:rPr>
            </w:pPr>
            <w:r w:rsidRPr="008F16FC">
              <w:rPr>
                <w:b/>
                <w:bCs/>
                <w:color w:val="000000"/>
                <w:sz w:val="20"/>
                <w:szCs w:val="20"/>
              </w:rPr>
              <w:t xml:space="preserve">          80.497 </w:t>
            </w:r>
          </w:p>
        </w:tc>
        <w:tc>
          <w:tcPr>
            <w:tcW w:w="1287" w:type="dxa"/>
            <w:tcBorders>
              <w:top w:val="single" w:sz="8" w:space="0" w:color="auto"/>
              <w:left w:val="nil"/>
              <w:bottom w:val="single" w:sz="4" w:space="0" w:color="auto"/>
              <w:right w:val="single" w:sz="4" w:space="0" w:color="auto"/>
            </w:tcBorders>
            <w:shd w:val="clear" w:color="auto" w:fill="auto"/>
            <w:noWrap/>
            <w:vAlign w:val="bottom"/>
            <w:hideMark/>
          </w:tcPr>
          <w:p w14:paraId="28201823" w14:textId="77777777" w:rsidR="008F16FC" w:rsidRPr="008F16FC" w:rsidRDefault="008F16FC" w:rsidP="008F16FC">
            <w:pPr>
              <w:rPr>
                <w:b/>
                <w:bCs/>
                <w:color w:val="000000"/>
                <w:sz w:val="20"/>
                <w:szCs w:val="20"/>
              </w:rPr>
            </w:pPr>
            <w:r w:rsidRPr="008F16FC">
              <w:rPr>
                <w:b/>
                <w:bCs/>
                <w:color w:val="000000"/>
                <w:sz w:val="20"/>
                <w:szCs w:val="20"/>
              </w:rPr>
              <w:t xml:space="preserve">         -57.997 </w:t>
            </w:r>
          </w:p>
        </w:tc>
        <w:tc>
          <w:tcPr>
            <w:tcW w:w="1340" w:type="dxa"/>
            <w:tcBorders>
              <w:top w:val="single" w:sz="8" w:space="0" w:color="auto"/>
              <w:left w:val="nil"/>
              <w:bottom w:val="single" w:sz="4" w:space="0" w:color="auto"/>
              <w:right w:val="single" w:sz="8" w:space="0" w:color="auto"/>
            </w:tcBorders>
            <w:shd w:val="clear" w:color="auto" w:fill="auto"/>
            <w:noWrap/>
            <w:vAlign w:val="bottom"/>
            <w:hideMark/>
          </w:tcPr>
          <w:p w14:paraId="724ABB7F" w14:textId="77777777" w:rsidR="008F16FC" w:rsidRPr="008F16FC" w:rsidRDefault="008F16FC" w:rsidP="008F16FC">
            <w:pPr>
              <w:jc w:val="center"/>
              <w:rPr>
                <w:b/>
                <w:bCs/>
                <w:color w:val="000000"/>
                <w:sz w:val="20"/>
                <w:szCs w:val="20"/>
              </w:rPr>
            </w:pPr>
            <w:r w:rsidRPr="008F16FC">
              <w:rPr>
                <w:b/>
                <w:bCs/>
                <w:color w:val="000000"/>
                <w:sz w:val="20"/>
                <w:szCs w:val="20"/>
              </w:rPr>
              <w:t>-72%</w:t>
            </w:r>
          </w:p>
        </w:tc>
      </w:tr>
      <w:tr w:rsidR="008F16FC" w:rsidRPr="008F16FC" w14:paraId="27E6F89C" w14:textId="77777777" w:rsidTr="00BA304B">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2332E72B" w14:textId="77777777" w:rsidR="008F16FC" w:rsidRPr="008F16FC" w:rsidRDefault="008F16FC" w:rsidP="008F16FC">
            <w:pPr>
              <w:rPr>
                <w:b/>
                <w:bCs/>
                <w:color w:val="000000"/>
                <w:sz w:val="20"/>
                <w:szCs w:val="20"/>
              </w:rPr>
            </w:pPr>
            <w:r w:rsidRPr="008F16FC">
              <w:rPr>
                <w:b/>
                <w:bCs/>
                <w:color w:val="000000"/>
                <w:sz w:val="20"/>
                <w:szCs w:val="20"/>
              </w:rPr>
              <w:t>Beneficio al personal</w:t>
            </w:r>
          </w:p>
        </w:tc>
        <w:tc>
          <w:tcPr>
            <w:tcW w:w="1340" w:type="dxa"/>
            <w:tcBorders>
              <w:top w:val="nil"/>
              <w:left w:val="nil"/>
              <w:bottom w:val="single" w:sz="4" w:space="0" w:color="auto"/>
              <w:right w:val="single" w:sz="4" w:space="0" w:color="auto"/>
            </w:tcBorders>
            <w:shd w:val="clear" w:color="auto" w:fill="auto"/>
            <w:noWrap/>
            <w:vAlign w:val="bottom"/>
            <w:hideMark/>
          </w:tcPr>
          <w:p w14:paraId="72DB1544" w14:textId="77777777" w:rsidR="008F16FC" w:rsidRPr="008F16FC" w:rsidRDefault="008F16FC" w:rsidP="008F16FC">
            <w:pPr>
              <w:rPr>
                <w:b/>
                <w:bCs/>
                <w:color w:val="000000"/>
                <w:sz w:val="20"/>
                <w:szCs w:val="20"/>
              </w:rPr>
            </w:pPr>
            <w:r w:rsidRPr="008F16FC">
              <w:rPr>
                <w:b/>
                <w:bCs/>
                <w:color w:val="000000"/>
                <w:sz w:val="20"/>
                <w:szCs w:val="20"/>
              </w:rPr>
              <w:t xml:space="preserve">          64.965 </w:t>
            </w:r>
          </w:p>
        </w:tc>
        <w:tc>
          <w:tcPr>
            <w:tcW w:w="1340" w:type="dxa"/>
            <w:tcBorders>
              <w:top w:val="nil"/>
              <w:left w:val="nil"/>
              <w:bottom w:val="single" w:sz="4" w:space="0" w:color="auto"/>
              <w:right w:val="single" w:sz="4" w:space="0" w:color="auto"/>
            </w:tcBorders>
            <w:shd w:val="clear" w:color="auto" w:fill="auto"/>
            <w:noWrap/>
            <w:vAlign w:val="bottom"/>
            <w:hideMark/>
          </w:tcPr>
          <w:p w14:paraId="59CBB7D4" w14:textId="77777777" w:rsidR="008F16FC" w:rsidRPr="008F16FC" w:rsidRDefault="008F16FC" w:rsidP="008F16FC">
            <w:pPr>
              <w:rPr>
                <w:b/>
                <w:bCs/>
                <w:color w:val="000000"/>
                <w:sz w:val="20"/>
                <w:szCs w:val="20"/>
              </w:rPr>
            </w:pPr>
            <w:r w:rsidRPr="008F16FC">
              <w:rPr>
                <w:b/>
                <w:bCs/>
                <w:color w:val="000000"/>
                <w:sz w:val="20"/>
                <w:szCs w:val="20"/>
              </w:rPr>
              <w:t xml:space="preserve">          61.667 </w:t>
            </w:r>
          </w:p>
        </w:tc>
        <w:tc>
          <w:tcPr>
            <w:tcW w:w="1287" w:type="dxa"/>
            <w:tcBorders>
              <w:top w:val="nil"/>
              <w:left w:val="nil"/>
              <w:bottom w:val="single" w:sz="4" w:space="0" w:color="auto"/>
              <w:right w:val="single" w:sz="4" w:space="0" w:color="auto"/>
            </w:tcBorders>
            <w:shd w:val="clear" w:color="auto" w:fill="auto"/>
            <w:noWrap/>
            <w:vAlign w:val="bottom"/>
            <w:hideMark/>
          </w:tcPr>
          <w:p w14:paraId="77583008" w14:textId="77777777" w:rsidR="008F16FC" w:rsidRPr="008F16FC" w:rsidRDefault="008F16FC" w:rsidP="008F16FC">
            <w:pPr>
              <w:rPr>
                <w:b/>
                <w:bCs/>
                <w:color w:val="000000"/>
                <w:sz w:val="20"/>
                <w:szCs w:val="20"/>
              </w:rPr>
            </w:pPr>
            <w:r w:rsidRPr="008F16FC">
              <w:rPr>
                <w:b/>
                <w:bCs/>
                <w:color w:val="000000"/>
                <w:sz w:val="20"/>
                <w:szCs w:val="20"/>
              </w:rPr>
              <w:t xml:space="preserve">            3.298 </w:t>
            </w:r>
          </w:p>
        </w:tc>
        <w:tc>
          <w:tcPr>
            <w:tcW w:w="1340" w:type="dxa"/>
            <w:tcBorders>
              <w:top w:val="nil"/>
              <w:left w:val="nil"/>
              <w:bottom w:val="single" w:sz="4" w:space="0" w:color="auto"/>
              <w:right w:val="single" w:sz="8" w:space="0" w:color="auto"/>
            </w:tcBorders>
            <w:shd w:val="clear" w:color="auto" w:fill="auto"/>
            <w:noWrap/>
            <w:vAlign w:val="bottom"/>
            <w:hideMark/>
          </w:tcPr>
          <w:p w14:paraId="0D3791F4" w14:textId="77777777" w:rsidR="008F16FC" w:rsidRPr="008F16FC" w:rsidRDefault="008F16FC" w:rsidP="008F16FC">
            <w:pPr>
              <w:jc w:val="center"/>
              <w:rPr>
                <w:b/>
                <w:bCs/>
                <w:color w:val="000000"/>
                <w:sz w:val="20"/>
                <w:szCs w:val="20"/>
              </w:rPr>
            </w:pPr>
            <w:r w:rsidRPr="008F16FC">
              <w:rPr>
                <w:b/>
                <w:bCs/>
                <w:color w:val="000000"/>
                <w:sz w:val="20"/>
                <w:szCs w:val="20"/>
              </w:rPr>
              <w:t>5%</w:t>
            </w:r>
          </w:p>
        </w:tc>
      </w:tr>
      <w:tr w:rsidR="008F16FC" w:rsidRPr="008F16FC" w14:paraId="75FCE37D" w14:textId="77777777" w:rsidTr="00BA304B">
        <w:trPr>
          <w:trHeight w:val="270"/>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62DC50A3" w14:textId="77777777" w:rsidR="008F16FC" w:rsidRPr="008F16FC" w:rsidRDefault="008F16FC" w:rsidP="008F16FC">
            <w:pPr>
              <w:rPr>
                <w:b/>
                <w:bCs/>
                <w:color w:val="000000"/>
                <w:sz w:val="20"/>
                <w:szCs w:val="20"/>
              </w:rPr>
            </w:pPr>
            <w:r w:rsidRPr="008F16FC">
              <w:rPr>
                <w:b/>
                <w:bCs/>
                <w:color w:val="000000"/>
                <w:sz w:val="20"/>
                <w:szCs w:val="20"/>
              </w:rPr>
              <w:t>Pasivos por impuestos diferidos</w:t>
            </w:r>
          </w:p>
        </w:tc>
        <w:tc>
          <w:tcPr>
            <w:tcW w:w="1340" w:type="dxa"/>
            <w:tcBorders>
              <w:top w:val="nil"/>
              <w:left w:val="nil"/>
              <w:bottom w:val="single" w:sz="4" w:space="0" w:color="auto"/>
              <w:right w:val="single" w:sz="4" w:space="0" w:color="auto"/>
            </w:tcBorders>
            <w:shd w:val="clear" w:color="auto" w:fill="auto"/>
            <w:noWrap/>
            <w:vAlign w:val="bottom"/>
            <w:hideMark/>
          </w:tcPr>
          <w:p w14:paraId="390E607F" w14:textId="77777777" w:rsidR="008F16FC" w:rsidRPr="008F16FC" w:rsidRDefault="008F16FC" w:rsidP="008F16FC">
            <w:pPr>
              <w:rPr>
                <w:b/>
                <w:bCs/>
                <w:color w:val="000000"/>
                <w:sz w:val="20"/>
                <w:szCs w:val="20"/>
              </w:rPr>
            </w:pPr>
            <w:r w:rsidRPr="008F16FC">
              <w:rPr>
                <w:b/>
                <w:bCs/>
                <w:color w:val="000000"/>
                <w:sz w:val="20"/>
                <w:szCs w:val="20"/>
              </w:rPr>
              <w:t xml:space="preserve">        686.426 </w:t>
            </w:r>
          </w:p>
        </w:tc>
        <w:tc>
          <w:tcPr>
            <w:tcW w:w="1340" w:type="dxa"/>
            <w:tcBorders>
              <w:top w:val="nil"/>
              <w:left w:val="nil"/>
              <w:bottom w:val="single" w:sz="4" w:space="0" w:color="auto"/>
              <w:right w:val="single" w:sz="4" w:space="0" w:color="auto"/>
            </w:tcBorders>
            <w:shd w:val="clear" w:color="auto" w:fill="auto"/>
            <w:noWrap/>
            <w:vAlign w:val="bottom"/>
            <w:hideMark/>
          </w:tcPr>
          <w:p w14:paraId="7798B576" w14:textId="77777777" w:rsidR="008F16FC" w:rsidRPr="008F16FC" w:rsidRDefault="008F16FC" w:rsidP="008F16FC">
            <w:pPr>
              <w:rPr>
                <w:b/>
                <w:bCs/>
                <w:color w:val="000000"/>
                <w:sz w:val="20"/>
                <w:szCs w:val="20"/>
              </w:rPr>
            </w:pPr>
            <w:r w:rsidRPr="008F16FC">
              <w:rPr>
                <w:b/>
                <w:bCs/>
                <w:color w:val="000000"/>
                <w:sz w:val="20"/>
                <w:szCs w:val="20"/>
              </w:rPr>
              <w:t xml:space="preserve">        589.414 </w:t>
            </w:r>
          </w:p>
        </w:tc>
        <w:tc>
          <w:tcPr>
            <w:tcW w:w="1287" w:type="dxa"/>
            <w:tcBorders>
              <w:top w:val="nil"/>
              <w:left w:val="nil"/>
              <w:bottom w:val="single" w:sz="4" w:space="0" w:color="auto"/>
              <w:right w:val="single" w:sz="4" w:space="0" w:color="auto"/>
            </w:tcBorders>
            <w:shd w:val="clear" w:color="auto" w:fill="auto"/>
            <w:noWrap/>
            <w:vAlign w:val="bottom"/>
            <w:hideMark/>
          </w:tcPr>
          <w:p w14:paraId="38765B17" w14:textId="77777777" w:rsidR="008F16FC" w:rsidRPr="008F16FC" w:rsidRDefault="008F16FC" w:rsidP="008F16FC">
            <w:pPr>
              <w:rPr>
                <w:b/>
                <w:bCs/>
                <w:color w:val="000000"/>
                <w:sz w:val="20"/>
                <w:szCs w:val="20"/>
              </w:rPr>
            </w:pPr>
            <w:r w:rsidRPr="008F16FC">
              <w:rPr>
                <w:b/>
                <w:bCs/>
                <w:color w:val="000000"/>
                <w:sz w:val="20"/>
                <w:szCs w:val="20"/>
              </w:rPr>
              <w:t xml:space="preserve">          97.012 </w:t>
            </w:r>
          </w:p>
        </w:tc>
        <w:tc>
          <w:tcPr>
            <w:tcW w:w="1340" w:type="dxa"/>
            <w:tcBorders>
              <w:top w:val="nil"/>
              <w:left w:val="nil"/>
              <w:bottom w:val="single" w:sz="4" w:space="0" w:color="auto"/>
              <w:right w:val="single" w:sz="8" w:space="0" w:color="auto"/>
            </w:tcBorders>
            <w:shd w:val="clear" w:color="auto" w:fill="auto"/>
            <w:noWrap/>
            <w:vAlign w:val="bottom"/>
            <w:hideMark/>
          </w:tcPr>
          <w:p w14:paraId="2F915880" w14:textId="77777777" w:rsidR="008F16FC" w:rsidRPr="008F16FC" w:rsidRDefault="008F16FC" w:rsidP="008F16FC">
            <w:pPr>
              <w:jc w:val="center"/>
              <w:rPr>
                <w:b/>
                <w:bCs/>
                <w:color w:val="000000"/>
                <w:sz w:val="20"/>
                <w:szCs w:val="20"/>
              </w:rPr>
            </w:pPr>
            <w:r w:rsidRPr="008F16FC">
              <w:rPr>
                <w:b/>
                <w:bCs/>
                <w:color w:val="000000"/>
                <w:sz w:val="20"/>
                <w:szCs w:val="20"/>
              </w:rPr>
              <w:t>16%</w:t>
            </w:r>
          </w:p>
        </w:tc>
      </w:tr>
      <w:tr w:rsidR="00AE6F90" w:rsidRPr="008F16FC" w14:paraId="6DDE9913" w14:textId="77777777" w:rsidTr="008F16FC">
        <w:trPr>
          <w:trHeight w:val="270"/>
        </w:trPr>
        <w:tc>
          <w:tcPr>
            <w:tcW w:w="3953" w:type="dxa"/>
            <w:tcBorders>
              <w:top w:val="single" w:sz="8" w:space="0" w:color="auto"/>
              <w:left w:val="single" w:sz="8" w:space="0" w:color="auto"/>
              <w:bottom w:val="single" w:sz="8" w:space="0" w:color="auto"/>
              <w:right w:val="nil"/>
            </w:tcBorders>
            <w:shd w:val="clear" w:color="auto" w:fill="auto"/>
            <w:noWrap/>
            <w:vAlign w:val="bottom"/>
            <w:hideMark/>
          </w:tcPr>
          <w:p w14:paraId="01B02D12" w14:textId="77777777" w:rsidR="008F16FC" w:rsidRPr="008F16FC" w:rsidRDefault="008F16FC" w:rsidP="008F16FC">
            <w:pPr>
              <w:rPr>
                <w:b/>
                <w:bCs/>
                <w:color w:val="000000"/>
                <w:sz w:val="20"/>
                <w:szCs w:val="20"/>
              </w:rPr>
            </w:pPr>
            <w:r w:rsidRPr="008F16FC">
              <w:rPr>
                <w:b/>
                <w:bCs/>
                <w:color w:val="000000"/>
                <w:sz w:val="20"/>
                <w:szCs w:val="20"/>
              </w:rPr>
              <w:t>Total Pasivo No Corriente</w:t>
            </w:r>
          </w:p>
        </w:tc>
        <w:tc>
          <w:tcPr>
            <w:tcW w:w="1340" w:type="dxa"/>
            <w:tcBorders>
              <w:top w:val="single" w:sz="8" w:space="0" w:color="auto"/>
              <w:left w:val="nil"/>
              <w:bottom w:val="single" w:sz="8" w:space="0" w:color="auto"/>
              <w:right w:val="nil"/>
            </w:tcBorders>
            <w:shd w:val="clear" w:color="auto" w:fill="auto"/>
            <w:noWrap/>
            <w:vAlign w:val="bottom"/>
            <w:hideMark/>
          </w:tcPr>
          <w:p w14:paraId="5EBDCC5A" w14:textId="77777777" w:rsidR="008F16FC" w:rsidRPr="008F16FC" w:rsidRDefault="008F16FC" w:rsidP="008F16FC">
            <w:pPr>
              <w:rPr>
                <w:b/>
                <w:bCs/>
                <w:color w:val="000000"/>
                <w:sz w:val="20"/>
                <w:szCs w:val="20"/>
              </w:rPr>
            </w:pPr>
            <w:r w:rsidRPr="008F16FC">
              <w:rPr>
                <w:b/>
                <w:bCs/>
                <w:color w:val="000000"/>
                <w:sz w:val="20"/>
                <w:szCs w:val="20"/>
              </w:rPr>
              <w:t xml:space="preserve">        773.891 </w:t>
            </w:r>
          </w:p>
        </w:tc>
        <w:tc>
          <w:tcPr>
            <w:tcW w:w="1340" w:type="dxa"/>
            <w:tcBorders>
              <w:top w:val="single" w:sz="8" w:space="0" w:color="auto"/>
              <w:left w:val="nil"/>
              <w:bottom w:val="single" w:sz="8" w:space="0" w:color="auto"/>
              <w:right w:val="nil"/>
            </w:tcBorders>
            <w:shd w:val="clear" w:color="auto" w:fill="auto"/>
            <w:noWrap/>
            <w:vAlign w:val="bottom"/>
            <w:hideMark/>
          </w:tcPr>
          <w:p w14:paraId="3255771C" w14:textId="77777777" w:rsidR="008F16FC" w:rsidRPr="008F16FC" w:rsidRDefault="008F16FC" w:rsidP="008F16FC">
            <w:pPr>
              <w:rPr>
                <w:b/>
                <w:bCs/>
                <w:color w:val="000000"/>
                <w:sz w:val="20"/>
                <w:szCs w:val="20"/>
              </w:rPr>
            </w:pPr>
            <w:r w:rsidRPr="008F16FC">
              <w:rPr>
                <w:b/>
                <w:bCs/>
                <w:color w:val="000000"/>
                <w:sz w:val="20"/>
                <w:szCs w:val="20"/>
              </w:rPr>
              <w:t xml:space="preserve">        731.578 </w:t>
            </w:r>
          </w:p>
        </w:tc>
        <w:tc>
          <w:tcPr>
            <w:tcW w:w="1287" w:type="dxa"/>
            <w:tcBorders>
              <w:top w:val="single" w:sz="8" w:space="0" w:color="auto"/>
              <w:left w:val="nil"/>
              <w:bottom w:val="single" w:sz="8" w:space="0" w:color="auto"/>
              <w:right w:val="nil"/>
            </w:tcBorders>
            <w:shd w:val="clear" w:color="auto" w:fill="auto"/>
            <w:noWrap/>
            <w:vAlign w:val="bottom"/>
            <w:hideMark/>
          </w:tcPr>
          <w:p w14:paraId="13C7328F" w14:textId="77777777" w:rsidR="008F16FC" w:rsidRPr="008F16FC" w:rsidRDefault="008F16FC" w:rsidP="008F16FC">
            <w:pPr>
              <w:rPr>
                <w:b/>
                <w:bCs/>
                <w:color w:val="000000"/>
                <w:sz w:val="20"/>
                <w:szCs w:val="20"/>
              </w:rPr>
            </w:pPr>
            <w:r w:rsidRPr="008F16FC">
              <w:rPr>
                <w:b/>
                <w:bCs/>
                <w:color w:val="000000"/>
                <w:sz w:val="20"/>
                <w:szCs w:val="20"/>
              </w:rPr>
              <w:t xml:space="preserve">          42.313 </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5BEB5311" w14:textId="77777777" w:rsidR="008F16FC" w:rsidRPr="008F16FC" w:rsidRDefault="008F16FC" w:rsidP="008F16FC">
            <w:pPr>
              <w:jc w:val="center"/>
              <w:rPr>
                <w:b/>
                <w:bCs/>
                <w:color w:val="000000"/>
                <w:sz w:val="20"/>
                <w:szCs w:val="20"/>
              </w:rPr>
            </w:pPr>
            <w:r w:rsidRPr="008F16FC">
              <w:rPr>
                <w:b/>
                <w:bCs/>
                <w:color w:val="000000"/>
                <w:sz w:val="20"/>
                <w:szCs w:val="20"/>
              </w:rPr>
              <w:t>6%</w:t>
            </w:r>
          </w:p>
        </w:tc>
      </w:tr>
      <w:tr w:rsidR="008F16FC" w:rsidRPr="008F16FC" w14:paraId="1AE3BDE0" w14:textId="77777777" w:rsidTr="00BA304B">
        <w:trPr>
          <w:trHeight w:val="270"/>
        </w:trPr>
        <w:tc>
          <w:tcPr>
            <w:tcW w:w="3953" w:type="dxa"/>
            <w:tcBorders>
              <w:top w:val="nil"/>
              <w:left w:val="nil"/>
              <w:bottom w:val="nil"/>
              <w:right w:val="nil"/>
            </w:tcBorders>
            <w:shd w:val="clear" w:color="auto" w:fill="auto"/>
            <w:noWrap/>
            <w:vAlign w:val="bottom"/>
            <w:hideMark/>
          </w:tcPr>
          <w:p w14:paraId="0FA36F4F"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0BF1D17D"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56FE6D31" w14:textId="77777777" w:rsidR="008F16FC" w:rsidRPr="008F16FC" w:rsidRDefault="008F16FC" w:rsidP="008F16FC">
            <w:pPr>
              <w:rPr>
                <w:color w:val="000000"/>
                <w:sz w:val="20"/>
                <w:szCs w:val="20"/>
              </w:rPr>
            </w:pPr>
          </w:p>
        </w:tc>
        <w:tc>
          <w:tcPr>
            <w:tcW w:w="1287" w:type="dxa"/>
            <w:tcBorders>
              <w:top w:val="nil"/>
              <w:left w:val="nil"/>
              <w:bottom w:val="nil"/>
              <w:right w:val="nil"/>
            </w:tcBorders>
            <w:shd w:val="clear" w:color="auto" w:fill="auto"/>
            <w:noWrap/>
            <w:vAlign w:val="bottom"/>
            <w:hideMark/>
          </w:tcPr>
          <w:p w14:paraId="79AFE742"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6C47D5D8" w14:textId="77777777" w:rsidR="008F16FC" w:rsidRPr="008F16FC" w:rsidRDefault="008F16FC" w:rsidP="008F16FC">
            <w:pPr>
              <w:jc w:val="center"/>
              <w:rPr>
                <w:color w:val="000000"/>
                <w:sz w:val="20"/>
                <w:szCs w:val="20"/>
              </w:rPr>
            </w:pPr>
          </w:p>
        </w:tc>
      </w:tr>
      <w:tr w:rsidR="00AE6F90" w:rsidRPr="008F16FC" w14:paraId="3A9CBF3E" w14:textId="77777777" w:rsidTr="008F16FC">
        <w:trPr>
          <w:trHeight w:val="270"/>
        </w:trPr>
        <w:tc>
          <w:tcPr>
            <w:tcW w:w="3953" w:type="dxa"/>
            <w:tcBorders>
              <w:top w:val="single" w:sz="8" w:space="0" w:color="auto"/>
              <w:left w:val="single" w:sz="8" w:space="0" w:color="auto"/>
              <w:bottom w:val="single" w:sz="8" w:space="0" w:color="auto"/>
              <w:right w:val="nil"/>
            </w:tcBorders>
            <w:shd w:val="clear" w:color="auto" w:fill="auto"/>
            <w:noWrap/>
            <w:vAlign w:val="bottom"/>
            <w:hideMark/>
          </w:tcPr>
          <w:p w14:paraId="2DF7FE56" w14:textId="77777777" w:rsidR="008F16FC" w:rsidRPr="008F16FC" w:rsidRDefault="008F16FC" w:rsidP="008F16FC">
            <w:pPr>
              <w:rPr>
                <w:b/>
                <w:bCs/>
                <w:color w:val="000000"/>
                <w:sz w:val="20"/>
                <w:szCs w:val="20"/>
              </w:rPr>
            </w:pPr>
            <w:r w:rsidRPr="008F16FC">
              <w:rPr>
                <w:b/>
                <w:bCs/>
                <w:color w:val="000000"/>
                <w:sz w:val="20"/>
                <w:szCs w:val="20"/>
              </w:rPr>
              <w:t>TOTAL PASIVO</w:t>
            </w:r>
          </w:p>
        </w:tc>
        <w:tc>
          <w:tcPr>
            <w:tcW w:w="1340" w:type="dxa"/>
            <w:tcBorders>
              <w:top w:val="single" w:sz="8" w:space="0" w:color="auto"/>
              <w:left w:val="nil"/>
              <w:bottom w:val="single" w:sz="8" w:space="0" w:color="auto"/>
              <w:right w:val="nil"/>
            </w:tcBorders>
            <w:shd w:val="clear" w:color="auto" w:fill="auto"/>
            <w:noWrap/>
            <w:vAlign w:val="bottom"/>
            <w:hideMark/>
          </w:tcPr>
          <w:p w14:paraId="1DE4F96B" w14:textId="77777777" w:rsidR="008F16FC" w:rsidRPr="008F16FC" w:rsidRDefault="008F16FC" w:rsidP="008F16FC">
            <w:pPr>
              <w:rPr>
                <w:b/>
                <w:bCs/>
                <w:color w:val="000000"/>
                <w:sz w:val="20"/>
                <w:szCs w:val="20"/>
              </w:rPr>
            </w:pPr>
            <w:r w:rsidRPr="008F16FC">
              <w:rPr>
                <w:b/>
                <w:bCs/>
                <w:color w:val="000000"/>
                <w:sz w:val="20"/>
                <w:szCs w:val="20"/>
              </w:rPr>
              <w:t xml:space="preserve">     7.679.069 </w:t>
            </w:r>
          </w:p>
        </w:tc>
        <w:tc>
          <w:tcPr>
            <w:tcW w:w="1340" w:type="dxa"/>
            <w:tcBorders>
              <w:top w:val="single" w:sz="8" w:space="0" w:color="auto"/>
              <w:left w:val="nil"/>
              <w:bottom w:val="single" w:sz="8" w:space="0" w:color="auto"/>
              <w:right w:val="nil"/>
            </w:tcBorders>
            <w:shd w:val="clear" w:color="auto" w:fill="auto"/>
            <w:noWrap/>
            <w:vAlign w:val="bottom"/>
            <w:hideMark/>
          </w:tcPr>
          <w:p w14:paraId="74413EFB" w14:textId="77777777" w:rsidR="008F16FC" w:rsidRPr="008F16FC" w:rsidRDefault="008F16FC" w:rsidP="008F16FC">
            <w:pPr>
              <w:rPr>
                <w:b/>
                <w:bCs/>
                <w:color w:val="000000"/>
                <w:sz w:val="20"/>
                <w:szCs w:val="20"/>
              </w:rPr>
            </w:pPr>
            <w:r w:rsidRPr="008F16FC">
              <w:rPr>
                <w:b/>
                <w:bCs/>
                <w:color w:val="000000"/>
                <w:sz w:val="20"/>
                <w:szCs w:val="20"/>
              </w:rPr>
              <w:t xml:space="preserve">     9.733.965 </w:t>
            </w:r>
          </w:p>
        </w:tc>
        <w:tc>
          <w:tcPr>
            <w:tcW w:w="1287" w:type="dxa"/>
            <w:tcBorders>
              <w:top w:val="single" w:sz="8" w:space="0" w:color="auto"/>
              <w:left w:val="nil"/>
              <w:bottom w:val="single" w:sz="8" w:space="0" w:color="auto"/>
              <w:right w:val="nil"/>
            </w:tcBorders>
            <w:shd w:val="clear" w:color="auto" w:fill="auto"/>
            <w:noWrap/>
            <w:vAlign w:val="bottom"/>
            <w:hideMark/>
          </w:tcPr>
          <w:p w14:paraId="061A1D78" w14:textId="77777777" w:rsidR="008F16FC" w:rsidRPr="008F16FC" w:rsidRDefault="008F16FC" w:rsidP="008F16FC">
            <w:pPr>
              <w:rPr>
                <w:b/>
                <w:bCs/>
                <w:color w:val="000000"/>
                <w:sz w:val="20"/>
                <w:szCs w:val="20"/>
              </w:rPr>
            </w:pPr>
            <w:r w:rsidRPr="008F16FC">
              <w:rPr>
                <w:b/>
                <w:bCs/>
                <w:color w:val="000000"/>
                <w:sz w:val="20"/>
                <w:szCs w:val="20"/>
              </w:rPr>
              <w:t xml:space="preserve">    -2.054.896 </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32E948DB" w14:textId="77777777" w:rsidR="008F16FC" w:rsidRPr="008F16FC" w:rsidRDefault="008F16FC" w:rsidP="008F16FC">
            <w:pPr>
              <w:jc w:val="center"/>
              <w:rPr>
                <w:b/>
                <w:bCs/>
                <w:color w:val="000000"/>
                <w:sz w:val="20"/>
                <w:szCs w:val="20"/>
              </w:rPr>
            </w:pPr>
            <w:r w:rsidRPr="008F16FC">
              <w:rPr>
                <w:b/>
                <w:bCs/>
                <w:color w:val="000000"/>
                <w:sz w:val="20"/>
                <w:szCs w:val="20"/>
              </w:rPr>
              <w:t>-21%</w:t>
            </w:r>
          </w:p>
        </w:tc>
      </w:tr>
      <w:tr w:rsidR="008F16FC" w:rsidRPr="008F16FC" w14:paraId="065D0D8D" w14:textId="77777777" w:rsidTr="00BA304B">
        <w:trPr>
          <w:trHeight w:val="270"/>
        </w:trPr>
        <w:tc>
          <w:tcPr>
            <w:tcW w:w="3953" w:type="dxa"/>
            <w:tcBorders>
              <w:top w:val="nil"/>
              <w:left w:val="nil"/>
              <w:bottom w:val="nil"/>
              <w:right w:val="nil"/>
            </w:tcBorders>
            <w:shd w:val="clear" w:color="auto" w:fill="auto"/>
            <w:noWrap/>
            <w:vAlign w:val="bottom"/>
            <w:hideMark/>
          </w:tcPr>
          <w:p w14:paraId="2A618484"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7A25915E"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0E46C60D" w14:textId="77777777" w:rsidR="008F16FC" w:rsidRPr="008F16FC" w:rsidRDefault="008F16FC" w:rsidP="008F16FC">
            <w:pPr>
              <w:rPr>
                <w:color w:val="000000"/>
                <w:sz w:val="20"/>
                <w:szCs w:val="20"/>
              </w:rPr>
            </w:pPr>
          </w:p>
        </w:tc>
        <w:tc>
          <w:tcPr>
            <w:tcW w:w="1287" w:type="dxa"/>
            <w:tcBorders>
              <w:top w:val="nil"/>
              <w:left w:val="nil"/>
              <w:bottom w:val="nil"/>
              <w:right w:val="nil"/>
            </w:tcBorders>
            <w:shd w:val="clear" w:color="auto" w:fill="auto"/>
            <w:noWrap/>
            <w:vAlign w:val="bottom"/>
            <w:hideMark/>
          </w:tcPr>
          <w:p w14:paraId="4C28A0C9"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4DAD2479" w14:textId="77777777" w:rsidR="008F16FC" w:rsidRPr="008F16FC" w:rsidRDefault="008F16FC" w:rsidP="008F16FC">
            <w:pPr>
              <w:jc w:val="center"/>
              <w:rPr>
                <w:color w:val="000000"/>
                <w:sz w:val="20"/>
                <w:szCs w:val="20"/>
              </w:rPr>
            </w:pPr>
          </w:p>
        </w:tc>
      </w:tr>
      <w:tr w:rsidR="00AE6F90" w:rsidRPr="008F16FC" w14:paraId="404CCE89" w14:textId="77777777" w:rsidTr="008F16FC">
        <w:trPr>
          <w:trHeight w:val="270"/>
        </w:trPr>
        <w:tc>
          <w:tcPr>
            <w:tcW w:w="3953" w:type="dxa"/>
            <w:tcBorders>
              <w:top w:val="single" w:sz="8" w:space="0" w:color="auto"/>
              <w:left w:val="single" w:sz="8" w:space="0" w:color="auto"/>
              <w:bottom w:val="single" w:sz="8" w:space="0" w:color="auto"/>
              <w:right w:val="nil"/>
            </w:tcBorders>
            <w:shd w:val="clear" w:color="auto" w:fill="auto"/>
            <w:noWrap/>
            <w:vAlign w:val="bottom"/>
            <w:hideMark/>
          </w:tcPr>
          <w:p w14:paraId="3ADD9AA9" w14:textId="77777777" w:rsidR="008F16FC" w:rsidRPr="008F16FC" w:rsidRDefault="008F16FC" w:rsidP="008F16FC">
            <w:pPr>
              <w:rPr>
                <w:b/>
                <w:bCs/>
                <w:color w:val="000000"/>
                <w:sz w:val="20"/>
                <w:szCs w:val="20"/>
              </w:rPr>
            </w:pPr>
            <w:r w:rsidRPr="008F16FC">
              <w:rPr>
                <w:b/>
                <w:bCs/>
                <w:color w:val="000000"/>
                <w:sz w:val="20"/>
                <w:szCs w:val="20"/>
              </w:rPr>
              <w:t xml:space="preserve">PATRIMONIO NETO </w:t>
            </w:r>
            <w:r w:rsidRPr="008F16FC">
              <w:rPr>
                <w:b/>
                <w:bCs/>
                <w:i/>
                <w:iCs/>
                <w:color w:val="000000"/>
                <w:sz w:val="20"/>
                <w:szCs w:val="20"/>
              </w:rPr>
              <w:t>(13)</w:t>
            </w:r>
          </w:p>
        </w:tc>
        <w:tc>
          <w:tcPr>
            <w:tcW w:w="1340" w:type="dxa"/>
            <w:tcBorders>
              <w:top w:val="single" w:sz="8" w:space="0" w:color="auto"/>
              <w:left w:val="nil"/>
              <w:bottom w:val="single" w:sz="8" w:space="0" w:color="auto"/>
              <w:right w:val="nil"/>
            </w:tcBorders>
            <w:shd w:val="clear" w:color="auto" w:fill="auto"/>
            <w:noWrap/>
            <w:vAlign w:val="bottom"/>
            <w:hideMark/>
          </w:tcPr>
          <w:p w14:paraId="62832753" w14:textId="77777777" w:rsidR="008F16FC" w:rsidRPr="008F16FC" w:rsidRDefault="008F16FC" w:rsidP="008F16FC">
            <w:pPr>
              <w:rPr>
                <w:b/>
                <w:bCs/>
                <w:color w:val="000000"/>
                <w:sz w:val="20"/>
                <w:szCs w:val="20"/>
              </w:rPr>
            </w:pPr>
            <w:r w:rsidRPr="008F16FC">
              <w:rPr>
                <w:b/>
                <w:bCs/>
                <w:color w:val="000000"/>
                <w:sz w:val="20"/>
                <w:szCs w:val="20"/>
              </w:rPr>
              <w:t xml:space="preserve">     2.514.905 </w:t>
            </w:r>
          </w:p>
        </w:tc>
        <w:tc>
          <w:tcPr>
            <w:tcW w:w="1340" w:type="dxa"/>
            <w:tcBorders>
              <w:top w:val="single" w:sz="8" w:space="0" w:color="auto"/>
              <w:left w:val="nil"/>
              <w:bottom w:val="single" w:sz="8" w:space="0" w:color="auto"/>
              <w:right w:val="nil"/>
            </w:tcBorders>
            <w:shd w:val="clear" w:color="auto" w:fill="auto"/>
            <w:noWrap/>
            <w:vAlign w:val="bottom"/>
            <w:hideMark/>
          </w:tcPr>
          <w:p w14:paraId="5C888480" w14:textId="77777777" w:rsidR="008F16FC" w:rsidRPr="008F16FC" w:rsidRDefault="008F16FC" w:rsidP="008F16FC">
            <w:pPr>
              <w:rPr>
                <w:b/>
                <w:bCs/>
                <w:color w:val="000000"/>
                <w:sz w:val="20"/>
                <w:szCs w:val="20"/>
              </w:rPr>
            </w:pPr>
            <w:r w:rsidRPr="008F16FC">
              <w:rPr>
                <w:b/>
                <w:bCs/>
                <w:color w:val="000000"/>
                <w:sz w:val="20"/>
                <w:szCs w:val="20"/>
              </w:rPr>
              <w:t xml:space="preserve">     2.452.808 </w:t>
            </w:r>
          </w:p>
        </w:tc>
        <w:tc>
          <w:tcPr>
            <w:tcW w:w="1287" w:type="dxa"/>
            <w:tcBorders>
              <w:top w:val="single" w:sz="8" w:space="0" w:color="auto"/>
              <w:left w:val="nil"/>
              <w:bottom w:val="single" w:sz="8" w:space="0" w:color="auto"/>
              <w:right w:val="nil"/>
            </w:tcBorders>
            <w:shd w:val="clear" w:color="auto" w:fill="auto"/>
            <w:noWrap/>
            <w:vAlign w:val="bottom"/>
            <w:hideMark/>
          </w:tcPr>
          <w:p w14:paraId="7C500B2C" w14:textId="77777777" w:rsidR="008F16FC" w:rsidRPr="008F16FC" w:rsidRDefault="008F16FC" w:rsidP="008F16FC">
            <w:pPr>
              <w:rPr>
                <w:b/>
                <w:bCs/>
                <w:color w:val="000000"/>
                <w:sz w:val="20"/>
                <w:szCs w:val="20"/>
              </w:rPr>
            </w:pPr>
            <w:r w:rsidRPr="008F16FC">
              <w:rPr>
                <w:b/>
                <w:bCs/>
                <w:color w:val="000000"/>
                <w:sz w:val="20"/>
                <w:szCs w:val="20"/>
              </w:rPr>
              <w:t xml:space="preserve">          62.097 </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25C98DAC" w14:textId="77777777" w:rsidR="008F16FC" w:rsidRPr="008F16FC" w:rsidRDefault="008F16FC" w:rsidP="008F16FC">
            <w:pPr>
              <w:jc w:val="center"/>
              <w:rPr>
                <w:b/>
                <w:bCs/>
                <w:color w:val="000000"/>
                <w:sz w:val="20"/>
                <w:szCs w:val="20"/>
              </w:rPr>
            </w:pPr>
            <w:r w:rsidRPr="008F16FC">
              <w:rPr>
                <w:b/>
                <w:bCs/>
                <w:color w:val="000000"/>
                <w:sz w:val="20"/>
                <w:szCs w:val="20"/>
              </w:rPr>
              <w:t>3%</w:t>
            </w:r>
          </w:p>
        </w:tc>
      </w:tr>
      <w:tr w:rsidR="008F16FC" w:rsidRPr="008F16FC" w14:paraId="345A9B43" w14:textId="77777777" w:rsidTr="00BA304B">
        <w:trPr>
          <w:trHeight w:val="270"/>
        </w:trPr>
        <w:tc>
          <w:tcPr>
            <w:tcW w:w="3953" w:type="dxa"/>
            <w:tcBorders>
              <w:top w:val="nil"/>
              <w:left w:val="nil"/>
              <w:bottom w:val="nil"/>
              <w:right w:val="nil"/>
            </w:tcBorders>
            <w:shd w:val="clear" w:color="auto" w:fill="auto"/>
            <w:noWrap/>
            <w:vAlign w:val="bottom"/>
            <w:hideMark/>
          </w:tcPr>
          <w:p w14:paraId="5D9C2972"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4AEEE5C9"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49F23506" w14:textId="77777777" w:rsidR="008F16FC" w:rsidRPr="008F16FC" w:rsidRDefault="008F16FC" w:rsidP="008F16FC">
            <w:pPr>
              <w:rPr>
                <w:color w:val="000000"/>
                <w:sz w:val="20"/>
                <w:szCs w:val="20"/>
              </w:rPr>
            </w:pPr>
          </w:p>
        </w:tc>
        <w:tc>
          <w:tcPr>
            <w:tcW w:w="1287" w:type="dxa"/>
            <w:tcBorders>
              <w:top w:val="nil"/>
              <w:left w:val="nil"/>
              <w:bottom w:val="nil"/>
              <w:right w:val="nil"/>
            </w:tcBorders>
            <w:shd w:val="clear" w:color="auto" w:fill="auto"/>
            <w:noWrap/>
            <w:vAlign w:val="bottom"/>
            <w:hideMark/>
          </w:tcPr>
          <w:p w14:paraId="6BE8FB52"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63FE7851" w14:textId="77777777" w:rsidR="008F16FC" w:rsidRPr="008F16FC" w:rsidRDefault="008F16FC" w:rsidP="008F16FC">
            <w:pPr>
              <w:jc w:val="center"/>
              <w:rPr>
                <w:color w:val="000000"/>
                <w:sz w:val="20"/>
                <w:szCs w:val="20"/>
              </w:rPr>
            </w:pPr>
          </w:p>
        </w:tc>
      </w:tr>
      <w:tr w:rsidR="00AE6F90" w:rsidRPr="008F16FC" w14:paraId="14C2E83F" w14:textId="77777777" w:rsidTr="008F16FC">
        <w:trPr>
          <w:trHeight w:val="270"/>
        </w:trPr>
        <w:tc>
          <w:tcPr>
            <w:tcW w:w="3953" w:type="dxa"/>
            <w:tcBorders>
              <w:top w:val="single" w:sz="8" w:space="0" w:color="auto"/>
              <w:left w:val="single" w:sz="8" w:space="0" w:color="auto"/>
              <w:bottom w:val="single" w:sz="8" w:space="0" w:color="auto"/>
              <w:right w:val="nil"/>
            </w:tcBorders>
            <w:shd w:val="clear" w:color="auto" w:fill="auto"/>
            <w:noWrap/>
            <w:vAlign w:val="bottom"/>
            <w:hideMark/>
          </w:tcPr>
          <w:p w14:paraId="13031908" w14:textId="77777777" w:rsidR="008F16FC" w:rsidRPr="008F16FC" w:rsidRDefault="008F16FC" w:rsidP="008F16FC">
            <w:pPr>
              <w:rPr>
                <w:b/>
                <w:bCs/>
                <w:color w:val="000000"/>
                <w:sz w:val="20"/>
                <w:szCs w:val="20"/>
                <w:lang w:val="es-ES"/>
              </w:rPr>
            </w:pPr>
            <w:r w:rsidRPr="008F16FC">
              <w:rPr>
                <w:b/>
                <w:bCs/>
                <w:color w:val="000000"/>
                <w:sz w:val="20"/>
                <w:szCs w:val="20"/>
                <w:lang w:val="es-ES"/>
              </w:rPr>
              <w:t>TOTAL PASIVO MAS PATRIMONIO NETO</w:t>
            </w:r>
          </w:p>
        </w:tc>
        <w:tc>
          <w:tcPr>
            <w:tcW w:w="1340" w:type="dxa"/>
            <w:tcBorders>
              <w:top w:val="single" w:sz="8" w:space="0" w:color="auto"/>
              <w:left w:val="nil"/>
              <w:bottom w:val="single" w:sz="8" w:space="0" w:color="auto"/>
              <w:right w:val="nil"/>
            </w:tcBorders>
            <w:shd w:val="clear" w:color="auto" w:fill="auto"/>
            <w:noWrap/>
            <w:vAlign w:val="bottom"/>
            <w:hideMark/>
          </w:tcPr>
          <w:p w14:paraId="78E40A84" w14:textId="77777777" w:rsidR="008F16FC" w:rsidRPr="008F16FC" w:rsidRDefault="008F16FC" w:rsidP="008F16FC">
            <w:pPr>
              <w:rPr>
                <w:b/>
                <w:bCs/>
                <w:color w:val="000000"/>
                <w:sz w:val="20"/>
                <w:szCs w:val="20"/>
              </w:rPr>
            </w:pPr>
            <w:r w:rsidRPr="008F16FC">
              <w:rPr>
                <w:b/>
                <w:bCs/>
                <w:color w:val="000000"/>
                <w:sz w:val="20"/>
                <w:szCs w:val="20"/>
                <w:lang w:val="es-ES"/>
              </w:rPr>
              <w:t xml:space="preserve">    </w:t>
            </w:r>
            <w:r w:rsidRPr="008F16FC">
              <w:rPr>
                <w:b/>
                <w:bCs/>
                <w:color w:val="000000"/>
                <w:sz w:val="20"/>
                <w:szCs w:val="20"/>
              </w:rPr>
              <w:t xml:space="preserve">10.193.974 </w:t>
            </w:r>
          </w:p>
        </w:tc>
        <w:tc>
          <w:tcPr>
            <w:tcW w:w="1340" w:type="dxa"/>
            <w:tcBorders>
              <w:top w:val="single" w:sz="8" w:space="0" w:color="auto"/>
              <w:left w:val="nil"/>
              <w:bottom w:val="single" w:sz="8" w:space="0" w:color="auto"/>
              <w:right w:val="nil"/>
            </w:tcBorders>
            <w:shd w:val="clear" w:color="auto" w:fill="auto"/>
            <w:noWrap/>
            <w:vAlign w:val="bottom"/>
            <w:hideMark/>
          </w:tcPr>
          <w:p w14:paraId="5F745626" w14:textId="77777777" w:rsidR="008F16FC" w:rsidRPr="008F16FC" w:rsidRDefault="008F16FC" w:rsidP="008F16FC">
            <w:pPr>
              <w:rPr>
                <w:b/>
                <w:bCs/>
                <w:color w:val="000000"/>
                <w:sz w:val="20"/>
                <w:szCs w:val="20"/>
              </w:rPr>
            </w:pPr>
            <w:r w:rsidRPr="008F16FC">
              <w:rPr>
                <w:b/>
                <w:bCs/>
                <w:color w:val="000000"/>
                <w:sz w:val="20"/>
                <w:szCs w:val="20"/>
              </w:rPr>
              <w:t xml:space="preserve">    12.186.772 </w:t>
            </w:r>
          </w:p>
        </w:tc>
        <w:tc>
          <w:tcPr>
            <w:tcW w:w="1287" w:type="dxa"/>
            <w:tcBorders>
              <w:top w:val="single" w:sz="8" w:space="0" w:color="auto"/>
              <w:left w:val="nil"/>
              <w:bottom w:val="single" w:sz="8" w:space="0" w:color="auto"/>
              <w:right w:val="nil"/>
            </w:tcBorders>
            <w:shd w:val="clear" w:color="auto" w:fill="auto"/>
            <w:noWrap/>
            <w:vAlign w:val="bottom"/>
            <w:hideMark/>
          </w:tcPr>
          <w:p w14:paraId="0D19D4BD" w14:textId="77777777" w:rsidR="008F16FC" w:rsidRPr="008F16FC" w:rsidRDefault="008F16FC" w:rsidP="008F16FC">
            <w:pPr>
              <w:rPr>
                <w:b/>
                <w:bCs/>
                <w:color w:val="000000"/>
                <w:sz w:val="20"/>
                <w:szCs w:val="20"/>
              </w:rPr>
            </w:pPr>
            <w:r w:rsidRPr="008F16FC">
              <w:rPr>
                <w:b/>
                <w:bCs/>
                <w:color w:val="000000"/>
                <w:sz w:val="20"/>
                <w:szCs w:val="20"/>
              </w:rPr>
              <w:t xml:space="preserve">    -1.992.799 </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3302FD79" w14:textId="77777777" w:rsidR="008F16FC" w:rsidRPr="008F16FC" w:rsidRDefault="008F16FC" w:rsidP="008F16FC">
            <w:pPr>
              <w:jc w:val="center"/>
              <w:rPr>
                <w:b/>
                <w:bCs/>
                <w:color w:val="000000"/>
                <w:sz w:val="20"/>
                <w:szCs w:val="20"/>
              </w:rPr>
            </w:pPr>
            <w:r w:rsidRPr="008F16FC">
              <w:rPr>
                <w:b/>
                <w:bCs/>
                <w:color w:val="000000"/>
                <w:sz w:val="20"/>
                <w:szCs w:val="20"/>
              </w:rPr>
              <w:t>-16%</w:t>
            </w:r>
          </w:p>
        </w:tc>
      </w:tr>
    </w:tbl>
    <w:p w14:paraId="145471D6" w14:textId="77777777" w:rsidR="008F16FC" w:rsidRPr="008F16FC" w:rsidRDefault="008F16FC" w:rsidP="008F16FC">
      <w:pPr>
        <w:jc w:val="both"/>
        <w:rPr>
          <w:rFonts w:eastAsia="Calibri"/>
          <w:sz w:val="20"/>
          <w:szCs w:val="20"/>
          <w:lang w:val="es-MX"/>
        </w:rPr>
      </w:pPr>
    </w:p>
    <w:p w14:paraId="3C957CEA" w14:textId="77777777" w:rsidR="008F16FC" w:rsidRPr="008F16FC" w:rsidRDefault="008F16FC" w:rsidP="008F16FC">
      <w:pPr>
        <w:jc w:val="both"/>
        <w:rPr>
          <w:rFonts w:eastAsia="Calibri"/>
          <w:sz w:val="20"/>
          <w:szCs w:val="20"/>
          <w:lang w:val="es-MX"/>
        </w:rPr>
      </w:pPr>
      <w:r w:rsidRPr="008F16FC">
        <w:rPr>
          <w:rFonts w:eastAsia="Calibri"/>
          <w:sz w:val="20"/>
          <w:szCs w:val="20"/>
          <w:lang w:val="es-MX"/>
        </w:rPr>
        <w:t>A continuación, se muestran las variaciones entre los rubros patrimoniales al 30 de septiembre de 2019 con respecto al 30 de junio de 2019, con sus correspondientes explicaciones:</w:t>
      </w:r>
    </w:p>
    <w:p w14:paraId="4DE5E038" w14:textId="77777777" w:rsidR="008F16FC" w:rsidRPr="008F16FC" w:rsidRDefault="008F16FC" w:rsidP="008F16FC">
      <w:pPr>
        <w:jc w:val="both"/>
        <w:rPr>
          <w:rFonts w:eastAsia="Calibri"/>
          <w:sz w:val="20"/>
          <w:szCs w:val="20"/>
          <w:lang w:val="es-MX"/>
        </w:rPr>
      </w:pPr>
    </w:p>
    <w:tbl>
      <w:tblPr>
        <w:tblW w:w="9260" w:type="dxa"/>
        <w:tblInd w:w="55" w:type="dxa"/>
        <w:tblCellMar>
          <w:left w:w="70" w:type="dxa"/>
          <w:right w:w="70" w:type="dxa"/>
        </w:tblCellMar>
        <w:tblLook w:val="04A0" w:firstRow="1" w:lastRow="0" w:firstColumn="1" w:lastColumn="0" w:noHBand="0" w:noVBand="1"/>
      </w:tblPr>
      <w:tblGrid>
        <w:gridCol w:w="3953"/>
        <w:gridCol w:w="1340"/>
        <w:gridCol w:w="1340"/>
        <w:gridCol w:w="1287"/>
        <w:gridCol w:w="1340"/>
      </w:tblGrid>
      <w:tr w:rsidR="008F16FC" w:rsidRPr="008F16FC" w14:paraId="181AC4CB" w14:textId="77777777" w:rsidTr="008F16FC">
        <w:trPr>
          <w:trHeight w:val="525"/>
        </w:trPr>
        <w:tc>
          <w:tcPr>
            <w:tcW w:w="395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6D79B90" w14:textId="77777777" w:rsidR="008F16FC" w:rsidRPr="008F16FC" w:rsidRDefault="008F16FC" w:rsidP="008F16FC">
            <w:pPr>
              <w:jc w:val="center"/>
              <w:rPr>
                <w:b/>
                <w:bCs/>
                <w:color w:val="000000"/>
                <w:sz w:val="20"/>
                <w:szCs w:val="20"/>
                <w:lang w:val="es-ES"/>
              </w:rPr>
            </w:pPr>
            <w:r w:rsidRPr="008F16FC">
              <w:rPr>
                <w:b/>
                <w:bCs/>
                <w:color w:val="000000"/>
                <w:sz w:val="20"/>
                <w:szCs w:val="20"/>
                <w:lang w:val="es-ES"/>
              </w:rPr>
              <w:t>Estado de situación patrimonial - Consolidado</w:t>
            </w:r>
          </w:p>
        </w:tc>
        <w:tc>
          <w:tcPr>
            <w:tcW w:w="1340" w:type="dxa"/>
            <w:tcBorders>
              <w:top w:val="single" w:sz="8" w:space="0" w:color="auto"/>
              <w:left w:val="nil"/>
              <w:bottom w:val="single" w:sz="8" w:space="0" w:color="auto"/>
              <w:right w:val="single" w:sz="4" w:space="0" w:color="auto"/>
            </w:tcBorders>
            <w:shd w:val="clear" w:color="auto" w:fill="auto"/>
            <w:noWrap/>
            <w:vAlign w:val="center"/>
            <w:hideMark/>
          </w:tcPr>
          <w:p w14:paraId="1877A746" w14:textId="77777777" w:rsidR="008F16FC" w:rsidRPr="008F16FC" w:rsidRDefault="008F16FC" w:rsidP="008F16FC">
            <w:pPr>
              <w:jc w:val="center"/>
              <w:rPr>
                <w:b/>
                <w:bCs/>
                <w:color w:val="000000"/>
                <w:sz w:val="20"/>
                <w:szCs w:val="20"/>
              </w:rPr>
            </w:pPr>
            <w:r w:rsidRPr="008F16FC">
              <w:rPr>
                <w:b/>
                <w:bCs/>
                <w:color w:val="000000"/>
                <w:sz w:val="20"/>
                <w:szCs w:val="20"/>
              </w:rPr>
              <w:t>30 de septiembre de 2019</w:t>
            </w:r>
          </w:p>
        </w:tc>
        <w:tc>
          <w:tcPr>
            <w:tcW w:w="1340" w:type="dxa"/>
            <w:tcBorders>
              <w:top w:val="single" w:sz="8" w:space="0" w:color="auto"/>
              <w:left w:val="nil"/>
              <w:bottom w:val="single" w:sz="8" w:space="0" w:color="auto"/>
              <w:right w:val="single" w:sz="4" w:space="0" w:color="auto"/>
            </w:tcBorders>
            <w:vAlign w:val="center"/>
          </w:tcPr>
          <w:p w14:paraId="4158F89A" w14:textId="77777777" w:rsidR="008F16FC" w:rsidRPr="008F16FC" w:rsidRDefault="008F16FC" w:rsidP="008F16FC">
            <w:pPr>
              <w:jc w:val="center"/>
              <w:rPr>
                <w:b/>
                <w:bCs/>
                <w:color w:val="000000"/>
                <w:sz w:val="20"/>
                <w:szCs w:val="20"/>
              </w:rPr>
            </w:pPr>
            <w:r w:rsidRPr="008F16FC">
              <w:rPr>
                <w:b/>
                <w:bCs/>
                <w:color w:val="000000"/>
                <w:sz w:val="20"/>
                <w:szCs w:val="20"/>
              </w:rPr>
              <w:t xml:space="preserve">30 de junio de 2019 </w:t>
            </w:r>
          </w:p>
        </w:tc>
        <w:tc>
          <w:tcPr>
            <w:tcW w:w="1287"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D46136D" w14:textId="77777777" w:rsidR="008F16FC" w:rsidRPr="008F16FC" w:rsidRDefault="008F16FC" w:rsidP="008F16FC">
            <w:pPr>
              <w:jc w:val="center"/>
              <w:rPr>
                <w:b/>
                <w:bCs/>
                <w:color w:val="000000"/>
                <w:sz w:val="20"/>
                <w:szCs w:val="20"/>
              </w:rPr>
            </w:pPr>
            <w:r w:rsidRPr="008F16FC">
              <w:rPr>
                <w:b/>
                <w:bCs/>
                <w:color w:val="000000"/>
                <w:sz w:val="20"/>
                <w:szCs w:val="20"/>
              </w:rPr>
              <w:t>Variación Absoluta</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5463EA27" w14:textId="77777777" w:rsidR="008F16FC" w:rsidRPr="008F16FC" w:rsidRDefault="008F16FC" w:rsidP="008F16FC">
            <w:pPr>
              <w:jc w:val="center"/>
              <w:rPr>
                <w:b/>
                <w:bCs/>
                <w:color w:val="000000"/>
                <w:sz w:val="20"/>
                <w:szCs w:val="20"/>
              </w:rPr>
            </w:pPr>
            <w:r w:rsidRPr="008F16FC">
              <w:rPr>
                <w:b/>
                <w:bCs/>
                <w:color w:val="000000"/>
                <w:sz w:val="20"/>
                <w:szCs w:val="20"/>
              </w:rPr>
              <w:t>Porcentual</w:t>
            </w:r>
          </w:p>
        </w:tc>
      </w:tr>
      <w:tr w:rsidR="008F16FC" w:rsidRPr="008F16FC" w14:paraId="07E25F0B" w14:textId="77777777" w:rsidTr="008F16FC">
        <w:trPr>
          <w:trHeight w:val="75"/>
        </w:trPr>
        <w:tc>
          <w:tcPr>
            <w:tcW w:w="3953" w:type="dxa"/>
            <w:tcBorders>
              <w:top w:val="nil"/>
              <w:left w:val="nil"/>
              <w:bottom w:val="nil"/>
              <w:right w:val="nil"/>
            </w:tcBorders>
            <w:shd w:val="clear" w:color="auto" w:fill="auto"/>
            <w:noWrap/>
            <w:vAlign w:val="bottom"/>
            <w:hideMark/>
          </w:tcPr>
          <w:p w14:paraId="55FC656E"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center"/>
            <w:hideMark/>
          </w:tcPr>
          <w:p w14:paraId="4ECC03F4" w14:textId="77777777" w:rsidR="008F16FC" w:rsidRPr="008F16FC" w:rsidRDefault="008F16FC" w:rsidP="008F16FC">
            <w:pPr>
              <w:jc w:val="center"/>
              <w:rPr>
                <w:b/>
                <w:bCs/>
                <w:color w:val="000000"/>
                <w:sz w:val="20"/>
                <w:szCs w:val="20"/>
              </w:rPr>
            </w:pPr>
          </w:p>
        </w:tc>
        <w:tc>
          <w:tcPr>
            <w:tcW w:w="1340" w:type="dxa"/>
            <w:tcBorders>
              <w:top w:val="single" w:sz="8" w:space="0" w:color="auto"/>
              <w:left w:val="nil"/>
              <w:bottom w:val="nil"/>
              <w:right w:val="single" w:sz="4" w:space="0" w:color="auto"/>
            </w:tcBorders>
            <w:vAlign w:val="center"/>
          </w:tcPr>
          <w:p w14:paraId="03C07D10" w14:textId="77777777" w:rsidR="008F16FC" w:rsidRPr="008F16FC" w:rsidRDefault="008F16FC" w:rsidP="008F16FC">
            <w:pPr>
              <w:jc w:val="center"/>
              <w:rPr>
                <w:b/>
                <w:bCs/>
                <w:color w:val="000000"/>
                <w:sz w:val="20"/>
                <w:szCs w:val="20"/>
              </w:rPr>
            </w:pPr>
          </w:p>
        </w:tc>
        <w:tc>
          <w:tcPr>
            <w:tcW w:w="1287" w:type="dxa"/>
            <w:tcBorders>
              <w:top w:val="nil"/>
              <w:left w:val="single" w:sz="4" w:space="0" w:color="auto"/>
              <w:bottom w:val="nil"/>
              <w:right w:val="nil"/>
            </w:tcBorders>
            <w:shd w:val="clear" w:color="auto" w:fill="auto"/>
            <w:vAlign w:val="center"/>
            <w:hideMark/>
          </w:tcPr>
          <w:p w14:paraId="0A8A84FD" w14:textId="77777777" w:rsidR="008F16FC" w:rsidRPr="008F16FC" w:rsidRDefault="008F16FC" w:rsidP="008F16FC">
            <w:pPr>
              <w:jc w:val="center"/>
              <w:rPr>
                <w:color w:val="000000"/>
                <w:sz w:val="20"/>
                <w:szCs w:val="20"/>
              </w:rPr>
            </w:pPr>
          </w:p>
        </w:tc>
        <w:tc>
          <w:tcPr>
            <w:tcW w:w="1340" w:type="dxa"/>
            <w:tcBorders>
              <w:top w:val="nil"/>
              <w:left w:val="nil"/>
              <w:bottom w:val="nil"/>
              <w:right w:val="nil"/>
            </w:tcBorders>
            <w:shd w:val="clear" w:color="auto" w:fill="auto"/>
            <w:noWrap/>
            <w:vAlign w:val="center"/>
            <w:hideMark/>
          </w:tcPr>
          <w:p w14:paraId="7F1C9DE5" w14:textId="77777777" w:rsidR="008F16FC" w:rsidRPr="008F16FC" w:rsidRDefault="008F16FC" w:rsidP="008F16FC">
            <w:pPr>
              <w:jc w:val="center"/>
              <w:rPr>
                <w:color w:val="000000"/>
                <w:sz w:val="20"/>
                <w:szCs w:val="20"/>
              </w:rPr>
            </w:pPr>
          </w:p>
        </w:tc>
      </w:tr>
      <w:tr w:rsidR="008F16FC" w:rsidRPr="008F16FC" w14:paraId="6445B897" w14:textId="77777777" w:rsidTr="008F16FC">
        <w:trPr>
          <w:trHeight w:val="255"/>
        </w:trPr>
        <w:tc>
          <w:tcPr>
            <w:tcW w:w="395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264DE6C" w14:textId="77777777" w:rsidR="008F16FC" w:rsidRPr="008F16FC" w:rsidRDefault="008F16FC" w:rsidP="008F16FC">
            <w:pPr>
              <w:rPr>
                <w:b/>
                <w:bCs/>
                <w:color w:val="000000"/>
                <w:sz w:val="20"/>
                <w:szCs w:val="20"/>
                <w:lang w:val="es-ES"/>
              </w:rPr>
            </w:pPr>
            <w:r w:rsidRPr="008F16FC">
              <w:rPr>
                <w:b/>
                <w:bCs/>
                <w:color w:val="000000"/>
                <w:sz w:val="20"/>
                <w:szCs w:val="20"/>
                <w:lang w:val="es-ES"/>
              </w:rPr>
              <w:t xml:space="preserve">Efectivo y equivalentes al efectivo </w:t>
            </w:r>
            <w:r w:rsidRPr="008F16FC">
              <w:rPr>
                <w:b/>
                <w:bCs/>
                <w:i/>
                <w:iCs/>
                <w:color w:val="000000"/>
                <w:sz w:val="20"/>
                <w:szCs w:val="20"/>
                <w:lang w:val="es-ES"/>
              </w:rPr>
              <w:t>(1)</w:t>
            </w:r>
          </w:p>
        </w:tc>
        <w:tc>
          <w:tcPr>
            <w:tcW w:w="1340" w:type="dxa"/>
            <w:tcBorders>
              <w:top w:val="single" w:sz="8" w:space="0" w:color="auto"/>
              <w:left w:val="nil"/>
              <w:bottom w:val="single" w:sz="4" w:space="0" w:color="auto"/>
              <w:right w:val="single" w:sz="4" w:space="0" w:color="auto"/>
            </w:tcBorders>
            <w:shd w:val="clear" w:color="auto" w:fill="auto"/>
            <w:noWrap/>
            <w:vAlign w:val="bottom"/>
          </w:tcPr>
          <w:p w14:paraId="42B59C44" w14:textId="77777777" w:rsidR="008F16FC" w:rsidRPr="008F16FC" w:rsidRDefault="008F16FC" w:rsidP="008F16FC">
            <w:pPr>
              <w:rPr>
                <w:color w:val="000000"/>
                <w:sz w:val="20"/>
                <w:szCs w:val="20"/>
                <w:lang w:val="es-ES"/>
              </w:rPr>
            </w:pPr>
            <w:r w:rsidRPr="008F16FC">
              <w:rPr>
                <w:color w:val="000000"/>
                <w:sz w:val="20"/>
                <w:szCs w:val="20"/>
                <w:lang w:val="es-ES"/>
              </w:rPr>
              <w:t>1.539.688</w:t>
            </w:r>
          </w:p>
        </w:tc>
        <w:tc>
          <w:tcPr>
            <w:tcW w:w="1340" w:type="dxa"/>
            <w:tcBorders>
              <w:top w:val="single" w:sz="8" w:space="0" w:color="auto"/>
              <w:left w:val="nil"/>
              <w:bottom w:val="single" w:sz="4" w:space="0" w:color="auto"/>
              <w:right w:val="single" w:sz="4" w:space="0" w:color="auto"/>
            </w:tcBorders>
            <w:vAlign w:val="bottom"/>
          </w:tcPr>
          <w:p w14:paraId="4C38BE09" w14:textId="77777777" w:rsidR="008F16FC" w:rsidRPr="008F16FC" w:rsidRDefault="008F16FC" w:rsidP="008F16FC">
            <w:pPr>
              <w:rPr>
                <w:color w:val="000000"/>
                <w:sz w:val="20"/>
                <w:szCs w:val="20"/>
                <w:lang w:val="es-MX"/>
              </w:rPr>
            </w:pPr>
            <w:r w:rsidRPr="008F16FC">
              <w:rPr>
                <w:bCs/>
                <w:color w:val="000000"/>
                <w:sz w:val="20"/>
                <w:szCs w:val="20"/>
                <w:lang w:val="es-ES"/>
              </w:rPr>
              <w:t xml:space="preserve">     </w:t>
            </w:r>
            <w:r w:rsidRPr="008F16FC">
              <w:rPr>
                <w:bCs/>
                <w:color w:val="000000"/>
                <w:sz w:val="20"/>
                <w:szCs w:val="20"/>
              </w:rPr>
              <w:t>1.542.882</w:t>
            </w:r>
          </w:p>
        </w:tc>
        <w:tc>
          <w:tcPr>
            <w:tcW w:w="1287" w:type="dxa"/>
            <w:tcBorders>
              <w:top w:val="single" w:sz="8" w:space="0" w:color="auto"/>
              <w:left w:val="single" w:sz="4" w:space="0" w:color="auto"/>
              <w:bottom w:val="single" w:sz="4" w:space="0" w:color="auto"/>
              <w:right w:val="single" w:sz="4" w:space="0" w:color="auto"/>
            </w:tcBorders>
            <w:shd w:val="clear" w:color="auto" w:fill="auto"/>
            <w:noWrap/>
            <w:vAlign w:val="bottom"/>
          </w:tcPr>
          <w:p w14:paraId="37DF373C" w14:textId="77777777" w:rsidR="008F16FC" w:rsidRPr="008F16FC" w:rsidRDefault="008F16FC" w:rsidP="008F16FC">
            <w:pPr>
              <w:jc w:val="right"/>
              <w:rPr>
                <w:color w:val="000000"/>
                <w:sz w:val="20"/>
                <w:szCs w:val="20"/>
                <w:lang w:val="es-MX"/>
              </w:rPr>
            </w:pPr>
            <w:r w:rsidRPr="008F16FC">
              <w:rPr>
                <w:rFonts w:eastAsia="Calibri"/>
                <w:color w:val="000000"/>
                <w:sz w:val="20"/>
                <w:szCs w:val="20"/>
                <w:lang w:val="es-MX"/>
              </w:rPr>
              <w:t>-3.194</w:t>
            </w:r>
          </w:p>
        </w:tc>
        <w:tc>
          <w:tcPr>
            <w:tcW w:w="1340" w:type="dxa"/>
            <w:tcBorders>
              <w:top w:val="single" w:sz="8" w:space="0" w:color="auto"/>
              <w:left w:val="nil"/>
              <w:bottom w:val="single" w:sz="4" w:space="0" w:color="auto"/>
              <w:right w:val="single" w:sz="8" w:space="0" w:color="auto"/>
            </w:tcBorders>
            <w:shd w:val="clear" w:color="auto" w:fill="auto"/>
            <w:noWrap/>
            <w:vAlign w:val="bottom"/>
          </w:tcPr>
          <w:p w14:paraId="0956DC15" w14:textId="77777777" w:rsidR="008F16FC" w:rsidRPr="008F16FC" w:rsidRDefault="008F16FC" w:rsidP="008F16FC">
            <w:pPr>
              <w:jc w:val="center"/>
              <w:rPr>
                <w:color w:val="000000"/>
                <w:sz w:val="20"/>
                <w:szCs w:val="20"/>
                <w:lang w:val="es-MX"/>
              </w:rPr>
            </w:pPr>
            <w:r w:rsidRPr="008F16FC">
              <w:rPr>
                <w:rFonts w:eastAsia="Calibri"/>
                <w:color w:val="000000"/>
                <w:sz w:val="20"/>
                <w:szCs w:val="20"/>
                <w:lang w:val="es-MX"/>
              </w:rPr>
              <w:t>0%</w:t>
            </w:r>
          </w:p>
        </w:tc>
      </w:tr>
      <w:tr w:rsidR="008F16FC" w:rsidRPr="008F16FC" w14:paraId="4746DE2A" w14:textId="77777777" w:rsidTr="008F16FC">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61C76413" w14:textId="77777777" w:rsidR="008F16FC" w:rsidRPr="008F16FC" w:rsidRDefault="008F16FC" w:rsidP="008F16FC">
            <w:pPr>
              <w:rPr>
                <w:b/>
                <w:bCs/>
                <w:color w:val="000000"/>
                <w:sz w:val="20"/>
                <w:szCs w:val="20"/>
              </w:rPr>
            </w:pPr>
            <w:r w:rsidRPr="008F16FC">
              <w:rPr>
                <w:b/>
                <w:bCs/>
                <w:color w:val="000000"/>
                <w:sz w:val="20"/>
                <w:szCs w:val="20"/>
              </w:rPr>
              <w:t xml:space="preserve">Créditos por ventas </w:t>
            </w:r>
            <w:r w:rsidRPr="008F16FC">
              <w:rPr>
                <w:b/>
                <w:bCs/>
                <w:i/>
                <w:iCs/>
                <w:color w:val="000000"/>
                <w:sz w:val="20"/>
                <w:szCs w:val="20"/>
              </w:rPr>
              <w:t>(2)</w:t>
            </w:r>
          </w:p>
        </w:tc>
        <w:tc>
          <w:tcPr>
            <w:tcW w:w="1340" w:type="dxa"/>
            <w:tcBorders>
              <w:top w:val="nil"/>
              <w:left w:val="nil"/>
              <w:bottom w:val="single" w:sz="4" w:space="0" w:color="auto"/>
              <w:right w:val="single" w:sz="4" w:space="0" w:color="auto"/>
            </w:tcBorders>
            <w:shd w:val="clear" w:color="auto" w:fill="auto"/>
            <w:noWrap/>
            <w:vAlign w:val="bottom"/>
          </w:tcPr>
          <w:p w14:paraId="39572A55" w14:textId="77777777" w:rsidR="008F16FC" w:rsidRPr="008F16FC" w:rsidRDefault="008F16FC" w:rsidP="008F16FC">
            <w:pPr>
              <w:rPr>
                <w:color w:val="000000"/>
                <w:sz w:val="20"/>
                <w:szCs w:val="20"/>
              </w:rPr>
            </w:pPr>
            <w:r w:rsidRPr="008F16FC">
              <w:rPr>
                <w:color w:val="000000"/>
                <w:sz w:val="20"/>
                <w:szCs w:val="20"/>
              </w:rPr>
              <w:t>2.714.255</w:t>
            </w:r>
          </w:p>
        </w:tc>
        <w:tc>
          <w:tcPr>
            <w:tcW w:w="1340" w:type="dxa"/>
            <w:tcBorders>
              <w:top w:val="nil"/>
              <w:left w:val="nil"/>
              <w:bottom w:val="single" w:sz="4" w:space="0" w:color="auto"/>
              <w:right w:val="single" w:sz="4" w:space="0" w:color="auto"/>
            </w:tcBorders>
            <w:vAlign w:val="bottom"/>
          </w:tcPr>
          <w:p w14:paraId="5FFFDB44" w14:textId="77777777" w:rsidR="008F16FC" w:rsidRPr="008F16FC" w:rsidRDefault="008F16FC" w:rsidP="008F16FC">
            <w:pPr>
              <w:rPr>
                <w:color w:val="000000"/>
                <w:sz w:val="20"/>
                <w:szCs w:val="20"/>
                <w:lang w:val="es-AR"/>
              </w:rPr>
            </w:pPr>
            <w:r w:rsidRPr="008F16FC">
              <w:rPr>
                <w:bCs/>
                <w:color w:val="000000"/>
                <w:sz w:val="20"/>
                <w:szCs w:val="20"/>
              </w:rPr>
              <w:t xml:space="preserve">     </w:t>
            </w:r>
            <w:r w:rsidRPr="008F16FC">
              <w:rPr>
                <w:bCs/>
                <w:color w:val="000000"/>
                <w:sz w:val="20"/>
                <w:szCs w:val="20"/>
                <w:lang w:val="es-AR"/>
              </w:rPr>
              <w:t xml:space="preserve">3.016.504 </w:t>
            </w:r>
          </w:p>
        </w:tc>
        <w:tc>
          <w:tcPr>
            <w:tcW w:w="1287" w:type="dxa"/>
            <w:tcBorders>
              <w:top w:val="nil"/>
              <w:left w:val="single" w:sz="4" w:space="0" w:color="auto"/>
              <w:bottom w:val="single" w:sz="4" w:space="0" w:color="auto"/>
              <w:right w:val="single" w:sz="4" w:space="0" w:color="auto"/>
            </w:tcBorders>
            <w:shd w:val="clear" w:color="auto" w:fill="auto"/>
            <w:noWrap/>
            <w:vAlign w:val="bottom"/>
          </w:tcPr>
          <w:p w14:paraId="758B981E"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-302.249</w:t>
            </w:r>
          </w:p>
        </w:tc>
        <w:tc>
          <w:tcPr>
            <w:tcW w:w="1340" w:type="dxa"/>
            <w:tcBorders>
              <w:top w:val="nil"/>
              <w:left w:val="nil"/>
              <w:bottom w:val="single" w:sz="4" w:space="0" w:color="auto"/>
              <w:right w:val="single" w:sz="8" w:space="0" w:color="auto"/>
            </w:tcBorders>
            <w:shd w:val="clear" w:color="auto" w:fill="auto"/>
            <w:noWrap/>
            <w:vAlign w:val="bottom"/>
          </w:tcPr>
          <w:p w14:paraId="07579DA1"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-10%</w:t>
            </w:r>
          </w:p>
        </w:tc>
      </w:tr>
      <w:tr w:rsidR="008F16FC" w:rsidRPr="008F16FC" w14:paraId="06E92EB7" w14:textId="77777777" w:rsidTr="008F16FC">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04C5BF56" w14:textId="77777777" w:rsidR="008F16FC" w:rsidRPr="008F16FC" w:rsidRDefault="008F16FC" w:rsidP="008F16FC">
            <w:pPr>
              <w:rPr>
                <w:b/>
                <w:bCs/>
                <w:color w:val="000000"/>
                <w:sz w:val="20"/>
                <w:szCs w:val="20"/>
                <w:lang w:val="es-AR"/>
              </w:rPr>
            </w:pPr>
            <w:r w:rsidRPr="008F16FC">
              <w:rPr>
                <w:b/>
                <w:bCs/>
                <w:color w:val="000000"/>
                <w:sz w:val="20"/>
                <w:szCs w:val="20"/>
                <w:lang w:val="es-AR"/>
              </w:rPr>
              <w:t xml:space="preserve">Activos por C. Construcción </w:t>
            </w:r>
            <w:r w:rsidRPr="008F16FC">
              <w:rPr>
                <w:b/>
                <w:bCs/>
                <w:i/>
                <w:iCs/>
                <w:color w:val="000000"/>
                <w:sz w:val="20"/>
                <w:szCs w:val="20"/>
                <w:lang w:val="es-AR"/>
              </w:rPr>
              <w:t>(3)</w:t>
            </w:r>
          </w:p>
        </w:tc>
        <w:tc>
          <w:tcPr>
            <w:tcW w:w="1340" w:type="dxa"/>
            <w:tcBorders>
              <w:top w:val="nil"/>
              <w:left w:val="nil"/>
              <w:bottom w:val="single" w:sz="4" w:space="0" w:color="auto"/>
              <w:right w:val="single" w:sz="4" w:space="0" w:color="auto"/>
            </w:tcBorders>
            <w:shd w:val="clear" w:color="auto" w:fill="auto"/>
            <w:noWrap/>
            <w:vAlign w:val="bottom"/>
          </w:tcPr>
          <w:p w14:paraId="314A040F" w14:textId="77777777" w:rsidR="008F16FC" w:rsidRPr="008F16FC" w:rsidRDefault="008F16FC" w:rsidP="008F16FC">
            <w:pPr>
              <w:rPr>
                <w:color w:val="000000"/>
                <w:sz w:val="20"/>
                <w:szCs w:val="20"/>
                <w:lang w:val="es-AR"/>
              </w:rPr>
            </w:pPr>
            <w:r w:rsidRPr="008F16FC">
              <w:rPr>
                <w:color w:val="000000"/>
                <w:sz w:val="20"/>
                <w:szCs w:val="20"/>
                <w:lang w:val="es-AR"/>
              </w:rPr>
              <w:t>1.168.476</w:t>
            </w:r>
          </w:p>
        </w:tc>
        <w:tc>
          <w:tcPr>
            <w:tcW w:w="1340" w:type="dxa"/>
            <w:tcBorders>
              <w:top w:val="nil"/>
              <w:left w:val="nil"/>
              <w:bottom w:val="single" w:sz="4" w:space="0" w:color="auto"/>
              <w:right w:val="single" w:sz="4" w:space="0" w:color="auto"/>
            </w:tcBorders>
            <w:vAlign w:val="bottom"/>
          </w:tcPr>
          <w:p w14:paraId="7F8A87AA" w14:textId="77777777" w:rsidR="008F16FC" w:rsidRPr="008F16FC" w:rsidRDefault="008F16FC" w:rsidP="008F16FC">
            <w:pPr>
              <w:rPr>
                <w:color w:val="000000"/>
                <w:sz w:val="20"/>
                <w:szCs w:val="20"/>
                <w:lang w:val="es-AR"/>
              </w:rPr>
            </w:pPr>
            <w:r w:rsidRPr="008F16FC">
              <w:rPr>
                <w:bCs/>
                <w:color w:val="000000"/>
                <w:sz w:val="20"/>
                <w:szCs w:val="20"/>
                <w:lang w:val="es-AR"/>
              </w:rPr>
              <w:t xml:space="preserve">        906.566 </w:t>
            </w:r>
          </w:p>
        </w:tc>
        <w:tc>
          <w:tcPr>
            <w:tcW w:w="1287" w:type="dxa"/>
            <w:tcBorders>
              <w:top w:val="nil"/>
              <w:left w:val="single" w:sz="4" w:space="0" w:color="auto"/>
              <w:bottom w:val="single" w:sz="4" w:space="0" w:color="auto"/>
              <w:right w:val="single" w:sz="4" w:space="0" w:color="auto"/>
            </w:tcBorders>
            <w:shd w:val="clear" w:color="auto" w:fill="auto"/>
            <w:noWrap/>
            <w:vAlign w:val="bottom"/>
          </w:tcPr>
          <w:p w14:paraId="00838B42"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261.910</w:t>
            </w:r>
          </w:p>
        </w:tc>
        <w:tc>
          <w:tcPr>
            <w:tcW w:w="1340" w:type="dxa"/>
            <w:tcBorders>
              <w:top w:val="nil"/>
              <w:left w:val="nil"/>
              <w:bottom w:val="single" w:sz="4" w:space="0" w:color="auto"/>
              <w:right w:val="single" w:sz="8" w:space="0" w:color="auto"/>
            </w:tcBorders>
            <w:shd w:val="clear" w:color="auto" w:fill="auto"/>
            <w:noWrap/>
            <w:vAlign w:val="bottom"/>
          </w:tcPr>
          <w:p w14:paraId="51821840"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29%</w:t>
            </w:r>
          </w:p>
        </w:tc>
      </w:tr>
      <w:tr w:rsidR="008F16FC" w:rsidRPr="008F16FC" w14:paraId="4B22E3A2" w14:textId="77777777" w:rsidTr="008F16FC">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3AB1CACB" w14:textId="77777777" w:rsidR="008F16FC" w:rsidRPr="008F16FC" w:rsidRDefault="008F16FC" w:rsidP="008F16FC">
            <w:pPr>
              <w:rPr>
                <w:b/>
                <w:bCs/>
                <w:color w:val="000000"/>
                <w:sz w:val="20"/>
                <w:szCs w:val="20"/>
                <w:lang w:val="es-AR"/>
              </w:rPr>
            </w:pPr>
            <w:r w:rsidRPr="008F16FC">
              <w:rPr>
                <w:b/>
                <w:bCs/>
                <w:color w:val="000000"/>
                <w:sz w:val="20"/>
                <w:szCs w:val="20"/>
                <w:lang w:val="es-AR"/>
              </w:rPr>
              <w:t xml:space="preserve">Créditos diversos </w:t>
            </w:r>
            <w:r w:rsidRPr="008F16FC">
              <w:rPr>
                <w:b/>
                <w:bCs/>
                <w:i/>
                <w:iCs/>
                <w:color w:val="000000"/>
                <w:sz w:val="20"/>
                <w:szCs w:val="20"/>
                <w:lang w:val="es-AR"/>
              </w:rPr>
              <w:t>(4)</w:t>
            </w:r>
          </w:p>
        </w:tc>
        <w:tc>
          <w:tcPr>
            <w:tcW w:w="1340" w:type="dxa"/>
            <w:tcBorders>
              <w:top w:val="nil"/>
              <w:left w:val="nil"/>
              <w:bottom w:val="single" w:sz="4" w:space="0" w:color="auto"/>
              <w:right w:val="single" w:sz="4" w:space="0" w:color="auto"/>
            </w:tcBorders>
            <w:shd w:val="clear" w:color="auto" w:fill="auto"/>
            <w:noWrap/>
            <w:vAlign w:val="bottom"/>
          </w:tcPr>
          <w:p w14:paraId="51BD9CF2" w14:textId="77777777" w:rsidR="008F16FC" w:rsidRPr="008F16FC" w:rsidRDefault="008F16FC" w:rsidP="008F16FC">
            <w:pPr>
              <w:rPr>
                <w:color w:val="000000"/>
                <w:sz w:val="20"/>
                <w:szCs w:val="20"/>
                <w:lang w:val="es-AR"/>
              </w:rPr>
            </w:pPr>
            <w:r w:rsidRPr="008F16FC">
              <w:rPr>
                <w:color w:val="000000"/>
                <w:sz w:val="20"/>
                <w:szCs w:val="20"/>
                <w:lang w:val="es-AR"/>
              </w:rPr>
              <w:t>2.016.567</w:t>
            </w:r>
          </w:p>
        </w:tc>
        <w:tc>
          <w:tcPr>
            <w:tcW w:w="1340" w:type="dxa"/>
            <w:tcBorders>
              <w:top w:val="nil"/>
              <w:left w:val="nil"/>
              <w:bottom w:val="single" w:sz="4" w:space="0" w:color="auto"/>
              <w:right w:val="single" w:sz="4" w:space="0" w:color="auto"/>
            </w:tcBorders>
            <w:vAlign w:val="bottom"/>
          </w:tcPr>
          <w:p w14:paraId="723AC987" w14:textId="77777777" w:rsidR="008F16FC" w:rsidRPr="008F16FC" w:rsidRDefault="008F16FC" w:rsidP="008F16FC">
            <w:pPr>
              <w:rPr>
                <w:color w:val="000000"/>
                <w:sz w:val="20"/>
                <w:szCs w:val="20"/>
              </w:rPr>
            </w:pPr>
            <w:r w:rsidRPr="008F16FC">
              <w:rPr>
                <w:bCs/>
                <w:color w:val="000000"/>
                <w:sz w:val="20"/>
                <w:szCs w:val="20"/>
                <w:lang w:val="es-AR"/>
              </w:rPr>
              <w:t xml:space="preserve">     </w:t>
            </w:r>
            <w:r w:rsidRPr="008F16FC">
              <w:rPr>
                <w:bCs/>
                <w:color w:val="000000"/>
                <w:sz w:val="20"/>
                <w:szCs w:val="20"/>
              </w:rPr>
              <w:t xml:space="preserve">1.931.999 </w:t>
            </w:r>
          </w:p>
        </w:tc>
        <w:tc>
          <w:tcPr>
            <w:tcW w:w="1287" w:type="dxa"/>
            <w:tcBorders>
              <w:top w:val="nil"/>
              <w:left w:val="single" w:sz="4" w:space="0" w:color="auto"/>
              <w:bottom w:val="single" w:sz="4" w:space="0" w:color="auto"/>
              <w:right w:val="single" w:sz="4" w:space="0" w:color="auto"/>
            </w:tcBorders>
            <w:shd w:val="clear" w:color="auto" w:fill="auto"/>
            <w:noWrap/>
            <w:vAlign w:val="bottom"/>
          </w:tcPr>
          <w:p w14:paraId="5452232C" w14:textId="77777777" w:rsidR="008F16FC" w:rsidRPr="008F16FC" w:rsidRDefault="008F16FC" w:rsidP="008F16FC">
            <w:pPr>
              <w:jc w:val="right"/>
              <w:rPr>
                <w:color w:val="000000"/>
                <w:sz w:val="20"/>
                <w:szCs w:val="20"/>
              </w:rPr>
            </w:pPr>
            <w:r w:rsidRPr="008F16FC">
              <w:rPr>
                <w:rFonts w:eastAsia="Calibri"/>
                <w:color w:val="000000"/>
                <w:sz w:val="20"/>
                <w:szCs w:val="20"/>
                <w:lang w:val="es-MX"/>
              </w:rPr>
              <w:t>84.568</w:t>
            </w:r>
          </w:p>
        </w:tc>
        <w:tc>
          <w:tcPr>
            <w:tcW w:w="1340" w:type="dxa"/>
            <w:tcBorders>
              <w:top w:val="nil"/>
              <w:left w:val="nil"/>
              <w:bottom w:val="single" w:sz="4" w:space="0" w:color="auto"/>
              <w:right w:val="single" w:sz="8" w:space="0" w:color="auto"/>
            </w:tcBorders>
            <w:shd w:val="clear" w:color="auto" w:fill="auto"/>
            <w:noWrap/>
            <w:vAlign w:val="bottom"/>
          </w:tcPr>
          <w:p w14:paraId="6E1C34CF" w14:textId="77777777" w:rsidR="008F16FC" w:rsidRPr="008F16FC" w:rsidRDefault="008F16FC" w:rsidP="008F16FC">
            <w:pPr>
              <w:jc w:val="center"/>
              <w:rPr>
                <w:color w:val="000000"/>
                <w:sz w:val="20"/>
                <w:szCs w:val="20"/>
              </w:rPr>
            </w:pPr>
            <w:r w:rsidRPr="008F16FC">
              <w:rPr>
                <w:rFonts w:eastAsia="Calibri"/>
                <w:color w:val="000000"/>
                <w:sz w:val="20"/>
                <w:szCs w:val="20"/>
                <w:lang w:val="es-MX"/>
              </w:rPr>
              <w:t>4%</w:t>
            </w:r>
          </w:p>
        </w:tc>
      </w:tr>
      <w:tr w:rsidR="008F16FC" w:rsidRPr="008F16FC" w14:paraId="41F13D39" w14:textId="77777777" w:rsidTr="008F16FC">
        <w:trPr>
          <w:trHeight w:val="270"/>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14839033" w14:textId="77777777" w:rsidR="008F16FC" w:rsidRPr="008F16FC" w:rsidRDefault="008F16FC" w:rsidP="008F16FC">
            <w:pPr>
              <w:rPr>
                <w:b/>
                <w:bCs/>
                <w:color w:val="000000"/>
                <w:sz w:val="20"/>
                <w:szCs w:val="20"/>
              </w:rPr>
            </w:pPr>
            <w:r w:rsidRPr="008F16FC">
              <w:rPr>
                <w:b/>
                <w:bCs/>
                <w:color w:val="000000"/>
                <w:sz w:val="20"/>
                <w:szCs w:val="20"/>
              </w:rPr>
              <w:t xml:space="preserve">Inventarios </w:t>
            </w:r>
            <w:r w:rsidRPr="008F16FC">
              <w:rPr>
                <w:b/>
                <w:bCs/>
                <w:i/>
                <w:iCs/>
                <w:color w:val="000000"/>
                <w:sz w:val="20"/>
                <w:szCs w:val="20"/>
              </w:rPr>
              <w:t>(5)</w:t>
            </w:r>
          </w:p>
        </w:tc>
        <w:tc>
          <w:tcPr>
            <w:tcW w:w="1340" w:type="dxa"/>
            <w:tcBorders>
              <w:top w:val="nil"/>
              <w:left w:val="nil"/>
              <w:bottom w:val="single" w:sz="4" w:space="0" w:color="auto"/>
              <w:right w:val="single" w:sz="4" w:space="0" w:color="auto"/>
            </w:tcBorders>
            <w:shd w:val="clear" w:color="auto" w:fill="auto"/>
            <w:noWrap/>
            <w:vAlign w:val="bottom"/>
          </w:tcPr>
          <w:p w14:paraId="163FBFE8" w14:textId="77777777" w:rsidR="008F16FC" w:rsidRPr="008F16FC" w:rsidRDefault="008F16FC" w:rsidP="008F16FC">
            <w:pPr>
              <w:rPr>
                <w:color w:val="000000"/>
                <w:sz w:val="20"/>
                <w:szCs w:val="20"/>
              </w:rPr>
            </w:pPr>
            <w:r w:rsidRPr="008F16FC">
              <w:rPr>
                <w:color w:val="000000"/>
                <w:sz w:val="20"/>
                <w:szCs w:val="20"/>
              </w:rPr>
              <w:t xml:space="preserve">   528.178</w:t>
            </w:r>
          </w:p>
        </w:tc>
        <w:tc>
          <w:tcPr>
            <w:tcW w:w="1340" w:type="dxa"/>
            <w:tcBorders>
              <w:top w:val="nil"/>
              <w:left w:val="nil"/>
              <w:bottom w:val="single" w:sz="8" w:space="0" w:color="auto"/>
              <w:right w:val="single" w:sz="4" w:space="0" w:color="auto"/>
            </w:tcBorders>
            <w:vAlign w:val="bottom"/>
          </w:tcPr>
          <w:p w14:paraId="26B1F6C8" w14:textId="77777777" w:rsidR="008F16FC" w:rsidRPr="008F16FC" w:rsidRDefault="008F16FC" w:rsidP="008F16FC">
            <w:pPr>
              <w:rPr>
                <w:color w:val="000000"/>
                <w:sz w:val="20"/>
                <w:szCs w:val="20"/>
                <w:lang w:val="es-AR"/>
              </w:rPr>
            </w:pPr>
            <w:r w:rsidRPr="008F16FC">
              <w:rPr>
                <w:bCs/>
                <w:color w:val="000000"/>
                <w:sz w:val="20"/>
                <w:szCs w:val="20"/>
              </w:rPr>
              <w:t xml:space="preserve">        </w:t>
            </w:r>
            <w:r w:rsidRPr="008F16FC">
              <w:rPr>
                <w:bCs/>
                <w:color w:val="000000"/>
                <w:sz w:val="20"/>
                <w:szCs w:val="20"/>
                <w:lang w:val="es-AR"/>
              </w:rPr>
              <w:t xml:space="preserve">838.433 </w:t>
            </w:r>
          </w:p>
        </w:tc>
        <w:tc>
          <w:tcPr>
            <w:tcW w:w="1287" w:type="dxa"/>
            <w:tcBorders>
              <w:top w:val="nil"/>
              <w:left w:val="single" w:sz="4" w:space="0" w:color="auto"/>
              <w:bottom w:val="single" w:sz="8" w:space="0" w:color="auto"/>
              <w:right w:val="single" w:sz="4" w:space="0" w:color="auto"/>
            </w:tcBorders>
            <w:shd w:val="clear" w:color="auto" w:fill="auto"/>
            <w:noWrap/>
            <w:vAlign w:val="bottom"/>
          </w:tcPr>
          <w:p w14:paraId="145525C9"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-310.255</w:t>
            </w:r>
          </w:p>
        </w:tc>
        <w:tc>
          <w:tcPr>
            <w:tcW w:w="1340" w:type="dxa"/>
            <w:tcBorders>
              <w:top w:val="nil"/>
              <w:left w:val="nil"/>
              <w:bottom w:val="single" w:sz="8" w:space="0" w:color="auto"/>
              <w:right w:val="single" w:sz="8" w:space="0" w:color="auto"/>
            </w:tcBorders>
            <w:shd w:val="clear" w:color="auto" w:fill="auto"/>
            <w:noWrap/>
            <w:vAlign w:val="bottom"/>
          </w:tcPr>
          <w:p w14:paraId="21973C4E"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-37%</w:t>
            </w:r>
          </w:p>
        </w:tc>
      </w:tr>
      <w:tr w:rsidR="008F16FC" w:rsidRPr="008F16FC" w14:paraId="39CC0F35" w14:textId="77777777" w:rsidTr="008F16FC">
        <w:trPr>
          <w:trHeight w:val="270"/>
        </w:trPr>
        <w:tc>
          <w:tcPr>
            <w:tcW w:w="3953" w:type="dxa"/>
            <w:tcBorders>
              <w:top w:val="single" w:sz="8" w:space="0" w:color="auto"/>
              <w:left w:val="single" w:sz="8" w:space="0" w:color="auto"/>
              <w:bottom w:val="single" w:sz="8" w:space="0" w:color="auto"/>
              <w:right w:val="nil"/>
            </w:tcBorders>
            <w:shd w:val="clear" w:color="auto" w:fill="auto"/>
            <w:noWrap/>
            <w:vAlign w:val="bottom"/>
            <w:hideMark/>
          </w:tcPr>
          <w:p w14:paraId="5EC69915" w14:textId="77777777" w:rsidR="008F16FC" w:rsidRPr="008F16FC" w:rsidRDefault="008F16FC" w:rsidP="008F16FC">
            <w:pPr>
              <w:rPr>
                <w:b/>
                <w:bCs/>
                <w:color w:val="000000"/>
                <w:sz w:val="20"/>
                <w:szCs w:val="20"/>
                <w:lang w:val="es-AR"/>
              </w:rPr>
            </w:pPr>
            <w:r w:rsidRPr="008F16FC">
              <w:rPr>
                <w:b/>
                <w:bCs/>
                <w:color w:val="000000"/>
                <w:sz w:val="20"/>
                <w:szCs w:val="20"/>
                <w:lang w:val="es-AR"/>
              </w:rPr>
              <w:t>Total Activo Corriente</w:t>
            </w:r>
          </w:p>
        </w:tc>
        <w:tc>
          <w:tcPr>
            <w:tcW w:w="1340" w:type="dxa"/>
            <w:tcBorders>
              <w:top w:val="single" w:sz="8" w:space="0" w:color="auto"/>
              <w:left w:val="nil"/>
              <w:bottom w:val="single" w:sz="8" w:space="0" w:color="auto"/>
              <w:right w:val="nil"/>
            </w:tcBorders>
            <w:shd w:val="clear" w:color="auto" w:fill="auto"/>
            <w:noWrap/>
            <w:vAlign w:val="bottom"/>
          </w:tcPr>
          <w:p w14:paraId="03EBB19E" w14:textId="77777777" w:rsidR="008F16FC" w:rsidRPr="008F16FC" w:rsidRDefault="008F16FC" w:rsidP="008F16FC">
            <w:pPr>
              <w:rPr>
                <w:color w:val="000000"/>
                <w:sz w:val="20"/>
                <w:szCs w:val="20"/>
                <w:lang w:val="es-AR"/>
              </w:rPr>
            </w:pPr>
            <w:r w:rsidRPr="008F16FC">
              <w:rPr>
                <w:color w:val="000000"/>
                <w:sz w:val="20"/>
                <w:szCs w:val="20"/>
                <w:lang w:val="es-AR"/>
              </w:rPr>
              <w:t>7.967.165</w:t>
            </w:r>
          </w:p>
        </w:tc>
        <w:tc>
          <w:tcPr>
            <w:tcW w:w="1340" w:type="dxa"/>
            <w:tcBorders>
              <w:top w:val="single" w:sz="8" w:space="0" w:color="auto"/>
              <w:left w:val="nil"/>
              <w:bottom w:val="single" w:sz="4" w:space="0" w:color="auto"/>
              <w:right w:val="single" w:sz="4" w:space="0" w:color="auto"/>
            </w:tcBorders>
            <w:vAlign w:val="bottom"/>
          </w:tcPr>
          <w:p w14:paraId="0409BEF6" w14:textId="77777777" w:rsidR="008F16FC" w:rsidRPr="008F16FC" w:rsidRDefault="008F16FC" w:rsidP="008F16FC">
            <w:pPr>
              <w:rPr>
                <w:color w:val="000000"/>
                <w:sz w:val="20"/>
                <w:szCs w:val="20"/>
                <w:lang w:val="es-AR"/>
              </w:rPr>
            </w:pPr>
            <w:r w:rsidRPr="008F16FC">
              <w:rPr>
                <w:bCs/>
                <w:color w:val="000000"/>
                <w:sz w:val="20"/>
                <w:szCs w:val="20"/>
                <w:lang w:val="es-AR"/>
              </w:rPr>
              <w:t xml:space="preserve">     8.236.375 </w:t>
            </w:r>
          </w:p>
        </w:tc>
        <w:tc>
          <w:tcPr>
            <w:tcW w:w="1287"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4EF9E91"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-269.210</w:t>
            </w:r>
          </w:p>
        </w:tc>
        <w:tc>
          <w:tcPr>
            <w:tcW w:w="1340" w:type="dxa"/>
            <w:tcBorders>
              <w:top w:val="single" w:sz="8" w:space="0" w:color="auto"/>
              <w:left w:val="single" w:sz="4" w:space="0" w:color="auto"/>
              <w:bottom w:val="single" w:sz="8" w:space="0" w:color="auto"/>
              <w:right w:val="single" w:sz="4" w:space="0" w:color="auto"/>
            </w:tcBorders>
            <w:shd w:val="clear" w:color="auto" w:fill="auto"/>
            <w:noWrap/>
            <w:vAlign w:val="bottom"/>
          </w:tcPr>
          <w:p w14:paraId="77A2C0D1"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-3%</w:t>
            </w:r>
          </w:p>
        </w:tc>
      </w:tr>
      <w:tr w:rsidR="008F16FC" w:rsidRPr="008F16FC" w14:paraId="16775772" w14:textId="77777777" w:rsidTr="008F16FC">
        <w:trPr>
          <w:trHeight w:val="75"/>
        </w:trPr>
        <w:tc>
          <w:tcPr>
            <w:tcW w:w="3953" w:type="dxa"/>
            <w:tcBorders>
              <w:top w:val="nil"/>
              <w:left w:val="nil"/>
              <w:bottom w:val="nil"/>
              <w:right w:val="nil"/>
            </w:tcBorders>
            <w:shd w:val="clear" w:color="auto" w:fill="auto"/>
            <w:noWrap/>
            <w:vAlign w:val="bottom"/>
            <w:hideMark/>
          </w:tcPr>
          <w:p w14:paraId="647032B4" w14:textId="77777777" w:rsidR="008F16FC" w:rsidRPr="008F16FC" w:rsidRDefault="008F16FC" w:rsidP="008F16FC">
            <w:pPr>
              <w:rPr>
                <w:color w:val="000000"/>
                <w:sz w:val="20"/>
                <w:szCs w:val="20"/>
                <w:lang w:val="es-AR"/>
              </w:rPr>
            </w:pPr>
          </w:p>
        </w:tc>
        <w:tc>
          <w:tcPr>
            <w:tcW w:w="1340" w:type="dxa"/>
            <w:tcBorders>
              <w:top w:val="nil"/>
              <w:left w:val="nil"/>
              <w:bottom w:val="nil"/>
              <w:right w:val="nil"/>
            </w:tcBorders>
            <w:shd w:val="clear" w:color="auto" w:fill="auto"/>
            <w:noWrap/>
            <w:vAlign w:val="center"/>
          </w:tcPr>
          <w:p w14:paraId="3F56040C" w14:textId="77777777" w:rsidR="008F16FC" w:rsidRPr="008F16FC" w:rsidRDefault="008F16FC" w:rsidP="008F16FC">
            <w:pPr>
              <w:jc w:val="center"/>
              <w:rPr>
                <w:color w:val="000000"/>
                <w:sz w:val="20"/>
                <w:szCs w:val="20"/>
                <w:lang w:val="es-AR"/>
              </w:rPr>
            </w:pPr>
          </w:p>
        </w:tc>
        <w:tc>
          <w:tcPr>
            <w:tcW w:w="1340" w:type="dxa"/>
            <w:tcBorders>
              <w:top w:val="single" w:sz="4" w:space="0" w:color="auto"/>
              <w:left w:val="nil"/>
              <w:bottom w:val="single" w:sz="4" w:space="0" w:color="auto"/>
            </w:tcBorders>
            <w:vAlign w:val="center"/>
          </w:tcPr>
          <w:p w14:paraId="61E62656" w14:textId="77777777" w:rsidR="008F16FC" w:rsidRPr="008F16FC" w:rsidRDefault="008F16FC" w:rsidP="008F16FC">
            <w:pPr>
              <w:jc w:val="center"/>
              <w:rPr>
                <w:color w:val="000000"/>
                <w:sz w:val="20"/>
                <w:szCs w:val="20"/>
                <w:lang w:val="es-AR"/>
              </w:rPr>
            </w:pPr>
          </w:p>
        </w:tc>
        <w:tc>
          <w:tcPr>
            <w:tcW w:w="1287" w:type="dxa"/>
            <w:tcBorders>
              <w:top w:val="single" w:sz="4" w:space="0" w:color="auto"/>
              <w:bottom w:val="single" w:sz="4" w:space="0" w:color="auto"/>
            </w:tcBorders>
            <w:shd w:val="clear" w:color="auto" w:fill="auto"/>
            <w:vAlign w:val="bottom"/>
          </w:tcPr>
          <w:p w14:paraId="5559933F" w14:textId="77777777" w:rsidR="008F16FC" w:rsidRPr="008F16FC" w:rsidRDefault="008F16FC" w:rsidP="008F16FC">
            <w:pPr>
              <w:jc w:val="right"/>
              <w:rPr>
                <w:color w:val="000000"/>
                <w:sz w:val="20"/>
                <w:szCs w:val="20"/>
                <w:lang w:val="es-AR"/>
              </w:rPr>
            </w:pPr>
          </w:p>
        </w:tc>
        <w:tc>
          <w:tcPr>
            <w:tcW w:w="1340" w:type="dxa"/>
            <w:tcBorders>
              <w:top w:val="nil"/>
              <w:left w:val="nil"/>
              <w:bottom w:val="nil"/>
              <w:right w:val="nil"/>
            </w:tcBorders>
            <w:shd w:val="clear" w:color="auto" w:fill="auto"/>
            <w:noWrap/>
            <w:vAlign w:val="bottom"/>
          </w:tcPr>
          <w:p w14:paraId="6872C834" w14:textId="77777777" w:rsidR="008F16FC" w:rsidRPr="008F16FC" w:rsidRDefault="008F16FC" w:rsidP="008F16FC">
            <w:pPr>
              <w:jc w:val="center"/>
              <w:rPr>
                <w:color w:val="000000"/>
                <w:sz w:val="20"/>
                <w:szCs w:val="20"/>
                <w:lang w:val="es-AR"/>
              </w:rPr>
            </w:pPr>
          </w:p>
        </w:tc>
      </w:tr>
      <w:tr w:rsidR="008F16FC" w:rsidRPr="008F16FC" w14:paraId="6D8FCC98" w14:textId="77777777" w:rsidTr="008F16FC">
        <w:trPr>
          <w:trHeight w:val="255"/>
        </w:trPr>
        <w:tc>
          <w:tcPr>
            <w:tcW w:w="395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B62811C" w14:textId="77777777" w:rsidR="008F16FC" w:rsidRPr="008F16FC" w:rsidRDefault="008F16FC" w:rsidP="008F16FC">
            <w:pPr>
              <w:rPr>
                <w:b/>
                <w:bCs/>
                <w:color w:val="000000"/>
                <w:sz w:val="20"/>
                <w:szCs w:val="20"/>
                <w:lang w:val="es-AR"/>
              </w:rPr>
            </w:pPr>
            <w:r w:rsidRPr="008F16FC">
              <w:rPr>
                <w:b/>
                <w:bCs/>
                <w:color w:val="000000"/>
                <w:sz w:val="20"/>
                <w:szCs w:val="20"/>
                <w:lang w:val="es-AR"/>
              </w:rPr>
              <w:t>Activos financieros</w:t>
            </w:r>
          </w:p>
        </w:tc>
        <w:tc>
          <w:tcPr>
            <w:tcW w:w="1340" w:type="dxa"/>
            <w:tcBorders>
              <w:top w:val="single" w:sz="8" w:space="0" w:color="auto"/>
              <w:left w:val="nil"/>
              <w:bottom w:val="single" w:sz="4" w:space="0" w:color="auto"/>
              <w:right w:val="single" w:sz="4" w:space="0" w:color="auto"/>
            </w:tcBorders>
            <w:shd w:val="clear" w:color="auto" w:fill="auto"/>
            <w:noWrap/>
            <w:vAlign w:val="bottom"/>
          </w:tcPr>
          <w:p w14:paraId="0D000111" w14:textId="77777777" w:rsidR="008F16FC" w:rsidRPr="008F16FC" w:rsidRDefault="008F16FC" w:rsidP="008F16FC">
            <w:pPr>
              <w:rPr>
                <w:color w:val="000000"/>
                <w:sz w:val="20"/>
                <w:szCs w:val="20"/>
                <w:lang w:val="es-AR"/>
              </w:rPr>
            </w:pPr>
            <w:r w:rsidRPr="008F16FC">
              <w:rPr>
                <w:color w:val="000000"/>
                <w:sz w:val="20"/>
                <w:szCs w:val="20"/>
                <w:lang w:val="es-AR"/>
              </w:rPr>
              <w:t xml:space="preserve">     42.473</w:t>
            </w:r>
          </w:p>
        </w:tc>
        <w:tc>
          <w:tcPr>
            <w:tcW w:w="1340" w:type="dxa"/>
            <w:tcBorders>
              <w:top w:val="single" w:sz="4" w:space="0" w:color="auto"/>
              <w:left w:val="nil"/>
              <w:bottom w:val="single" w:sz="4" w:space="0" w:color="auto"/>
              <w:right w:val="single" w:sz="4" w:space="0" w:color="auto"/>
            </w:tcBorders>
            <w:vAlign w:val="bottom"/>
          </w:tcPr>
          <w:p w14:paraId="5435A03F" w14:textId="77777777" w:rsidR="008F16FC" w:rsidRPr="008F16FC" w:rsidRDefault="008F16FC" w:rsidP="008F16FC">
            <w:pPr>
              <w:rPr>
                <w:color w:val="000000"/>
                <w:sz w:val="20"/>
                <w:szCs w:val="20"/>
                <w:lang w:val="es-AR"/>
              </w:rPr>
            </w:pPr>
            <w:r w:rsidRPr="008F16FC">
              <w:rPr>
                <w:bCs/>
                <w:color w:val="000000"/>
                <w:sz w:val="20"/>
                <w:szCs w:val="20"/>
                <w:lang w:val="es-AR"/>
              </w:rPr>
              <w:t xml:space="preserve">          28.863</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17E22"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13.610</w:t>
            </w:r>
          </w:p>
        </w:tc>
        <w:tc>
          <w:tcPr>
            <w:tcW w:w="1340" w:type="dxa"/>
            <w:tcBorders>
              <w:top w:val="single" w:sz="8" w:space="0" w:color="auto"/>
              <w:left w:val="nil"/>
              <w:bottom w:val="single" w:sz="4" w:space="0" w:color="auto"/>
              <w:right w:val="single" w:sz="8" w:space="0" w:color="auto"/>
            </w:tcBorders>
            <w:shd w:val="clear" w:color="auto" w:fill="auto"/>
            <w:noWrap/>
            <w:vAlign w:val="bottom"/>
          </w:tcPr>
          <w:p w14:paraId="5960B1BF"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47%</w:t>
            </w:r>
          </w:p>
        </w:tc>
      </w:tr>
      <w:tr w:rsidR="008F16FC" w:rsidRPr="008F16FC" w14:paraId="48960847" w14:textId="77777777" w:rsidTr="008F16FC">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40A8C5C0" w14:textId="77777777" w:rsidR="008F16FC" w:rsidRPr="008F16FC" w:rsidRDefault="008F16FC" w:rsidP="008F16FC">
            <w:pPr>
              <w:rPr>
                <w:b/>
                <w:bCs/>
                <w:color w:val="000000"/>
                <w:sz w:val="20"/>
                <w:szCs w:val="20"/>
                <w:lang w:val="es-AR"/>
              </w:rPr>
            </w:pPr>
            <w:r w:rsidRPr="008F16FC">
              <w:rPr>
                <w:b/>
                <w:bCs/>
                <w:color w:val="000000"/>
                <w:sz w:val="20"/>
                <w:szCs w:val="20"/>
                <w:lang w:val="es-AR"/>
              </w:rPr>
              <w:t>Propiedades de inversión</w:t>
            </w:r>
          </w:p>
        </w:tc>
        <w:tc>
          <w:tcPr>
            <w:tcW w:w="1340" w:type="dxa"/>
            <w:tcBorders>
              <w:top w:val="nil"/>
              <w:left w:val="nil"/>
              <w:bottom w:val="single" w:sz="4" w:space="0" w:color="auto"/>
              <w:right w:val="single" w:sz="4" w:space="0" w:color="auto"/>
            </w:tcBorders>
            <w:shd w:val="clear" w:color="auto" w:fill="auto"/>
            <w:noWrap/>
            <w:vAlign w:val="bottom"/>
          </w:tcPr>
          <w:p w14:paraId="25B72B32" w14:textId="77777777" w:rsidR="008F16FC" w:rsidRPr="008F16FC" w:rsidRDefault="008F16FC" w:rsidP="008F16FC">
            <w:pPr>
              <w:rPr>
                <w:color w:val="000000"/>
                <w:sz w:val="20"/>
                <w:szCs w:val="20"/>
                <w:lang w:val="es-AR"/>
              </w:rPr>
            </w:pPr>
            <w:r w:rsidRPr="008F16FC">
              <w:rPr>
                <w:color w:val="000000"/>
                <w:sz w:val="20"/>
                <w:szCs w:val="20"/>
                <w:lang w:val="es-AR"/>
              </w:rPr>
              <w:t xml:space="preserve">     38.147</w:t>
            </w:r>
          </w:p>
        </w:tc>
        <w:tc>
          <w:tcPr>
            <w:tcW w:w="1340" w:type="dxa"/>
            <w:tcBorders>
              <w:top w:val="nil"/>
              <w:left w:val="nil"/>
              <w:bottom w:val="single" w:sz="4" w:space="0" w:color="auto"/>
              <w:right w:val="single" w:sz="4" w:space="0" w:color="auto"/>
            </w:tcBorders>
            <w:vAlign w:val="bottom"/>
          </w:tcPr>
          <w:p w14:paraId="7F00EBD6" w14:textId="77777777" w:rsidR="008F16FC" w:rsidRPr="008F16FC" w:rsidRDefault="008F16FC" w:rsidP="008F16FC">
            <w:pPr>
              <w:rPr>
                <w:color w:val="000000"/>
                <w:sz w:val="20"/>
                <w:szCs w:val="20"/>
                <w:lang w:val="es-AR"/>
              </w:rPr>
            </w:pPr>
            <w:r w:rsidRPr="008F16FC">
              <w:rPr>
                <w:bCs/>
                <w:color w:val="000000"/>
                <w:sz w:val="20"/>
                <w:szCs w:val="20"/>
                <w:lang w:val="es-AR"/>
              </w:rPr>
              <w:t xml:space="preserve">          42.912 </w:t>
            </w:r>
          </w:p>
        </w:tc>
        <w:tc>
          <w:tcPr>
            <w:tcW w:w="1287" w:type="dxa"/>
            <w:tcBorders>
              <w:top w:val="nil"/>
              <w:left w:val="single" w:sz="4" w:space="0" w:color="auto"/>
              <w:bottom w:val="single" w:sz="4" w:space="0" w:color="auto"/>
              <w:right w:val="single" w:sz="4" w:space="0" w:color="auto"/>
            </w:tcBorders>
            <w:shd w:val="clear" w:color="auto" w:fill="auto"/>
            <w:noWrap/>
            <w:vAlign w:val="bottom"/>
          </w:tcPr>
          <w:p w14:paraId="6164664E"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-4.765</w:t>
            </w:r>
          </w:p>
        </w:tc>
        <w:tc>
          <w:tcPr>
            <w:tcW w:w="1340" w:type="dxa"/>
            <w:tcBorders>
              <w:top w:val="nil"/>
              <w:left w:val="nil"/>
              <w:bottom w:val="single" w:sz="4" w:space="0" w:color="auto"/>
              <w:right w:val="single" w:sz="8" w:space="0" w:color="auto"/>
            </w:tcBorders>
            <w:shd w:val="clear" w:color="auto" w:fill="auto"/>
            <w:noWrap/>
            <w:vAlign w:val="bottom"/>
          </w:tcPr>
          <w:p w14:paraId="63B59806"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-11%</w:t>
            </w:r>
          </w:p>
        </w:tc>
      </w:tr>
      <w:tr w:rsidR="008F16FC" w:rsidRPr="008F16FC" w14:paraId="472C3240" w14:textId="77777777" w:rsidTr="008F16FC">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3EC86D6D" w14:textId="77777777" w:rsidR="008F16FC" w:rsidRPr="008F16FC" w:rsidRDefault="008F16FC" w:rsidP="008F16FC">
            <w:pPr>
              <w:rPr>
                <w:b/>
                <w:bCs/>
                <w:color w:val="000000"/>
                <w:sz w:val="20"/>
                <w:szCs w:val="20"/>
                <w:lang w:val="es-AR"/>
              </w:rPr>
            </w:pPr>
            <w:r w:rsidRPr="008F16FC">
              <w:rPr>
                <w:b/>
                <w:bCs/>
                <w:color w:val="000000"/>
                <w:sz w:val="20"/>
                <w:szCs w:val="20"/>
                <w:lang w:val="es-AR"/>
              </w:rPr>
              <w:t xml:space="preserve">Propiedades, planta y equipo </w:t>
            </w:r>
            <w:r w:rsidRPr="008F16FC">
              <w:rPr>
                <w:b/>
                <w:bCs/>
                <w:i/>
                <w:iCs/>
                <w:color w:val="000000"/>
                <w:sz w:val="20"/>
                <w:szCs w:val="20"/>
                <w:lang w:val="es-AR"/>
              </w:rPr>
              <w:t>(6)</w:t>
            </w:r>
          </w:p>
        </w:tc>
        <w:tc>
          <w:tcPr>
            <w:tcW w:w="1340" w:type="dxa"/>
            <w:tcBorders>
              <w:top w:val="nil"/>
              <w:left w:val="nil"/>
              <w:bottom w:val="single" w:sz="4" w:space="0" w:color="auto"/>
              <w:right w:val="single" w:sz="4" w:space="0" w:color="auto"/>
            </w:tcBorders>
            <w:shd w:val="clear" w:color="auto" w:fill="auto"/>
            <w:noWrap/>
            <w:vAlign w:val="bottom"/>
          </w:tcPr>
          <w:p w14:paraId="2A1ABC13" w14:textId="77777777" w:rsidR="008F16FC" w:rsidRPr="008F16FC" w:rsidRDefault="008F16FC" w:rsidP="008F16FC">
            <w:pPr>
              <w:rPr>
                <w:color w:val="000000"/>
                <w:sz w:val="20"/>
                <w:szCs w:val="20"/>
                <w:lang w:val="es-AR"/>
              </w:rPr>
            </w:pPr>
            <w:r w:rsidRPr="008F16FC">
              <w:rPr>
                <w:color w:val="000000"/>
                <w:sz w:val="20"/>
                <w:szCs w:val="20"/>
                <w:lang w:val="es-AR"/>
              </w:rPr>
              <w:t>2.883.730</w:t>
            </w:r>
          </w:p>
        </w:tc>
        <w:tc>
          <w:tcPr>
            <w:tcW w:w="1340" w:type="dxa"/>
            <w:tcBorders>
              <w:top w:val="nil"/>
              <w:left w:val="nil"/>
              <w:bottom w:val="single" w:sz="4" w:space="0" w:color="auto"/>
              <w:right w:val="single" w:sz="4" w:space="0" w:color="auto"/>
            </w:tcBorders>
            <w:vAlign w:val="bottom"/>
          </w:tcPr>
          <w:p w14:paraId="5EADF7B2" w14:textId="77777777" w:rsidR="008F16FC" w:rsidRPr="008F16FC" w:rsidRDefault="008F16FC" w:rsidP="008F16FC">
            <w:pPr>
              <w:rPr>
                <w:color w:val="000000"/>
                <w:sz w:val="20"/>
                <w:szCs w:val="20"/>
                <w:lang w:val="es-AR"/>
              </w:rPr>
            </w:pPr>
            <w:r w:rsidRPr="008F16FC">
              <w:rPr>
                <w:bCs/>
                <w:color w:val="000000"/>
                <w:sz w:val="20"/>
                <w:szCs w:val="20"/>
                <w:lang w:val="es-AR"/>
              </w:rPr>
              <w:t xml:space="preserve">     2.487.669 </w:t>
            </w:r>
          </w:p>
        </w:tc>
        <w:tc>
          <w:tcPr>
            <w:tcW w:w="1287" w:type="dxa"/>
            <w:tcBorders>
              <w:top w:val="nil"/>
              <w:left w:val="single" w:sz="4" w:space="0" w:color="auto"/>
              <w:bottom w:val="single" w:sz="4" w:space="0" w:color="auto"/>
              <w:right w:val="single" w:sz="4" w:space="0" w:color="auto"/>
            </w:tcBorders>
            <w:shd w:val="clear" w:color="auto" w:fill="auto"/>
            <w:noWrap/>
            <w:vAlign w:val="bottom"/>
          </w:tcPr>
          <w:p w14:paraId="53045CDA"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396.061</w:t>
            </w:r>
          </w:p>
        </w:tc>
        <w:tc>
          <w:tcPr>
            <w:tcW w:w="1340" w:type="dxa"/>
            <w:tcBorders>
              <w:top w:val="nil"/>
              <w:left w:val="nil"/>
              <w:bottom w:val="single" w:sz="4" w:space="0" w:color="auto"/>
              <w:right w:val="single" w:sz="8" w:space="0" w:color="auto"/>
            </w:tcBorders>
            <w:shd w:val="clear" w:color="auto" w:fill="auto"/>
            <w:noWrap/>
            <w:vAlign w:val="bottom"/>
          </w:tcPr>
          <w:p w14:paraId="696AF454"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16%</w:t>
            </w:r>
          </w:p>
        </w:tc>
      </w:tr>
      <w:tr w:rsidR="008F16FC" w:rsidRPr="008F16FC" w14:paraId="5C4972C2" w14:textId="77777777" w:rsidTr="008F16FC">
        <w:trPr>
          <w:trHeight w:val="270"/>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0590A522" w14:textId="77777777" w:rsidR="008F16FC" w:rsidRPr="008F16FC" w:rsidRDefault="008F16FC" w:rsidP="008F16FC">
            <w:pPr>
              <w:rPr>
                <w:b/>
                <w:bCs/>
                <w:color w:val="000000"/>
                <w:sz w:val="20"/>
                <w:szCs w:val="20"/>
                <w:lang w:val="es-AR"/>
              </w:rPr>
            </w:pPr>
            <w:r w:rsidRPr="008F16FC">
              <w:rPr>
                <w:b/>
                <w:bCs/>
                <w:color w:val="000000"/>
                <w:sz w:val="20"/>
                <w:szCs w:val="20"/>
                <w:lang w:val="es-AR"/>
              </w:rPr>
              <w:t>Activos intangibles</w:t>
            </w:r>
          </w:p>
        </w:tc>
        <w:tc>
          <w:tcPr>
            <w:tcW w:w="1340" w:type="dxa"/>
            <w:tcBorders>
              <w:top w:val="nil"/>
              <w:left w:val="nil"/>
              <w:bottom w:val="single" w:sz="4" w:space="0" w:color="auto"/>
              <w:right w:val="single" w:sz="4" w:space="0" w:color="auto"/>
            </w:tcBorders>
            <w:shd w:val="clear" w:color="auto" w:fill="auto"/>
            <w:noWrap/>
            <w:vAlign w:val="bottom"/>
          </w:tcPr>
          <w:p w14:paraId="191BC1B3" w14:textId="77777777" w:rsidR="008F16FC" w:rsidRPr="008F16FC" w:rsidRDefault="008F16FC" w:rsidP="008F16FC">
            <w:pPr>
              <w:rPr>
                <w:color w:val="000000"/>
                <w:sz w:val="20"/>
                <w:szCs w:val="20"/>
                <w:lang w:val="es-AR"/>
              </w:rPr>
            </w:pPr>
            <w:r w:rsidRPr="008F16FC">
              <w:rPr>
                <w:color w:val="000000"/>
                <w:sz w:val="20"/>
                <w:szCs w:val="20"/>
                <w:lang w:val="es-AR"/>
              </w:rPr>
              <w:t xml:space="preserve">   644.072</w:t>
            </w:r>
          </w:p>
        </w:tc>
        <w:tc>
          <w:tcPr>
            <w:tcW w:w="1340" w:type="dxa"/>
            <w:tcBorders>
              <w:top w:val="nil"/>
              <w:left w:val="nil"/>
              <w:bottom w:val="single" w:sz="4" w:space="0" w:color="auto"/>
              <w:right w:val="single" w:sz="4" w:space="0" w:color="auto"/>
            </w:tcBorders>
            <w:vAlign w:val="bottom"/>
          </w:tcPr>
          <w:p w14:paraId="58E2BA48" w14:textId="77777777" w:rsidR="008F16FC" w:rsidRPr="008F16FC" w:rsidRDefault="008F16FC" w:rsidP="008F16FC">
            <w:pPr>
              <w:rPr>
                <w:color w:val="000000"/>
                <w:sz w:val="20"/>
                <w:szCs w:val="20"/>
                <w:lang w:val="es-AR"/>
              </w:rPr>
            </w:pPr>
            <w:r w:rsidRPr="008F16FC">
              <w:rPr>
                <w:bCs/>
                <w:color w:val="000000"/>
                <w:sz w:val="20"/>
                <w:szCs w:val="20"/>
                <w:lang w:val="es-AR"/>
              </w:rPr>
              <w:t xml:space="preserve">        671.545 </w:t>
            </w:r>
          </w:p>
        </w:tc>
        <w:tc>
          <w:tcPr>
            <w:tcW w:w="1287" w:type="dxa"/>
            <w:tcBorders>
              <w:top w:val="nil"/>
              <w:left w:val="single" w:sz="4" w:space="0" w:color="auto"/>
              <w:bottom w:val="single" w:sz="4" w:space="0" w:color="auto"/>
              <w:right w:val="single" w:sz="4" w:space="0" w:color="auto"/>
            </w:tcBorders>
            <w:shd w:val="clear" w:color="auto" w:fill="auto"/>
            <w:noWrap/>
            <w:vAlign w:val="bottom"/>
          </w:tcPr>
          <w:p w14:paraId="0D113639"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-27.473</w:t>
            </w:r>
          </w:p>
        </w:tc>
        <w:tc>
          <w:tcPr>
            <w:tcW w:w="1340" w:type="dxa"/>
            <w:tcBorders>
              <w:top w:val="nil"/>
              <w:left w:val="nil"/>
              <w:bottom w:val="single" w:sz="4" w:space="0" w:color="auto"/>
              <w:right w:val="single" w:sz="8" w:space="0" w:color="auto"/>
            </w:tcBorders>
            <w:shd w:val="clear" w:color="auto" w:fill="auto"/>
            <w:noWrap/>
            <w:vAlign w:val="bottom"/>
          </w:tcPr>
          <w:p w14:paraId="6859E8EB"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-4%</w:t>
            </w:r>
          </w:p>
        </w:tc>
      </w:tr>
      <w:tr w:rsidR="008F16FC" w:rsidRPr="008F16FC" w14:paraId="0970FD15" w14:textId="77777777" w:rsidTr="008F16FC">
        <w:trPr>
          <w:trHeight w:val="270"/>
        </w:trPr>
        <w:tc>
          <w:tcPr>
            <w:tcW w:w="3953" w:type="dxa"/>
            <w:tcBorders>
              <w:top w:val="single" w:sz="8" w:space="0" w:color="auto"/>
              <w:left w:val="single" w:sz="8" w:space="0" w:color="auto"/>
              <w:bottom w:val="single" w:sz="8" w:space="0" w:color="auto"/>
              <w:right w:val="nil"/>
            </w:tcBorders>
            <w:shd w:val="clear" w:color="auto" w:fill="auto"/>
            <w:noWrap/>
            <w:vAlign w:val="bottom"/>
            <w:hideMark/>
          </w:tcPr>
          <w:p w14:paraId="08C47231" w14:textId="77777777" w:rsidR="008F16FC" w:rsidRPr="008F16FC" w:rsidRDefault="008F16FC" w:rsidP="008F16FC">
            <w:pPr>
              <w:rPr>
                <w:b/>
                <w:bCs/>
                <w:color w:val="000000"/>
                <w:sz w:val="20"/>
                <w:szCs w:val="20"/>
                <w:lang w:val="es-AR"/>
              </w:rPr>
            </w:pPr>
            <w:r w:rsidRPr="008F16FC">
              <w:rPr>
                <w:b/>
                <w:bCs/>
                <w:color w:val="000000"/>
                <w:sz w:val="20"/>
                <w:szCs w:val="20"/>
                <w:lang w:val="es-AR"/>
              </w:rPr>
              <w:t>Total Activo No Corriente</w:t>
            </w:r>
          </w:p>
        </w:tc>
        <w:tc>
          <w:tcPr>
            <w:tcW w:w="1340" w:type="dxa"/>
            <w:tcBorders>
              <w:top w:val="single" w:sz="8" w:space="0" w:color="auto"/>
              <w:left w:val="nil"/>
              <w:bottom w:val="single" w:sz="8" w:space="0" w:color="auto"/>
              <w:right w:val="nil"/>
            </w:tcBorders>
            <w:shd w:val="clear" w:color="auto" w:fill="auto"/>
            <w:noWrap/>
            <w:vAlign w:val="bottom"/>
          </w:tcPr>
          <w:p w14:paraId="735D82FC" w14:textId="77777777" w:rsidR="008F16FC" w:rsidRPr="008F16FC" w:rsidRDefault="008F16FC" w:rsidP="008F16FC">
            <w:pPr>
              <w:rPr>
                <w:color w:val="000000"/>
                <w:sz w:val="20"/>
                <w:szCs w:val="20"/>
                <w:lang w:val="es-AR"/>
              </w:rPr>
            </w:pPr>
            <w:r w:rsidRPr="008F16FC">
              <w:rPr>
                <w:color w:val="000000"/>
                <w:sz w:val="20"/>
                <w:szCs w:val="20"/>
                <w:lang w:val="es-AR"/>
              </w:rPr>
              <w:t>3.608.422</w:t>
            </w:r>
          </w:p>
        </w:tc>
        <w:tc>
          <w:tcPr>
            <w:tcW w:w="1340" w:type="dxa"/>
            <w:tcBorders>
              <w:top w:val="single" w:sz="8" w:space="0" w:color="auto"/>
              <w:left w:val="nil"/>
              <w:bottom w:val="single" w:sz="8" w:space="0" w:color="auto"/>
              <w:right w:val="single" w:sz="4" w:space="0" w:color="auto"/>
            </w:tcBorders>
            <w:vAlign w:val="bottom"/>
          </w:tcPr>
          <w:p w14:paraId="6576FECC" w14:textId="77777777" w:rsidR="008F16FC" w:rsidRPr="008F16FC" w:rsidRDefault="008F16FC" w:rsidP="008F16FC">
            <w:pPr>
              <w:rPr>
                <w:color w:val="000000"/>
                <w:sz w:val="20"/>
                <w:szCs w:val="20"/>
                <w:lang w:val="es-AR"/>
              </w:rPr>
            </w:pPr>
            <w:r w:rsidRPr="008F16FC">
              <w:rPr>
                <w:bCs/>
                <w:color w:val="000000"/>
                <w:sz w:val="20"/>
                <w:szCs w:val="20"/>
                <w:lang w:val="es-AR"/>
              </w:rPr>
              <w:t xml:space="preserve">     3.230.990 </w:t>
            </w:r>
          </w:p>
        </w:tc>
        <w:tc>
          <w:tcPr>
            <w:tcW w:w="1287" w:type="dxa"/>
            <w:tcBorders>
              <w:top w:val="single" w:sz="8" w:space="0" w:color="auto"/>
              <w:left w:val="single" w:sz="4" w:space="0" w:color="auto"/>
              <w:bottom w:val="single" w:sz="8" w:space="0" w:color="auto"/>
              <w:right w:val="nil"/>
            </w:tcBorders>
            <w:shd w:val="clear" w:color="auto" w:fill="auto"/>
            <w:noWrap/>
            <w:vAlign w:val="bottom"/>
          </w:tcPr>
          <w:p w14:paraId="2119BEB0"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377.432</w:t>
            </w:r>
          </w:p>
        </w:tc>
        <w:tc>
          <w:tcPr>
            <w:tcW w:w="1340" w:type="dxa"/>
            <w:tcBorders>
              <w:top w:val="single" w:sz="8" w:space="0" w:color="auto"/>
              <w:left w:val="nil"/>
              <w:bottom w:val="single" w:sz="8" w:space="0" w:color="auto"/>
              <w:right w:val="single" w:sz="8" w:space="0" w:color="auto"/>
            </w:tcBorders>
            <w:shd w:val="clear" w:color="auto" w:fill="auto"/>
            <w:noWrap/>
            <w:vAlign w:val="bottom"/>
          </w:tcPr>
          <w:p w14:paraId="73B532F6"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12%</w:t>
            </w:r>
          </w:p>
        </w:tc>
      </w:tr>
      <w:tr w:rsidR="008F16FC" w:rsidRPr="008F16FC" w14:paraId="2DEA92CA" w14:textId="77777777" w:rsidTr="008F16FC">
        <w:trPr>
          <w:trHeight w:val="270"/>
        </w:trPr>
        <w:tc>
          <w:tcPr>
            <w:tcW w:w="3953" w:type="dxa"/>
            <w:tcBorders>
              <w:top w:val="nil"/>
              <w:left w:val="nil"/>
              <w:bottom w:val="nil"/>
              <w:right w:val="nil"/>
            </w:tcBorders>
            <w:shd w:val="clear" w:color="auto" w:fill="auto"/>
            <w:noWrap/>
            <w:vAlign w:val="bottom"/>
            <w:hideMark/>
          </w:tcPr>
          <w:p w14:paraId="4EA9CFE4" w14:textId="77777777" w:rsidR="008F16FC" w:rsidRPr="008F16FC" w:rsidRDefault="008F16FC" w:rsidP="008F16FC">
            <w:pPr>
              <w:rPr>
                <w:color w:val="000000"/>
                <w:sz w:val="20"/>
                <w:szCs w:val="20"/>
                <w:lang w:val="es-AR"/>
              </w:rPr>
            </w:pPr>
          </w:p>
        </w:tc>
        <w:tc>
          <w:tcPr>
            <w:tcW w:w="1340" w:type="dxa"/>
            <w:tcBorders>
              <w:top w:val="nil"/>
              <w:left w:val="nil"/>
              <w:bottom w:val="nil"/>
              <w:right w:val="nil"/>
            </w:tcBorders>
            <w:shd w:val="clear" w:color="auto" w:fill="auto"/>
            <w:noWrap/>
            <w:vAlign w:val="bottom"/>
          </w:tcPr>
          <w:p w14:paraId="63993FAF" w14:textId="77777777" w:rsidR="008F16FC" w:rsidRPr="008F16FC" w:rsidRDefault="008F16FC" w:rsidP="008F16FC">
            <w:pPr>
              <w:rPr>
                <w:color w:val="000000"/>
                <w:sz w:val="20"/>
                <w:szCs w:val="20"/>
                <w:lang w:val="es-AR"/>
              </w:rPr>
            </w:pPr>
          </w:p>
        </w:tc>
        <w:tc>
          <w:tcPr>
            <w:tcW w:w="1340" w:type="dxa"/>
            <w:tcBorders>
              <w:top w:val="single" w:sz="8" w:space="0" w:color="auto"/>
              <w:left w:val="nil"/>
              <w:bottom w:val="single" w:sz="8" w:space="0" w:color="auto"/>
            </w:tcBorders>
            <w:vAlign w:val="bottom"/>
          </w:tcPr>
          <w:p w14:paraId="092CFEF5" w14:textId="77777777" w:rsidR="008F16FC" w:rsidRPr="008F16FC" w:rsidRDefault="008F16FC" w:rsidP="008F16FC">
            <w:pPr>
              <w:rPr>
                <w:color w:val="000000"/>
                <w:sz w:val="20"/>
                <w:szCs w:val="20"/>
                <w:lang w:val="es-AR"/>
              </w:rPr>
            </w:pPr>
          </w:p>
        </w:tc>
        <w:tc>
          <w:tcPr>
            <w:tcW w:w="1287" w:type="dxa"/>
            <w:tcBorders>
              <w:top w:val="nil"/>
              <w:left w:val="nil"/>
              <w:bottom w:val="single" w:sz="8" w:space="0" w:color="auto"/>
              <w:right w:val="nil"/>
            </w:tcBorders>
            <w:shd w:val="clear" w:color="auto" w:fill="auto"/>
            <w:noWrap/>
            <w:vAlign w:val="bottom"/>
          </w:tcPr>
          <w:p w14:paraId="1E3DC370" w14:textId="77777777" w:rsidR="008F16FC" w:rsidRPr="008F16FC" w:rsidRDefault="008F16FC" w:rsidP="008F16FC">
            <w:pPr>
              <w:jc w:val="right"/>
              <w:rPr>
                <w:color w:val="000000"/>
                <w:sz w:val="20"/>
                <w:szCs w:val="20"/>
                <w:lang w:val="es-AR"/>
              </w:rPr>
            </w:pPr>
          </w:p>
        </w:tc>
        <w:tc>
          <w:tcPr>
            <w:tcW w:w="1340" w:type="dxa"/>
            <w:tcBorders>
              <w:top w:val="nil"/>
              <w:left w:val="nil"/>
              <w:bottom w:val="nil"/>
              <w:right w:val="nil"/>
            </w:tcBorders>
            <w:shd w:val="clear" w:color="auto" w:fill="auto"/>
            <w:noWrap/>
            <w:vAlign w:val="bottom"/>
          </w:tcPr>
          <w:p w14:paraId="427F6FA3" w14:textId="77777777" w:rsidR="008F16FC" w:rsidRPr="008F16FC" w:rsidRDefault="008F16FC" w:rsidP="008F16FC">
            <w:pPr>
              <w:jc w:val="center"/>
              <w:rPr>
                <w:color w:val="000000"/>
                <w:sz w:val="20"/>
                <w:szCs w:val="20"/>
                <w:lang w:val="es-AR"/>
              </w:rPr>
            </w:pPr>
          </w:p>
        </w:tc>
      </w:tr>
      <w:tr w:rsidR="008F16FC" w:rsidRPr="008F16FC" w14:paraId="5350A4A1" w14:textId="77777777" w:rsidTr="008F16FC">
        <w:trPr>
          <w:trHeight w:val="270"/>
        </w:trPr>
        <w:tc>
          <w:tcPr>
            <w:tcW w:w="3953" w:type="dxa"/>
            <w:tcBorders>
              <w:top w:val="single" w:sz="8" w:space="0" w:color="auto"/>
              <w:left w:val="single" w:sz="8" w:space="0" w:color="auto"/>
              <w:bottom w:val="single" w:sz="8" w:space="0" w:color="auto"/>
              <w:right w:val="nil"/>
            </w:tcBorders>
            <w:shd w:val="clear" w:color="auto" w:fill="auto"/>
            <w:noWrap/>
            <w:vAlign w:val="bottom"/>
            <w:hideMark/>
          </w:tcPr>
          <w:p w14:paraId="1B0E094E" w14:textId="77777777" w:rsidR="008F16FC" w:rsidRPr="008F16FC" w:rsidRDefault="008F16FC" w:rsidP="008F16FC">
            <w:pPr>
              <w:rPr>
                <w:b/>
                <w:bCs/>
                <w:color w:val="000000"/>
                <w:sz w:val="20"/>
                <w:szCs w:val="20"/>
                <w:lang w:val="es-AR"/>
              </w:rPr>
            </w:pPr>
            <w:r w:rsidRPr="008F16FC">
              <w:rPr>
                <w:b/>
                <w:bCs/>
                <w:color w:val="000000"/>
                <w:sz w:val="20"/>
                <w:szCs w:val="20"/>
                <w:lang w:val="es-AR"/>
              </w:rPr>
              <w:t>TOTAL ACTIVO</w:t>
            </w:r>
          </w:p>
        </w:tc>
        <w:tc>
          <w:tcPr>
            <w:tcW w:w="1340" w:type="dxa"/>
            <w:tcBorders>
              <w:top w:val="single" w:sz="8" w:space="0" w:color="auto"/>
              <w:left w:val="nil"/>
              <w:bottom w:val="single" w:sz="8" w:space="0" w:color="auto"/>
              <w:right w:val="nil"/>
            </w:tcBorders>
            <w:shd w:val="clear" w:color="auto" w:fill="auto"/>
            <w:noWrap/>
            <w:vAlign w:val="bottom"/>
          </w:tcPr>
          <w:p w14:paraId="0487B87A" w14:textId="77777777" w:rsidR="008F16FC" w:rsidRPr="008F16FC" w:rsidRDefault="008F16FC" w:rsidP="008F16FC">
            <w:pPr>
              <w:rPr>
                <w:color w:val="000000"/>
                <w:sz w:val="20"/>
                <w:szCs w:val="20"/>
                <w:lang w:val="es-AR"/>
              </w:rPr>
            </w:pPr>
            <w:r w:rsidRPr="008F16FC">
              <w:rPr>
                <w:color w:val="000000"/>
                <w:sz w:val="20"/>
                <w:szCs w:val="20"/>
                <w:lang w:val="es-AR"/>
              </w:rPr>
              <w:t>11.575.587</w:t>
            </w:r>
          </w:p>
        </w:tc>
        <w:tc>
          <w:tcPr>
            <w:tcW w:w="1340" w:type="dxa"/>
            <w:tcBorders>
              <w:top w:val="single" w:sz="8" w:space="0" w:color="auto"/>
              <w:left w:val="nil"/>
              <w:bottom w:val="single" w:sz="8" w:space="0" w:color="auto"/>
              <w:right w:val="single" w:sz="4" w:space="0" w:color="auto"/>
            </w:tcBorders>
            <w:vAlign w:val="bottom"/>
          </w:tcPr>
          <w:p w14:paraId="65BCCA34" w14:textId="77777777" w:rsidR="008F16FC" w:rsidRPr="008F16FC" w:rsidRDefault="008F16FC" w:rsidP="008F16FC">
            <w:pPr>
              <w:rPr>
                <w:color w:val="000000"/>
                <w:sz w:val="20"/>
                <w:szCs w:val="20"/>
                <w:lang w:val="es-AR"/>
              </w:rPr>
            </w:pPr>
            <w:r w:rsidRPr="008F16FC">
              <w:rPr>
                <w:bCs/>
                <w:color w:val="000000"/>
                <w:sz w:val="20"/>
                <w:szCs w:val="20"/>
                <w:lang w:val="es-AR"/>
              </w:rPr>
              <w:t xml:space="preserve">    11.467.365 </w:t>
            </w:r>
          </w:p>
        </w:tc>
        <w:tc>
          <w:tcPr>
            <w:tcW w:w="1287" w:type="dxa"/>
            <w:tcBorders>
              <w:top w:val="single" w:sz="8" w:space="0" w:color="auto"/>
              <w:left w:val="single" w:sz="4" w:space="0" w:color="auto"/>
              <w:bottom w:val="single" w:sz="8" w:space="0" w:color="auto"/>
              <w:right w:val="single" w:sz="4" w:space="0" w:color="auto"/>
            </w:tcBorders>
            <w:shd w:val="clear" w:color="auto" w:fill="auto"/>
            <w:noWrap/>
            <w:vAlign w:val="bottom"/>
          </w:tcPr>
          <w:p w14:paraId="16A61B56"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108.222</w:t>
            </w:r>
          </w:p>
        </w:tc>
        <w:tc>
          <w:tcPr>
            <w:tcW w:w="1340" w:type="dxa"/>
            <w:tcBorders>
              <w:top w:val="single" w:sz="8" w:space="0" w:color="auto"/>
              <w:left w:val="single" w:sz="4" w:space="0" w:color="auto"/>
              <w:bottom w:val="single" w:sz="8" w:space="0" w:color="auto"/>
              <w:right w:val="single" w:sz="8" w:space="0" w:color="auto"/>
            </w:tcBorders>
            <w:shd w:val="clear" w:color="auto" w:fill="auto"/>
            <w:noWrap/>
            <w:vAlign w:val="bottom"/>
          </w:tcPr>
          <w:p w14:paraId="7D73820A"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1%</w:t>
            </w:r>
          </w:p>
        </w:tc>
      </w:tr>
      <w:tr w:rsidR="008F16FC" w:rsidRPr="008F16FC" w14:paraId="69F0A26F" w14:textId="77777777" w:rsidTr="008F16FC">
        <w:trPr>
          <w:trHeight w:val="270"/>
        </w:trPr>
        <w:tc>
          <w:tcPr>
            <w:tcW w:w="3953" w:type="dxa"/>
            <w:tcBorders>
              <w:top w:val="nil"/>
              <w:left w:val="nil"/>
              <w:bottom w:val="nil"/>
              <w:right w:val="nil"/>
            </w:tcBorders>
            <w:shd w:val="clear" w:color="auto" w:fill="auto"/>
            <w:noWrap/>
            <w:vAlign w:val="bottom"/>
            <w:hideMark/>
          </w:tcPr>
          <w:p w14:paraId="57C89D03" w14:textId="77777777" w:rsidR="008F16FC" w:rsidRPr="008F16FC" w:rsidRDefault="008F16FC" w:rsidP="008F16FC">
            <w:pPr>
              <w:rPr>
                <w:color w:val="000000"/>
                <w:sz w:val="20"/>
                <w:szCs w:val="20"/>
                <w:lang w:val="es-AR"/>
              </w:rPr>
            </w:pPr>
          </w:p>
        </w:tc>
        <w:tc>
          <w:tcPr>
            <w:tcW w:w="1340" w:type="dxa"/>
            <w:tcBorders>
              <w:top w:val="nil"/>
              <w:left w:val="nil"/>
              <w:bottom w:val="nil"/>
              <w:right w:val="nil"/>
            </w:tcBorders>
            <w:shd w:val="clear" w:color="auto" w:fill="auto"/>
            <w:noWrap/>
            <w:vAlign w:val="bottom"/>
          </w:tcPr>
          <w:p w14:paraId="463C64D7" w14:textId="77777777" w:rsidR="008F16FC" w:rsidRPr="008F16FC" w:rsidRDefault="008F16FC" w:rsidP="008F16FC">
            <w:pPr>
              <w:rPr>
                <w:color w:val="000000"/>
                <w:sz w:val="20"/>
                <w:szCs w:val="20"/>
                <w:lang w:val="es-AR"/>
              </w:rPr>
            </w:pPr>
          </w:p>
        </w:tc>
        <w:tc>
          <w:tcPr>
            <w:tcW w:w="1340" w:type="dxa"/>
            <w:tcBorders>
              <w:top w:val="single" w:sz="8" w:space="0" w:color="auto"/>
              <w:left w:val="nil"/>
              <w:bottom w:val="single" w:sz="8" w:space="0" w:color="auto"/>
            </w:tcBorders>
            <w:vAlign w:val="bottom"/>
          </w:tcPr>
          <w:p w14:paraId="15F56366" w14:textId="77777777" w:rsidR="008F16FC" w:rsidRPr="008F16FC" w:rsidRDefault="008F16FC" w:rsidP="008F16FC">
            <w:pPr>
              <w:rPr>
                <w:color w:val="000000"/>
                <w:sz w:val="20"/>
                <w:szCs w:val="20"/>
                <w:lang w:val="es-AR"/>
              </w:rPr>
            </w:pPr>
          </w:p>
        </w:tc>
        <w:tc>
          <w:tcPr>
            <w:tcW w:w="1287" w:type="dxa"/>
            <w:tcBorders>
              <w:top w:val="nil"/>
              <w:left w:val="nil"/>
              <w:bottom w:val="nil"/>
              <w:right w:val="nil"/>
            </w:tcBorders>
            <w:shd w:val="clear" w:color="auto" w:fill="auto"/>
            <w:noWrap/>
            <w:vAlign w:val="bottom"/>
          </w:tcPr>
          <w:p w14:paraId="01F30AFD" w14:textId="77777777" w:rsidR="008F16FC" w:rsidRPr="008F16FC" w:rsidRDefault="008F16FC" w:rsidP="008F16FC">
            <w:pPr>
              <w:rPr>
                <w:color w:val="000000"/>
                <w:sz w:val="20"/>
                <w:szCs w:val="20"/>
                <w:lang w:val="es-AR"/>
              </w:rPr>
            </w:pPr>
          </w:p>
        </w:tc>
        <w:tc>
          <w:tcPr>
            <w:tcW w:w="1340" w:type="dxa"/>
            <w:tcBorders>
              <w:top w:val="nil"/>
              <w:left w:val="nil"/>
              <w:bottom w:val="nil"/>
              <w:right w:val="nil"/>
            </w:tcBorders>
            <w:shd w:val="clear" w:color="auto" w:fill="auto"/>
            <w:noWrap/>
            <w:vAlign w:val="bottom"/>
          </w:tcPr>
          <w:p w14:paraId="63F93199" w14:textId="77777777" w:rsidR="008F16FC" w:rsidRPr="008F16FC" w:rsidRDefault="008F16FC" w:rsidP="008F16FC">
            <w:pPr>
              <w:jc w:val="center"/>
              <w:rPr>
                <w:color w:val="000000"/>
                <w:sz w:val="20"/>
                <w:szCs w:val="20"/>
                <w:lang w:val="es-AR"/>
              </w:rPr>
            </w:pPr>
          </w:p>
        </w:tc>
      </w:tr>
      <w:tr w:rsidR="008F16FC" w:rsidRPr="008F16FC" w14:paraId="63CFDFF4" w14:textId="77777777" w:rsidTr="008F16FC">
        <w:trPr>
          <w:trHeight w:val="255"/>
        </w:trPr>
        <w:tc>
          <w:tcPr>
            <w:tcW w:w="395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F9463BA" w14:textId="77777777" w:rsidR="008F16FC" w:rsidRPr="008F16FC" w:rsidRDefault="008F16FC" w:rsidP="008F16FC">
            <w:pPr>
              <w:rPr>
                <w:b/>
                <w:bCs/>
                <w:color w:val="000000"/>
                <w:sz w:val="20"/>
                <w:szCs w:val="20"/>
                <w:lang w:val="es-AR"/>
              </w:rPr>
            </w:pPr>
            <w:r w:rsidRPr="008F16FC">
              <w:rPr>
                <w:b/>
                <w:bCs/>
                <w:color w:val="000000"/>
                <w:sz w:val="20"/>
                <w:szCs w:val="20"/>
                <w:lang w:val="es-AR"/>
              </w:rPr>
              <w:t xml:space="preserve">Acreedores comerciales </w:t>
            </w:r>
            <w:r w:rsidRPr="008F16FC">
              <w:rPr>
                <w:b/>
                <w:bCs/>
                <w:i/>
                <w:iCs/>
                <w:color w:val="000000"/>
                <w:sz w:val="20"/>
                <w:szCs w:val="20"/>
                <w:lang w:val="es-AR"/>
              </w:rPr>
              <w:t>(7)</w:t>
            </w:r>
          </w:p>
        </w:tc>
        <w:tc>
          <w:tcPr>
            <w:tcW w:w="1340" w:type="dxa"/>
            <w:tcBorders>
              <w:top w:val="single" w:sz="8" w:space="0" w:color="auto"/>
              <w:left w:val="nil"/>
              <w:bottom w:val="single" w:sz="4" w:space="0" w:color="auto"/>
              <w:right w:val="single" w:sz="4" w:space="0" w:color="auto"/>
            </w:tcBorders>
            <w:shd w:val="clear" w:color="auto" w:fill="auto"/>
            <w:noWrap/>
            <w:vAlign w:val="bottom"/>
          </w:tcPr>
          <w:p w14:paraId="0AC2A386" w14:textId="77777777" w:rsidR="008F16FC" w:rsidRPr="008F16FC" w:rsidRDefault="008F16FC" w:rsidP="008F16FC">
            <w:pPr>
              <w:rPr>
                <w:color w:val="000000"/>
                <w:sz w:val="20"/>
                <w:szCs w:val="20"/>
                <w:lang w:val="es-AR"/>
              </w:rPr>
            </w:pPr>
            <w:r w:rsidRPr="008F16FC">
              <w:rPr>
                <w:color w:val="000000"/>
                <w:sz w:val="20"/>
                <w:szCs w:val="20"/>
                <w:lang w:val="es-AR"/>
              </w:rPr>
              <w:t>2.166.968</w:t>
            </w:r>
          </w:p>
        </w:tc>
        <w:tc>
          <w:tcPr>
            <w:tcW w:w="1340" w:type="dxa"/>
            <w:tcBorders>
              <w:top w:val="single" w:sz="8" w:space="0" w:color="auto"/>
              <w:left w:val="nil"/>
              <w:bottom w:val="single" w:sz="4" w:space="0" w:color="auto"/>
              <w:right w:val="single" w:sz="4" w:space="0" w:color="auto"/>
            </w:tcBorders>
            <w:vAlign w:val="bottom"/>
          </w:tcPr>
          <w:p w14:paraId="6808140F" w14:textId="77777777" w:rsidR="008F16FC" w:rsidRPr="008F16FC" w:rsidRDefault="008F16FC" w:rsidP="008F16FC">
            <w:pPr>
              <w:rPr>
                <w:color w:val="000000"/>
                <w:sz w:val="20"/>
                <w:szCs w:val="20"/>
                <w:lang w:val="es-AR"/>
              </w:rPr>
            </w:pPr>
            <w:r w:rsidRPr="008F16FC">
              <w:rPr>
                <w:bCs/>
                <w:color w:val="000000"/>
                <w:sz w:val="20"/>
                <w:szCs w:val="20"/>
                <w:lang w:val="es-AR"/>
              </w:rPr>
              <w:t xml:space="preserve">     1.699.397 </w:t>
            </w:r>
          </w:p>
        </w:tc>
        <w:tc>
          <w:tcPr>
            <w:tcW w:w="1287"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8F66F20"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467.571</w:t>
            </w:r>
          </w:p>
        </w:tc>
        <w:tc>
          <w:tcPr>
            <w:tcW w:w="1340" w:type="dxa"/>
            <w:tcBorders>
              <w:top w:val="single" w:sz="8" w:space="0" w:color="auto"/>
              <w:left w:val="nil"/>
              <w:bottom w:val="single" w:sz="4" w:space="0" w:color="auto"/>
              <w:right w:val="single" w:sz="8" w:space="0" w:color="auto"/>
            </w:tcBorders>
            <w:shd w:val="clear" w:color="auto" w:fill="auto"/>
            <w:noWrap/>
            <w:vAlign w:val="bottom"/>
          </w:tcPr>
          <w:p w14:paraId="4111D2C6"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28%</w:t>
            </w:r>
          </w:p>
        </w:tc>
      </w:tr>
      <w:tr w:rsidR="008F16FC" w:rsidRPr="008F16FC" w14:paraId="0AC983DA" w14:textId="77777777" w:rsidTr="008F16FC">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38CF6E4E" w14:textId="77777777" w:rsidR="008F16FC" w:rsidRPr="008F16FC" w:rsidRDefault="008F16FC" w:rsidP="008F16FC">
            <w:pPr>
              <w:rPr>
                <w:b/>
                <w:bCs/>
                <w:color w:val="000000"/>
                <w:sz w:val="20"/>
                <w:szCs w:val="20"/>
                <w:lang w:val="es-AR"/>
              </w:rPr>
            </w:pPr>
            <w:r w:rsidRPr="008F16FC">
              <w:rPr>
                <w:b/>
                <w:bCs/>
                <w:color w:val="000000"/>
                <w:sz w:val="20"/>
                <w:szCs w:val="20"/>
                <w:lang w:val="es-AR"/>
              </w:rPr>
              <w:t xml:space="preserve">Pasivos por C. Construcción </w:t>
            </w:r>
            <w:r w:rsidRPr="008F16FC">
              <w:rPr>
                <w:b/>
                <w:bCs/>
                <w:i/>
                <w:iCs/>
                <w:color w:val="000000"/>
                <w:sz w:val="20"/>
                <w:szCs w:val="20"/>
                <w:lang w:val="es-AR"/>
              </w:rPr>
              <w:t>(8)</w:t>
            </w:r>
          </w:p>
        </w:tc>
        <w:tc>
          <w:tcPr>
            <w:tcW w:w="1340" w:type="dxa"/>
            <w:tcBorders>
              <w:top w:val="nil"/>
              <w:left w:val="nil"/>
              <w:bottom w:val="single" w:sz="4" w:space="0" w:color="auto"/>
              <w:right w:val="single" w:sz="4" w:space="0" w:color="auto"/>
            </w:tcBorders>
            <w:shd w:val="clear" w:color="auto" w:fill="auto"/>
            <w:noWrap/>
            <w:vAlign w:val="bottom"/>
          </w:tcPr>
          <w:p w14:paraId="08C777F0" w14:textId="77777777" w:rsidR="008F16FC" w:rsidRPr="008F16FC" w:rsidRDefault="008F16FC" w:rsidP="008F16FC">
            <w:pPr>
              <w:rPr>
                <w:color w:val="000000"/>
                <w:sz w:val="20"/>
                <w:szCs w:val="20"/>
                <w:lang w:val="es-AR"/>
              </w:rPr>
            </w:pPr>
            <w:r w:rsidRPr="008F16FC">
              <w:rPr>
                <w:color w:val="000000"/>
                <w:sz w:val="20"/>
                <w:szCs w:val="20"/>
                <w:lang w:val="es-AR"/>
              </w:rPr>
              <w:t>2.881.852</w:t>
            </w:r>
          </w:p>
        </w:tc>
        <w:tc>
          <w:tcPr>
            <w:tcW w:w="1340" w:type="dxa"/>
            <w:tcBorders>
              <w:top w:val="nil"/>
              <w:left w:val="nil"/>
              <w:bottom w:val="single" w:sz="4" w:space="0" w:color="auto"/>
              <w:right w:val="single" w:sz="4" w:space="0" w:color="auto"/>
            </w:tcBorders>
            <w:vAlign w:val="bottom"/>
          </w:tcPr>
          <w:p w14:paraId="6750DE3E" w14:textId="77777777" w:rsidR="008F16FC" w:rsidRPr="008F16FC" w:rsidRDefault="008F16FC" w:rsidP="008F16FC">
            <w:pPr>
              <w:rPr>
                <w:color w:val="000000"/>
                <w:sz w:val="20"/>
                <w:szCs w:val="20"/>
                <w:lang w:val="es-AR"/>
              </w:rPr>
            </w:pPr>
            <w:r w:rsidRPr="008F16FC">
              <w:rPr>
                <w:bCs/>
                <w:color w:val="000000"/>
                <w:sz w:val="20"/>
                <w:szCs w:val="20"/>
                <w:lang w:val="es-AR"/>
              </w:rPr>
              <w:t xml:space="preserve">     3.719.660 </w:t>
            </w:r>
          </w:p>
        </w:tc>
        <w:tc>
          <w:tcPr>
            <w:tcW w:w="1287" w:type="dxa"/>
            <w:tcBorders>
              <w:top w:val="nil"/>
              <w:left w:val="single" w:sz="4" w:space="0" w:color="auto"/>
              <w:bottom w:val="single" w:sz="4" w:space="0" w:color="auto"/>
              <w:right w:val="single" w:sz="4" w:space="0" w:color="auto"/>
            </w:tcBorders>
            <w:shd w:val="clear" w:color="auto" w:fill="auto"/>
            <w:noWrap/>
            <w:vAlign w:val="bottom"/>
          </w:tcPr>
          <w:p w14:paraId="246AE93C"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-837.808</w:t>
            </w:r>
          </w:p>
        </w:tc>
        <w:tc>
          <w:tcPr>
            <w:tcW w:w="1340" w:type="dxa"/>
            <w:tcBorders>
              <w:top w:val="nil"/>
              <w:left w:val="nil"/>
              <w:bottom w:val="single" w:sz="4" w:space="0" w:color="auto"/>
              <w:right w:val="single" w:sz="8" w:space="0" w:color="auto"/>
            </w:tcBorders>
            <w:shd w:val="clear" w:color="auto" w:fill="auto"/>
            <w:noWrap/>
            <w:vAlign w:val="bottom"/>
          </w:tcPr>
          <w:p w14:paraId="34826E2D"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-23%</w:t>
            </w:r>
          </w:p>
        </w:tc>
      </w:tr>
      <w:tr w:rsidR="008F16FC" w:rsidRPr="008F16FC" w14:paraId="4615A5D2" w14:textId="77777777" w:rsidTr="008F16FC">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6FD3EAF4" w14:textId="77777777" w:rsidR="008F16FC" w:rsidRPr="008F16FC" w:rsidRDefault="008F16FC" w:rsidP="008F16FC">
            <w:pPr>
              <w:rPr>
                <w:b/>
                <w:bCs/>
                <w:color w:val="000000"/>
                <w:sz w:val="20"/>
                <w:szCs w:val="20"/>
                <w:lang w:val="es-AR"/>
              </w:rPr>
            </w:pPr>
            <w:r w:rsidRPr="008F16FC">
              <w:rPr>
                <w:b/>
                <w:bCs/>
                <w:color w:val="000000"/>
                <w:sz w:val="20"/>
                <w:szCs w:val="20"/>
                <w:lang w:val="es-AR"/>
              </w:rPr>
              <w:t xml:space="preserve">Pasivos financieros </w:t>
            </w:r>
            <w:r w:rsidRPr="008F16FC">
              <w:rPr>
                <w:b/>
                <w:bCs/>
                <w:i/>
                <w:iCs/>
                <w:color w:val="000000"/>
                <w:sz w:val="20"/>
                <w:szCs w:val="20"/>
                <w:lang w:val="es-AR"/>
              </w:rPr>
              <w:t>(9)</w:t>
            </w:r>
          </w:p>
        </w:tc>
        <w:tc>
          <w:tcPr>
            <w:tcW w:w="1340" w:type="dxa"/>
            <w:tcBorders>
              <w:top w:val="nil"/>
              <w:left w:val="nil"/>
              <w:bottom w:val="single" w:sz="4" w:space="0" w:color="auto"/>
              <w:right w:val="single" w:sz="4" w:space="0" w:color="auto"/>
            </w:tcBorders>
            <w:shd w:val="clear" w:color="auto" w:fill="auto"/>
            <w:noWrap/>
            <w:vAlign w:val="bottom"/>
          </w:tcPr>
          <w:p w14:paraId="2FE98BA7" w14:textId="77777777" w:rsidR="008F16FC" w:rsidRPr="008F16FC" w:rsidRDefault="008F16FC" w:rsidP="008F16FC">
            <w:pPr>
              <w:rPr>
                <w:color w:val="000000"/>
                <w:sz w:val="20"/>
                <w:szCs w:val="20"/>
                <w:lang w:val="es-AR"/>
              </w:rPr>
            </w:pPr>
            <w:r w:rsidRPr="008F16FC">
              <w:rPr>
                <w:color w:val="000000"/>
                <w:sz w:val="20"/>
                <w:szCs w:val="20"/>
                <w:lang w:val="es-AR"/>
              </w:rPr>
              <w:t>1.429.695</w:t>
            </w:r>
          </w:p>
        </w:tc>
        <w:tc>
          <w:tcPr>
            <w:tcW w:w="1340" w:type="dxa"/>
            <w:tcBorders>
              <w:top w:val="nil"/>
              <w:left w:val="nil"/>
              <w:bottom w:val="single" w:sz="4" w:space="0" w:color="auto"/>
              <w:right w:val="single" w:sz="4" w:space="0" w:color="auto"/>
            </w:tcBorders>
            <w:vAlign w:val="bottom"/>
          </w:tcPr>
          <w:p w14:paraId="2D9F46A2" w14:textId="77777777" w:rsidR="008F16FC" w:rsidRPr="008F16FC" w:rsidRDefault="008F16FC" w:rsidP="008F16FC">
            <w:pPr>
              <w:rPr>
                <w:color w:val="000000"/>
                <w:sz w:val="20"/>
                <w:szCs w:val="20"/>
                <w:lang w:val="es-AR"/>
              </w:rPr>
            </w:pPr>
            <w:r w:rsidRPr="008F16FC">
              <w:rPr>
                <w:bCs/>
                <w:color w:val="000000"/>
                <w:sz w:val="20"/>
                <w:szCs w:val="20"/>
                <w:lang w:val="es-AR"/>
              </w:rPr>
              <w:t xml:space="preserve">     1.515.552 </w:t>
            </w:r>
          </w:p>
        </w:tc>
        <w:tc>
          <w:tcPr>
            <w:tcW w:w="1287" w:type="dxa"/>
            <w:tcBorders>
              <w:top w:val="nil"/>
              <w:left w:val="single" w:sz="4" w:space="0" w:color="auto"/>
              <w:bottom w:val="single" w:sz="4" w:space="0" w:color="auto"/>
              <w:right w:val="single" w:sz="4" w:space="0" w:color="auto"/>
            </w:tcBorders>
            <w:shd w:val="clear" w:color="auto" w:fill="auto"/>
            <w:noWrap/>
            <w:vAlign w:val="bottom"/>
          </w:tcPr>
          <w:p w14:paraId="52657AD5"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-85.857</w:t>
            </w:r>
          </w:p>
        </w:tc>
        <w:tc>
          <w:tcPr>
            <w:tcW w:w="1340" w:type="dxa"/>
            <w:tcBorders>
              <w:top w:val="nil"/>
              <w:left w:val="nil"/>
              <w:bottom w:val="single" w:sz="4" w:space="0" w:color="auto"/>
              <w:right w:val="single" w:sz="8" w:space="0" w:color="auto"/>
            </w:tcBorders>
            <w:shd w:val="clear" w:color="auto" w:fill="auto"/>
            <w:noWrap/>
            <w:vAlign w:val="bottom"/>
          </w:tcPr>
          <w:p w14:paraId="1A26303F"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-6%</w:t>
            </w:r>
          </w:p>
        </w:tc>
      </w:tr>
      <w:tr w:rsidR="008F16FC" w:rsidRPr="008F16FC" w14:paraId="42ADF951" w14:textId="77777777" w:rsidTr="008F16FC">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47874753" w14:textId="77777777" w:rsidR="008F16FC" w:rsidRPr="008F16FC" w:rsidRDefault="008F16FC" w:rsidP="008F16FC">
            <w:pPr>
              <w:rPr>
                <w:b/>
                <w:bCs/>
                <w:color w:val="000000"/>
                <w:sz w:val="20"/>
                <w:szCs w:val="20"/>
                <w:lang w:val="es-AR"/>
              </w:rPr>
            </w:pPr>
            <w:r w:rsidRPr="008F16FC">
              <w:rPr>
                <w:b/>
                <w:bCs/>
                <w:color w:val="000000"/>
                <w:sz w:val="20"/>
                <w:szCs w:val="20"/>
                <w:lang w:val="es-AR"/>
              </w:rPr>
              <w:t xml:space="preserve">Beneficios al personal </w:t>
            </w:r>
            <w:r w:rsidRPr="008F16FC">
              <w:rPr>
                <w:b/>
                <w:bCs/>
                <w:i/>
                <w:iCs/>
                <w:color w:val="000000"/>
                <w:sz w:val="20"/>
                <w:szCs w:val="20"/>
                <w:lang w:val="es-AR"/>
              </w:rPr>
              <w:t>(10)</w:t>
            </w:r>
          </w:p>
        </w:tc>
        <w:tc>
          <w:tcPr>
            <w:tcW w:w="1340" w:type="dxa"/>
            <w:tcBorders>
              <w:top w:val="nil"/>
              <w:left w:val="nil"/>
              <w:bottom w:val="single" w:sz="4" w:space="0" w:color="auto"/>
              <w:right w:val="single" w:sz="4" w:space="0" w:color="auto"/>
            </w:tcBorders>
            <w:shd w:val="clear" w:color="auto" w:fill="auto"/>
            <w:noWrap/>
            <w:vAlign w:val="bottom"/>
          </w:tcPr>
          <w:p w14:paraId="2BC8136B" w14:textId="77777777" w:rsidR="008F16FC" w:rsidRPr="008F16FC" w:rsidRDefault="008F16FC" w:rsidP="008F16FC">
            <w:pPr>
              <w:rPr>
                <w:color w:val="000000"/>
                <w:sz w:val="20"/>
                <w:szCs w:val="20"/>
                <w:lang w:val="es-AR"/>
              </w:rPr>
            </w:pPr>
            <w:r w:rsidRPr="008F16FC">
              <w:rPr>
                <w:color w:val="000000"/>
                <w:sz w:val="20"/>
                <w:szCs w:val="20"/>
                <w:lang w:val="es-AR"/>
              </w:rPr>
              <w:t xml:space="preserve">   568.249</w:t>
            </w:r>
          </w:p>
        </w:tc>
        <w:tc>
          <w:tcPr>
            <w:tcW w:w="1340" w:type="dxa"/>
            <w:tcBorders>
              <w:top w:val="nil"/>
              <w:left w:val="nil"/>
              <w:bottom w:val="single" w:sz="4" w:space="0" w:color="auto"/>
              <w:right w:val="single" w:sz="4" w:space="0" w:color="auto"/>
            </w:tcBorders>
            <w:vAlign w:val="bottom"/>
          </w:tcPr>
          <w:p w14:paraId="359DC8A9" w14:textId="77777777" w:rsidR="008F16FC" w:rsidRPr="008F16FC" w:rsidRDefault="008F16FC" w:rsidP="008F16FC">
            <w:pPr>
              <w:rPr>
                <w:color w:val="000000"/>
                <w:sz w:val="20"/>
                <w:szCs w:val="20"/>
                <w:lang w:val="es-AR"/>
              </w:rPr>
            </w:pPr>
            <w:r w:rsidRPr="008F16FC">
              <w:rPr>
                <w:bCs/>
                <w:color w:val="000000"/>
                <w:sz w:val="20"/>
                <w:szCs w:val="20"/>
                <w:lang w:val="es-AR"/>
              </w:rPr>
              <w:t xml:space="preserve">        570.349 </w:t>
            </w:r>
          </w:p>
        </w:tc>
        <w:tc>
          <w:tcPr>
            <w:tcW w:w="1287" w:type="dxa"/>
            <w:tcBorders>
              <w:top w:val="nil"/>
              <w:left w:val="single" w:sz="4" w:space="0" w:color="auto"/>
              <w:bottom w:val="single" w:sz="4" w:space="0" w:color="auto"/>
              <w:right w:val="single" w:sz="4" w:space="0" w:color="auto"/>
            </w:tcBorders>
            <w:shd w:val="clear" w:color="auto" w:fill="auto"/>
            <w:noWrap/>
            <w:vAlign w:val="bottom"/>
          </w:tcPr>
          <w:p w14:paraId="0127DE9B"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-2.100</w:t>
            </w:r>
          </w:p>
        </w:tc>
        <w:tc>
          <w:tcPr>
            <w:tcW w:w="1340" w:type="dxa"/>
            <w:tcBorders>
              <w:top w:val="nil"/>
              <w:left w:val="nil"/>
              <w:bottom w:val="single" w:sz="4" w:space="0" w:color="auto"/>
              <w:right w:val="single" w:sz="8" w:space="0" w:color="auto"/>
            </w:tcBorders>
            <w:shd w:val="clear" w:color="auto" w:fill="auto"/>
            <w:noWrap/>
            <w:vAlign w:val="bottom"/>
          </w:tcPr>
          <w:p w14:paraId="7193804D"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0%</w:t>
            </w:r>
          </w:p>
        </w:tc>
      </w:tr>
      <w:tr w:rsidR="008F16FC" w:rsidRPr="008F16FC" w14:paraId="1CBEF37B" w14:textId="77777777" w:rsidTr="008F16FC">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27427AA9" w14:textId="77777777" w:rsidR="008F16FC" w:rsidRPr="008F16FC" w:rsidRDefault="008F16FC" w:rsidP="008F16FC">
            <w:pPr>
              <w:rPr>
                <w:b/>
                <w:bCs/>
                <w:color w:val="000000"/>
                <w:sz w:val="20"/>
                <w:szCs w:val="20"/>
                <w:lang w:val="es-AR"/>
              </w:rPr>
            </w:pPr>
            <w:r w:rsidRPr="008F16FC">
              <w:rPr>
                <w:b/>
                <w:bCs/>
                <w:color w:val="000000"/>
                <w:sz w:val="20"/>
                <w:szCs w:val="20"/>
                <w:lang w:val="es-AR"/>
              </w:rPr>
              <w:t>Impuestos y otros gravámenes</w:t>
            </w:r>
          </w:p>
        </w:tc>
        <w:tc>
          <w:tcPr>
            <w:tcW w:w="1340" w:type="dxa"/>
            <w:tcBorders>
              <w:top w:val="nil"/>
              <w:left w:val="nil"/>
              <w:bottom w:val="single" w:sz="4" w:space="0" w:color="auto"/>
              <w:right w:val="single" w:sz="4" w:space="0" w:color="auto"/>
            </w:tcBorders>
            <w:shd w:val="clear" w:color="auto" w:fill="auto"/>
            <w:noWrap/>
            <w:vAlign w:val="bottom"/>
          </w:tcPr>
          <w:p w14:paraId="3C685DE4" w14:textId="77777777" w:rsidR="008F16FC" w:rsidRPr="008F16FC" w:rsidRDefault="008F16FC" w:rsidP="008F16FC">
            <w:pPr>
              <w:rPr>
                <w:color w:val="000000"/>
                <w:sz w:val="20"/>
                <w:szCs w:val="20"/>
                <w:lang w:val="es-AR"/>
              </w:rPr>
            </w:pPr>
            <w:r w:rsidRPr="008F16FC">
              <w:rPr>
                <w:color w:val="000000"/>
                <w:sz w:val="20"/>
                <w:szCs w:val="20"/>
                <w:lang w:val="es-AR"/>
              </w:rPr>
              <w:t xml:space="preserve">   166.135</w:t>
            </w:r>
          </w:p>
        </w:tc>
        <w:tc>
          <w:tcPr>
            <w:tcW w:w="1340" w:type="dxa"/>
            <w:tcBorders>
              <w:top w:val="nil"/>
              <w:left w:val="nil"/>
              <w:bottom w:val="single" w:sz="4" w:space="0" w:color="auto"/>
              <w:right w:val="single" w:sz="4" w:space="0" w:color="auto"/>
            </w:tcBorders>
            <w:vAlign w:val="bottom"/>
          </w:tcPr>
          <w:p w14:paraId="0AE6CC06" w14:textId="77777777" w:rsidR="008F16FC" w:rsidRPr="008F16FC" w:rsidRDefault="008F16FC" w:rsidP="008F16FC">
            <w:pPr>
              <w:rPr>
                <w:color w:val="000000"/>
                <w:sz w:val="20"/>
                <w:szCs w:val="20"/>
                <w:lang w:val="es-AR"/>
              </w:rPr>
            </w:pPr>
            <w:r w:rsidRPr="008F16FC">
              <w:rPr>
                <w:bCs/>
                <w:color w:val="000000"/>
                <w:sz w:val="20"/>
                <w:szCs w:val="20"/>
                <w:lang w:val="es-AR"/>
              </w:rPr>
              <w:t xml:space="preserve">        200.956 </w:t>
            </w:r>
          </w:p>
        </w:tc>
        <w:tc>
          <w:tcPr>
            <w:tcW w:w="1287" w:type="dxa"/>
            <w:tcBorders>
              <w:top w:val="nil"/>
              <w:left w:val="single" w:sz="4" w:space="0" w:color="auto"/>
              <w:bottom w:val="single" w:sz="4" w:space="0" w:color="auto"/>
              <w:right w:val="single" w:sz="4" w:space="0" w:color="auto"/>
            </w:tcBorders>
            <w:shd w:val="clear" w:color="auto" w:fill="auto"/>
            <w:noWrap/>
            <w:vAlign w:val="bottom"/>
          </w:tcPr>
          <w:p w14:paraId="532DADA3"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-34.821</w:t>
            </w:r>
          </w:p>
        </w:tc>
        <w:tc>
          <w:tcPr>
            <w:tcW w:w="1340" w:type="dxa"/>
            <w:tcBorders>
              <w:top w:val="nil"/>
              <w:left w:val="nil"/>
              <w:bottom w:val="single" w:sz="4" w:space="0" w:color="auto"/>
              <w:right w:val="single" w:sz="8" w:space="0" w:color="auto"/>
            </w:tcBorders>
            <w:shd w:val="clear" w:color="auto" w:fill="auto"/>
            <w:noWrap/>
            <w:vAlign w:val="bottom"/>
          </w:tcPr>
          <w:p w14:paraId="1A6B2D8B"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-17%</w:t>
            </w:r>
          </w:p>
        </w:tc>
      </w:tr>
      <w:tr w:rsidR="008F16FC" w:rsidRPr="008F16FC" w14:paraId="0DEA209B" w14:textId="77777777" w:rsidTr="008F16FC">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648F822F" w14:textId="77777777" w:rsidR="008F16FC" w:rsidRPr="008F16FC" w:rsidRDefault="008F16FC" w:rsidP="008F16FC">
            <w:pPr>
              <w:rPr>
                <w:b/>
                <w:bCs/>
                <w:color w:val="000000"/>
                <w:sz w:val="20"/>
                <w:szCs w:val="20"/>
                <w:lang w:val="es-ES"/>
              </w:rPr>
            </w:pPr>
            <w:r w:rsidRPr="008F16FC">
              <w:rPr>
                <w:b/>
                <w:bCs/>
                <w:color w:val="000000"/>
                <w:sz w:val="20"/>
                <w:szCs w:val="20"/>
                <w:lang w:val="es-ES"/>
              </w:rPr>
              <w:t>Impuesto a las ganancias a pagar</w:t>
            </w:r>
          </w:p>
        </w:tc>
        <w:tc>
          <w:tcPr>
            <w:tcW w:w="1340" w:type="dxa"/>
            <w:tcBorders>
              <w:top w:val="nil"/>
              <w:left w:val="nil"/>
              <w:bottom w:val="single" w:sz="4" w:space="0" w:color="auto"/>
              <w:right w:val="single" w:sz="4" w:space="0" w:color="auto"/>
            </w:tcBorders>
            <w:shd w:val="clear" w:color="auto" w:fill="auto"/>
            <w:noWrap/>
            <w:vAlign w:val="bottom"/>
          </w:tcPr>
          <w:p w14:paraId="7082305E" w14:textId="77777777" w:rsidR="008F16FC" w:rsidRPr="008F16FC" w:rsidRDefault="008F16FC" w:rsidP="008F16FC">
            <w:pPr>
              <w:rPr>
                <w:color w:val="000000"/>
                <w:sz w:val="20"/>
                <w:szCs w:val="20"/>
                <w:lang w:val="es-MX"/>
              </w:rPr>
            </w:pPr>
            <w:r w:rsidRPr="008F16FC">
              <w:rPr>
                <w:color w:val="000000"/>
                <w:sz w:val="20"/>
                <w:szCs w:val="20"/>
                <w:lang w:val="es-MX"/>
              </w:rPr>
              <w:t xml:space="preserve">   184.878</w:t>
            </w:r>
          </w:p>
        </w:tc>
        <w:tc>
          <w:tcPr>
            <w:tcW w:w="1340" w:type="dxa"/>
            <w:tcBorders>
              <w:top w:val="nil"/>
              <w:left w:val="nil"/>
              <w:bottom w:val="single" w:sz="4" w:space="0" w:color="auto"/>
              <w:right w:val="single" w:sz="4" w:space="0" w:color="auto"/>
            </w:tcBorders>
            <w:vAlign w:val="bottom"/>
          </w:tcPr>
          <w:p w14:paraId="4D868A8C" w14:textId="77777777" w:rsidR="008F16FC" w:rsidRPr="008F16FC" w:rsidRDefault="008F16FC" w:rsidP="008F16FC">
            <w:pPr>
              <w:rPr>
                <w:color w:val="000000"/>
                <w:sz w:val="20"/>
                <w:szCs w:val="20"/>
                <w:lang w:val="es-MX"/>
              </w:rPr>
            </w:pPr>
            <w:r w:rsidRPr="008F16FC">
              <w:rPr>
                <w:bCs/>
                <w:color w:val="000000"/>
                <w:sz w:val="20"/>
                <w:szCs w:val="20"/>
                <w:lang w:val="es-ES"/>
              </w:rPr>
              <w:t xml:space="preserve">                 </w:t>
            </w:r>
            <w:r w:rsidRPr="008F16FC">
              <w:rPr>
                <w:bCs/>
                <w:color w:val="000000"/>
                <w:sz w:val="20"/>
                <w:szCs w:val="20"/>
                <w:lang w:val="es-AR"/>
              </w:rPr>
              <w:t xml:space="preserve">-   </w:t>
            </w:r>
          </w:p>
        </w:tc>
        <w:tc>
          <w:tcPr>
            <w:tcW w:w="1287" w:type="dxa"/>
            <w:tcBorders>
              <w:top w:val="nil"/>
              <w:left w:val="single" w:sz="4" w:space="0" w:color="auto"/>
              <w:bottom w:val="single" w:sz="4" w:space="0" w:color="auto"/>
              <w:right w:val="single" w:sz="4" w:space="0" w:color="auto"/>
            </w:tcBorders>
            <w:shd w:val="clear" w:color="auto" w:fill="auto"/>
            <w:noWrap/>
            <w:vAlign w:val="bottom"/>
          </w:tcPr>
          <w:p w14:paraId="3D7DF533" w14:textId="77777777" w:rsidR="008F16FC" w:rsidRPr="008F16FC" w:rsidRDefault="008F16FC" w:rsidP="008F16FC">
            <w:pPr>
              <w:jc w:val="right"/>
              <w:rPr>
                <w:color w:val="000000"/>
                <w:sz w:val="20"/>
                <w:szCs w:val="20"/>
                <w:lang w:val="es-MX"/>
              </w:rPr>
            </w:pPr>
            <w:r w:rsidRPr="008F16FC">
              <w:rPr>
                <w:rFonts w:eastAsia="Calibri"/>
                <w:color w:val="000000"/>
                <w:sz w:val="20"/>
                <w:szCs w:val="20"/>
                <w:lang w:val="es-MX"/>
              </w:rPr>
              <w:t>184.878</w:t>
            </w:r>
          </w:p>
        </w:tc>
        <w:tc>
          <w:tcPr>
            <w:tcW w:w="1340" w:type="dxa"/>
            <w:tcBorders>
              <w:top w:val="nil"/>
              <w:left w:val="nil"/>
              <w:bottom w:val="single" w:sz="4" w:space="0" w:color="auto"/>
              <w:right w:val="single" w:sz="8" w:space="0" w:color="auto"/>
            </w:tcBorders>
            <w:shd w:val="clear" w:color="auto" w:fill="auto"/>
            <w:noWrap/>
            <w:vAlign w:val="bottom"/>
          </w:tcPr>
          <w:p w14:paraId="2434854A" w14:textId="77777777" w:rsidR="008F16FC" w:rsidRPr="008F16FC" w:rsidRDefault="008F16FC" w:rsidP="008F16FC">
            <w:pPr>
              <w:jc w:val="center"/>
              <w:rPr>
                <w:color w:val="000000"/>
                <w:sz w:val="20"/>
                <w:szCs w:val="20"/>
                <w:lang w:val="es-MX"/>
              </w:rPr>
            </w:pPr>
            <w:r w:rsidRPr="008F16FC">
              <w:rPr>
                <w:rFonts w:eastAsia="Calibri"/>
                <w:color w:val="000000"/>
                <w:sz w:val="20"/>
                <w:szCs w:val="20"/>
                <w:lang w:val="es-MX"/>
              </w:rPr>
              <w:t>100%</w:t>
            </w:r>
          </w:p>
        </w:tc>
      </w:tr>
      <w:tr w:rsidR="008F16FC" w:rsidRPr="008F16FC" w14:paraId="48EFD2D3" w14:textId="77777777" w:rsidTr="008F16FC">
        <w:trPr>
          <w:trHeight w:val="270"/>
        </w:trPr>
        <w:tc>
          <w:tcPr>
            <w:tcW w:w="3953" w:type="dxa"/>
            <w:tcBorders>
              <w:top w:val="nil"/>
              <w:left w:val="single" w:sz="8" w:space="0" w:color="auto"/>
              <w:bottom w:val="single" w:sz="8" w:space="0" w:color="auto"/>
              <w:right w:val="single" w:sz="4" w:space="0" w:color="auto"/>
            </w:tcBorders>
            <w:shd w:val="clear" w:color="auto" w:fill="auto"/>
            <w:noWrap/>
            <w:vAlign w:val="bottom"/>
            <w:hideMark/>
          </w:tcPr>
          <w:p w14:paraId="69F1A10A" w14:textId="77777777" w:rsidR="008F16FC" w:rsidRPr="008F16FC" w:rsidRDefault="008F16FC" w:rsidP="008F16FC">
            <w:pPr>
              <w:rPr>
                <w:b/>
                <w:bCs/>
                <w:color w:val="000000"/>
                <w:sz w:val="20"/>
                <w:szCs w:val="20"/>
                <w:lang w:val="es-AR"/>
              </w:rPr>
            </w:pPr>
            <w:r w:rsidRPr="008F16FC">
              <w:rPr>
                <w:b/>
                <w:bCs/>
                <w:color w:val="000000"/>
                <w:sz w:val="20"/>
                <w:szCs w:val="20"/>
                <w:lang w:val="es-AR"/>
              </w:rPr>
              <w:t xml:space="preserve">Provisiones </w:t>
            </w:r>
            <w:r w:rsidRPr="008F16FC">
              <w:rPr>
                <w:b/>
                <w:bCs/>
                <w:i/>
                <w:iCs/>
                <w:color w:val="000000"/>
                <w:sz w:val="20"/>
                <w:szCs w:val="20"/>
                <w:lang w:val="es-AR"/>
              </w:rPr>
              <w:t>(11)</w:t>
            </w:r>
          </w:p>
        </w:tc>
        <w:tc>
          <w:tcPr>
            <w:tcW w:w="1340" w:type="dxa"/>
            <w:tcBorders>
              <w:top w:val="nil"/>
              <w:left w:val="nil"/>
              <w:bottom w:val="single" w:sz="8" w:space="0" w:color="auto"/>
              <w:right w:val="single" w:sz="4" w:space="0" w:color="auto"/>
            </w:tcBorders>
            <w:shd w:val="clear" w:color="auto" w:fill="auto"/>
            <w:noWrap/>
            <w:vAlign w:val="bottom"/>
          </w:tcPr>
          <w:p w14:paraId="75BBE874" w14:textId="77777777" w:rsidR="008F16FC" w:rsidRPr="008F16FC" w:rsidRDefault="008F16FC" w:rsidP="008F16FC">
            <w:pPr>
              <w:rPr>
                <w:color w:val="000000"/>
                <w:sz w:val="20"/>
                <w:szCs w:val="20"/>
                <w:lang w:val="es-AR"/>
              </w:rPr>
            </w:pPr>
            <w:r w:rsidRPr="008F16FC">
              <w:rPr>
                <w:color w:val="000000"/>
                <w:sz w:val="20"/>
                <w:szCs w:val="20"/>
                <w:lang w:val="es-AR"/>
              </w:rPr>
              <w:t xml:space="preserve">     67.173</w:t>
            </w:r>
          </w:p>
        </w:tc>
        <w:tc>
          <w:tcPr>
            <w:tcW w:w="1340" w:type="dxa"/>
            <w:tcBorders>
              <w:top w:val="nil"/>
              <w:left w:val="nil"/>
              <w:bottom w:val="single" w:sz="8" w:space="0" w:color="auto"/>
              <w:right w:val="single" w:sz="4" w:space="0" w:color="auto"/>
            </w:tcBorders>
            <w:vAlign w:val="bottom"/>
          </w:tcPr>
          <w:p w14:paraId="44D19297" w14:textId="77777777" w:rsidR="008F16FC" w:rsidRPr="008F16FC" w:rsidRDefault="008F16FC" w:rsidP="008F16FC">
            <w:pPr>
              <w:rPr>
                <w:color w:val="000000"/>
                <w:sz w:val="20"/>
                <w:szCs w:val="20"/>
                <w:lang w:val="es-AR"/>
              </w:rPr>
            </w:pPr>
            <w:r w:rsidRPr="008F16FC">
              <w:rPr>
                <w:bCs/>
                <w:color w:val="000000"/>
                <w:sz w:val="20"/>
                <w:szCs w:val="20"/>
                <w:lang w:val="es-AR"/>
              </w:rPr>
              <w:t xml:space="preserve">          61.832 </w:t>
            </w:r>
          </w:p>
        </w:tc>
        <w:tc>
          <w:tcPr>
            <w:tcW w:w="1287" w:type="dxa"/>
            <w:tcBorders>
              <w:top w:val="nil"/>
              <w:left w:val="single" w:sz="4" w:space="0" w:color="auto"/>
              <w:bottom w:val="single" w:sz="8" w:space="0" w:color="auto"/>
              <w:right w:val="single" w:sz="4" w:space="0" w:color="auto"/>
            </w:tcBorders>
            <w:shd w:val="clear" w:color="auto" w:fill="auto"/>
            <w:noWrap/>
            <w:vAlign w:val="bottom"/>
          </w:tcPr>
          <w:p w14:paraId="36F18CCA"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5.341</w:t>
            </w:r>
          </w:p>
        </w:tc>
        <w:tc>
          <w:tcPr>
            <w:tcW w:w="1340" w:type="dxa"/>
            <w:tcBorders>
              <w:top w:val="nil"/>
              <w:left w:val="nil"/>
              <w:bottom w:val="single" w:sz="8" w:space="0" w:color="auto"/>
              <w:right w:val="single" w:sz="8" w:space="0" w:color="auto"/>
            </w:tcBorders>
            <w:shd w:val="clear" w:color="auto" w:fill="auto"/>
            <w:noWrap/>
            <w:vAlign w:val="bottom"/>
          </w:tcPr>
          <w:p w14:paraId="6BB2E45E"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9%</w:t>
            </w:r>
          </w:p>
        </w:tc>
      </w:tr>
      <w:tr w:rsidR="008F16FC" w:rsidRPr="008F16FC" w14:paraId="03645D43" w14:textId="77777777" w:rsidTr="008F16FC">
        <w:trPr>
          <w:trHeight w:val="270"/>
        </w:trPr>
        <w:tc>
          <w:tcPr>
            <w:tcW w:w="3953" w:type="dxa"/>
            <w:tcBorders>
              <w:top w:val="single" w:sz="8" w:space="0" w:color="auto"/>
              <w:left w:val="single" w:sz="8" w:space="0" w:color="auto"/>
              <w:bottom w:val="single" w:sz="8" w:space="0" w:color="auto"/>
              <w:right w:val="nil"/>
            </w:tcBorders>
            <w:shd w:val="clear" w:color="auto" w:fill="auto"/>
            <w:noWrap/>
            <w:vAlign w:val="bottom"/>
            <w:hideMark/>
          </w:tcPr>
          <w:p w14:paraId="3377B90D" w14:textId="77777777" w:rsidR="008F16FC" w:rsidRPr="008F16FC" w:rsidRDefault="008F16FC" w:rsidP="008F16FC">
            <w:pPr>
              <w:rPr>
                <w:b/>
                <w:bCs/>
                <w:color w:val="000000"/>
                <w:sz w:val="20"/>
                <w:szCs w:val="20"/>
                <w:lang w:val="es-AR"/>
              </w:rPr>
            </w:pPr>
            <w:r w:rsidRPr="008F16FC">
              <w:rPr>
                <w:b/>
                <w:bCs/>
                <w:color w:val="000000"/>
                <w:sz w:val="20"/>
                <w:szCs w:val="20"/>
                <w:lang w:val="es-AR"/>
              </w:rPr>
              <w:t>Total Pasivo Corriente</w:t>
            </w:r>
          </w:p>
        </w:tc>
        <w:tc>
          <w:tcPr>
            <w:tcW w:w="1340" w:type="dxa"/>
            <w:tcBorders>
              <w:top w:val="single" w:sz="8" w:space="0" w:color="auto"/>
              <w:left w:val="nil"/>
              <w:bottom w:val="single" w:sz="8" w:space="0" w:color="auto"/>
              <w:right w:val="nil"/>
            </w:tcBorders>
            <w:shd w:val="clear" w:color="auto" w:fill="auto"/>
            <w:noWrap/>
            <w:vAlign w:val="bottom"/>
          </w:tcPr>
          <w:p w14:paraId="1302FDBE" w14:textId="77777777" w:rsidR="008F16FC" w:rsidRPr="008F16FC" w:rsidRDefault="008F16FC" w:rsidP="008F16FC">
            <w:pPr>
              <w:rPr>
                <w:color w:val="000000"/>
                <w:sz w:val="20"/>
                <w:szCs w:val="20"/>
                <w:lang w:val="es-AR"/>
              </w:rPr>
            </w:pPr>
            <w:r w:rsidRPr="008F16FC">
              <w:rPr>
                <w:color w:val="000000"/>
                <w:sz w:val="20"/>
                <w:szCs w:val="20"/>
                <w:lang w:val="es-AR"/>
              </w:rPr>
              <w:t>7.464.950</w:t>
            </w:r>
          </w:p>
        </w:tc>
        <w:tc>
          <w:tcPr>
            <w:tcW w:w="1340" w:type="dxa"/>
            <w:tcBorders>
              <w:top w:val="single" w:sz="8" w:space="0" w:color="auto"/>
              <w:left w:val="nil"/>
              <w:bottom w:val="single" w:sz="8" w:space="0" w:color="auto"/>
              <w:right w:val="single" w:sz="4" w:space="0" w:color="auto"/>
            </w:tcBorders>
            <w:vAlign w:val="bottom"/>
          </w:tcPr>
          <w:p w14:paraId="74CD2994" w14:textId="77777777" w:rsidR="008F16FC" w:rsidRPr="008F16FC" w:rsidRDefault="008F16FC" w:rsidP="008F16FC">
            <w:pPr>
              <w:rPr>
                <w:color w:val="000000"/>
                <w:sz w:val="20"/>
                <w:szCs w:val="20"/>
                <w:lang w:val="es-AR"/>
              </w:rPr>
            </w:pPr>
            <w:r w:rsidRPr="008F16FC">
              <w:rPr>
                <w:bCs/>
                <w:color w:val="000000"/>
                <w:sz w:val="20"/>
                <w:szCs w:val="20"/>
                <w:lang w:val="es-AR"/>
              </w:rPr>
              <w:t xml:space="preserve">     7.767.746 </w:t>
            </w:r>
          </w:p>
        </w:tc>
        <w:tc>
          <w:tcPr>
            <w:tcW w:w="1287" w:type="dxa"/>
            <w:tcBorders>
              <w:top w:val="single" w:sz="8" w:space="0" w:color="auto"/>
              <w:left w:val="single" w:sz="4" w:space="0" w:color="auto"/>
              <w:bottom w:val="single" w:sz="8" w:space="0" w:color="auto"/>
              <w:right w:val="single" w:sz="4" w:space="0" w:color="auto"/>
            </w:tcBorders>
            <w:shd w:val="clear" w:color="auto" w:fill="auto"/>
            <w:noWrap/>
            <w:vAlign w:val="bottom"/>
          </w:tcPr>
          <w:p w14:paraId="7DC0FE82"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-302.796</w:t>
            </w:r>
          </w:p>
        </w:tc>
        <w:tc>
          <w:tcPr>
            <w:tcW w:w="1340" w:type="dxa"/>
            <w:tcBorders>
              <w:top w:val="single" w:sz="8" w:space="0" w:color="auto"/>
              <w:left w:val="single" w:sz="4" w:space="0" w:color="auto"/>
              <w:bottom w:val="single" w:sz="8" w:space="0" w:color="auto"/>
              <w:right w:val="single" w:sz="8" w:space="0" w:color="auto"/>
            </w:tcBorders>
            <w:shd w:val="clear" w:color="auto" w:fill="auto"/>
            <w:noWrap/>
            <w:vAlign w:val="bottom"/>
          </w:tcPr>
          <w:p w14:paraId="6FF0C938"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-4%</w:t>
            </w:r>
          </w:p>
        </w:tc>
      </w:tr>
      <w:tr w:rsidR="008F16FC" w:rsidRPr="008F16FC" w14:paraId="5980AA62" w14:textId="77777777" w:rsidTr="008F16FC">
        <w:trPr>
          <w:trHeight w:val="75"/>
        </w:trPr>
        <w:tc>
          <w:tcPr>
            <w:tcW w:w="3953" w:type="dxa"/>
            <w:tcBorders>
              <w:top w:val="nil"/>
              <w:left w:val="nil"/>
              <w:bottom w:val="nil"/>
              <w:right w:val="nil"/>
            </w:tcBorders>
            <w:shd w:val="clear" w:color="auto" w:fill="auto"/>
            <w:noWrap/>
            <w:vAlign w:val="bottom"/>
            <w:hideMark/>
          </w:tcPr>
          <w:p w14:paraId="3C5A86D1" w14:textId="77777777" w:rsidR="008F16FC" w:rsidRPr="008F16FC" w:rsidRDefault="008F16FC" w:rsidP="008F16FC">
            <w:pPr>
              <w:rPr>
                <w:color w:val="000000"/>
                <w:sz w:val="20"/>
                <w:szCs w:val="20"/>
                <w:lang w:val="es-AR"/>
              </w:rPr>
            </w:pPr>
          </w:p>
        </w:tc>
        <w:tc>
          <w:tcPr>
            <w:tcW w:w="1340" w:type="dxa"/>
            <w:tcBorders>
              <w:top w:val="nil"/>
              <w:left w:val="nil"/>
              <w:bottom w:val="nil"/>
              <w:right w:val="nil"/>
            </w:tcBorders>
            <w:shd w:val="clear" w:color="auto" w:fill="auto"/>
            <w:noWrap/>
            <w:vAlign w:val="center"/>
          </w:tcPr>
          <w:p w14:paraId="77F2D198" w14:textId="77777777" w:rsidR="008F16FC" w:rsidRPr="008F16FC" w:rsidRDefault="008F16FC" w:rsidP="008F16FC">
            <w:pPr>
              <w:jc w:val="center"/>
              <w:rPr>
                <w:color w:val="000000"/>
                <w:sz w:val="20"/>
                <w:szCs w:val="20"/>
                <w:lang w:val="es-AR"/>
              </w:rPr>
            </w:pPr>
          </w:p>
        </w:tc>
        <w:tc>
          <w:tcPr>
            <w:tcW w:w="1340" w:type="dxa"/>
            <w:tcBorders>
              <w:top w:val="single" w:sz="8" w:space="0" w:color="auto"/>
              <w:left w:val="nil"/>
              <w:bottom w:val="single" w:sz="8" w:space="0" w:color="auto"/>
            </w:tcBorders>
            <w:vAlign w:val="center"/>
          </w:tcPr>
          <w:p w14:paraId="395FB3F9" w14:textId="77777777" w:rsidR="008F16FC" w:rsidRPr="008F16FC" w:rsidRDefault="008F16FC" w:rsidP="008F16FC">
            <w:pPr>
              <w:jc w:val="center"/>
              <w:rPr>
                <w:color w:val="000000"/>
                <w:sz w:val="20"/>
                <w:szCs w:val="20"/>
                <w:lang w:val="es-AR"/>
              </w:rPr>
            </w:pPr>
          </w:p>
        </w:tc>
        <w:tc>
          <w:tcPr>
            <w:tcW w:w="1287" w:type="dxa"/>
            <w:tcBorders>
              <w:top w:val="nil"/>
              <w:left w:val="nil"/>
              <w:bottom w:val="nil"/>
              <w:right w:val="nil"/>
            </w:tcBorders>
            <w:shd w:val="clear" w:color="auto" w:fill="auto"/>
            <w:vAlign w:val="bottom"/>
          </w:tcPr>
          <w:p w14:paraId="278825C2" w14:textId="77777777" w:rsidR="008F16FC" w:rsidRPr="008F16FC" w:rsidRDefault="008F16FC" w:rsidP="008F16FC">
            <w:pPr>
              <w:jc w:val="right"/>
              <w:rPr>
                <w:color w:val="000000"/>
                <w:sz w:val="20"/>
                <w:szCs w:val="20"/>
                <w:lang w:val="es-AR"/>
              </w:rPr>
            </w:pPr>
          </w:p>
        </w:tc>
        <w:tc>
          <w:tcPr>
            <w:tcW w:w="1340" w:type="dxa"/>
            <w:tcBorders>
              <w:top w:val="nil"/>
              <w:left w:val="nil"/>
              <w:bottom w:val="nil"/>
              <w:right w:val="nil"/>
            </w:tcBorders>
            <w:shd w:val="clear" w:color="auto" w:fill="auto"/>
            <w:noWrap/>
            <w:vAlign w:val="bottom"/>
          </w:tcPr>
          <w:p w14:paraId="2D1D5633" w14:textId="77777777" w:rsidR="008F16FC" w:rsidRPr="008F16FC" w:rsidRDefault="008F16FC" w:rsidP="008F16FC">
            <w:pPr>
              <w:jc w:val="center"/>
              <w:rPr>
                <w:color w:val="000000"/>
                <w:sz w:val="20"/>
                <w:szCs w:val="20"/>
                <w:lang w:val="es-AR"/>
              </w:rPr>
            </w:pPr>
          </w:p>
        </w:tc>
      </w:tr>
      <w:tr w:rsidR="008F16FC" w:rsidRPr="008F16FC" w14:paraId="63D3A85B" w14:textId="77777777" w:rsidTr="008F16FC">
        <w:trPr>
          <w:trHeight w:val="255"/>
        </w:trPr>
        <w:tc>
          <w:tcPr>
            <w:tcW w:w="395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81552DC" w14:textId="77777777" w:rsidR="008F16FC" w:rsidRPr="008F16FC" w:rsidRDefault="008F16FC" w:rsidP="008F16FC">
            <w:pPr>
              <w:rPr>
                <w:b/>
                <w:bCs/>
                <w:color w:val="000000"/>
                <w:sz w:val="20"/>
                <w:szCs w:val="20"/>
                <w:lang w:val="es-AR"/>
              </w:rPr>
            </w:pPr>
            <w:r w:rsidRPr="008F16FC">
              <w:rPr>
                <w:b/>
                <w:bCs/>
                <w:color w:val="000000"/>
                <w:sz w:val="20"/>
                <w:szCs w:val="20"/>
                <w:lang w:val="es-AR"/>
              </w:rPr>
              <w:t xml:space="preserve">Pasivos financieros </w:t>
            </w:r>
            <w:r w:rsidRPr="008F16FC">
              <w:rPr>
                <w:b/>
                <w:bCs/>
                <w:i/>
                <w:iCs/>
                <w:color w:val="000000"/>
                <w:sz w:val="20"/>
                <w:szCs w:val="20"/>
                <w:lang w:val="es-AR"/>
              </w:rPr>
              <w:t>(12)</w:t>
            </w:r>
          </w:p>
        </w:tc>
        <w:tc>
          <w:tcPr>
            <w:tcW w:w="1340" w:type="dxa"/>
            <w:tcBorders>
              <w:top w:val="single" w:sz="8" w:space="0" w:color="auto"/>
              <w:left w:val="nil"/>
              <w:bottom w:val="single" w:sz="4" w:space="0" w:color="auto"/>
              <w:right w:val="single" w:sz="4" w:space="0" w:color="auto"/>
            </w:tcBorders>
            <w:shd w:val="clear" w:color="auto" w:fill="auto"/>
            <w:noWrap/>
            <w:vAlign w:val="bottom"/>
          </w:tcPr>
          <w:p w14:paraId="251892EC" w14:textId="77777777" w:rsidR="008F16FC" w:rsidRPr="008F16FC" w:rsidRDefault="008F16FC" w:rsidP="008F16FC">
            <w:pPr>
              <w:rPr>
                <w:color w:val="000000"/>
                <w:sz w:val="20"/>
                <w:szCs w:val="20"/>
                <w:lang w:val="es-AR"/>
              </w:rPr>
            </w:pPr>
            <w:r w:rsidRPr="008F16FC">
              <w:rPr>
                <w:color w:val="000000"/>
                <w:sz w:val="20"/>
                <w:szCs w:val="20"/>
                <w:lang w:val="es-AR"/>
              </w:rPr>
              <w:t xml:space="preserve">      22.500</w:t>
            </w:r>
          </w:p>
        </w:tc>
        <w:tc>
          <w:tcPr>
            <w:tcW w:w="1340" w:type="dxa"/>
            <w:tcBorders>
              <w:top w:val="single" w:sz="8" w:space="0" w:color="auto"/>
              <w:left w:val="nil"/>
              <w:bottom w:val="single" w:sz="4" w:space="0" w:color="auto"/>
              <w:right w:val="single" w:sz="4" w:space="0" w:color="auto"/>
            </w:tcBorders>
            <w:vAlign w:val="bottom"/>
          </w:tcPr>
          <w:p w14:paraId="3AC928C6" w14:textId="77777777" w:rsidR="008F16FC" w:rsidRPr="008F16FC" w:rsidRDefault="008F16FC" w:rsidP="008F16FC">
            <w:pPr>
              <w:rPr>
                <w:color w:val="000000"/>
                <w:sz w:val="20"/>
                <w:szCs w:val="20"/>
                <w:lang w:val="es-AR"/>
              </w:rPr>
            </w:pPr>
            <w:r w:rsidRPr="008F16FC">
              <w:rPr>
                <w:bCs/>
                <w:color w:val="000000"/>
                <w:sz w:val="20"/>
                <w:szCs w:val="20"/>
                <w:lang w:val="es-AR"/>
              </w:rPr>
              <w:t xml:space="preserve">          25.311</w:t>
            </w:r>
          </w:p>
        </w:tc>
        <w:tc>
          <w:tcPr>
            <w:tcW w:w="1287"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22E00E1"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-2.811</w:t>
            </w:r>
          </w:p>
        </w:tc>
        <w:tc>
          <w:tcPr>
            <w:tcW w:w="1340" w:type="dxa"/>
            <w:tcBorders>
              <w:top w:val="single" w:sz="8" w:space="0" w:color="auto"/>
              <w:left w:val="nil"/>
              <w:bottom w:val="single" w:sz="4" w:space="0" w:color="auto"/>
              <w:right w:val="single" w:sz="8" w:space="0" w:color="auto"/>
            </w:tcBorders>
            <w:shd w:val="clear" w:color="auto" w:fill="auto"/>
            <w:noWrap/>
            <w:vAlign w:val="bottom"/>
          </w:tcPr>
          <w:p w14:paraId="49E4A67B"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-11%</w:t>
            </w:r>
          </w:p>
        </w:tc>
      </w:tr>
      <w:tr w:rsidR="008F16FC" w:rsidRPr="008F16FC" w14:paraId="3EB24E76" w14:textId="77777777" w:rsidTr="008F16FC">
        <w:trPr>
          <w:trHeight w:val="255"/>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49EE8592" w14:textId="77777777" w:rsidR="008F16FC" w:rsidRPr="008F16FC" w:rsidRDefault="008F16FC" w:rsidP="008F16FC">
            <w:pPr>
              <w:rPr>
                <w:b/>
                <w:bCs/>
                <w:color w:val="000000"/>
                <w:sz w:val="20"/>
                <w:szCs w:val="20"/>
                <w:lang w:val="es-AR"/>
              </w:rPr>
            </w:pPr>
            <w:r w:rsidRPr="008F16FC">
              <w:rPr>
                <w:b/>
                <w:bCs/>
                <w:color w:val="000000"/>
                <w:sz w:val="20"/>
                <w:szCs w:val="20"/>
                <w:lang w:val="es-AR"/>
              </w:rPr>
              <w:t>Beneficio al personal</w:t>
            </w:r>
          </w:p>
        </w:tc>
        <w:tc>
          <w:tcPr>
            <w:tcW w:w="1340" w:type="dxa"/>
            <w:tcBorders>
              <w:top w:val="nil"/>
              <w:left w:val="nil"/>
              <w:bottom w:val="single" w:sz="4" w:space="0" w:color="auto"/>
              <w:right w:val="single" w:sz="4" w:space="0" w:color="auto"/>
            </w:tcBorders>
            <w:shd w:val="clear" w:color="auto" w:fill="auto"/>
            <w:noWrap/>
            <w:vAlign w:val="bottom"/>
          </w:tcPr>
          <w:p w14:paraId="5E871C10" w14:textId="77777777" w:rsidR="008F16FC" w:rsidRPr="008F16FC" w:rsidRDefault="008F16FC" w:rsidP="008F16FC">
            <w:pPr>
              <w:rPr>
                <w:color w:val="000000"/>
                <w:sz w:val="20"/>
                <w:szCs w:val="20"/>
                <w:lang w:val="es-AR"/>
              </w:rPr>
            </w:pPr>
            <w:r w:rsidRPr="008F16FC">
              <w:rPr>
                <w:color w:val="000000"/>
                <w:sz w:val="20"/>
                <w:szCs w:val="20"/>
                <w:lang w:val="es-AR"/>
              </w:rPr>
              <w:t xml:space="preserve">      62.808</w:t>
            </w:r>
          </w:p>
        </w:tc>
        <w:tc>
          <w:tcPr>
            <w:tcW w:w="1340" w:type="dxa"/>
            <w:tcBorders>
              <w:top w:val="nil"/>
              <w:left w:val="nil"/>
              <w:bottom w:val="single" w:sz="4" w:space="0" w:color="auto"/>
              <w:right w:val="single" w:sz="4" w:space="0" w:color="auto"/>
            </w:tcBorders>
            <w:vAlign w:val="bottom"/>
          </w:tcPr>
          <w:p w14:paraId="004C6C7B" w14:textId="77777777" w:rsidR="008F16FC" w:rsidRPr="008F16FC" w:rsidRDefault="008F16FC" w:rsidP="008F16FC">
            <w:pPr>
              <w:rPr>
                <w:color w:val="000000"/>
                <w:sz w:val="20"/>
                <w:szCs w:val="20"/>
                <w:lang w:val="es-AR"/>
              </w:rPr>
            </w:pPr>
            <w:r w:rsidRPr="008F16FC">
              <w:rPr>
                <w:bCs/>
                <w:color w:val="000000"/>
                <w:sz w:val="20"/>
                <w:szCs w:val="20"/>
                <w:lang w:val="es-AR"/>
              </w:rPr>
              <w:t xml:space="preserve">          73.080 </w:t>
            </w:r>
          </w:p>
        </w:tc>
        <w:tc>
          <w:tcPr>
            <w:tcW w:w="1287" w:type="dxa"/>
            <w:tcBorders>
              <w:top w:val="nil"/>
              <w:left w:val="single" w:sz="4" w:space="0" w:color="auto"/>
              <w:bottom w:val="single" w:sz="4" w:space="0" w:color="auto"/>
              <w:right w:val="single" w:sz="4" w:space="0" w:color="auto"/>
            </w:tcBorders>
            <w:shd w:val="clear" w:color="auto" w:fill="auto"/>
            <w:noWrap/>
            <w:vAlign w:val="bottom"/>
          </w:tcPr>
          <w:p w14:paraId="0EEA55EC"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-10.272</w:t>
            </w:r>
          </w:p>
        </w:tc>
        <w:tc>
          <w:tcPr>
            <w:tcW w:w="1340" w:type="dxa"/>
            <w:tcBorders>
              <w:top w:val="nil"/>
              <w:left w:val="nil"/>
              <w:bottom w:val="single" w:sz="4" w:space="0" w:color="auto"/>
              <w:right w:val="single" w:sz="8" w:space="0" w:color="auto"/>
            </w:tcBorders>
            <w:shd w:val="clear" w:color="auto" w:fill="auto"/>
            <w:noWrap/>
            <w:vAlign w:val="bottom"/>
          </w:tcPr>
          <w:p w14:paraId="4EEEEACB"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-14%</w:t>
            </w:r>
          </w:p>
        </w:tc>
      </w:tr>
      <w:tr w:rsidR="008F16FC" w:rsidRPr="008F16FC" w14:paraId="4D1D54CB" w14:textId="77777777" w:rsidTr="008F16FC">
        <w:trPr>
          <w:trHeight w:val="270"/>
        </w:trPr>
        <w:tc>
          <w:tcPr>
            <w:tcW w:w="3953" w:type="dxa"/>
            <w:tcBorders>
              <w:top w:val="nil"/>
              <w:left w:val="single" w:sz="8" w:space="0" w:color="auto"/>
              <w:bottom w:val="single" w:sz="4" w:space="0" w:color="auto"/>
              <w:right w:val="single" w:sz="4" w:space="0" w:color="auto"/>
            </w:tcBorders>
            <w:shd w:val="clear" w:color="auto" w:fill="auto"/>
            <w:noWrap/>
            <w:vAlign w:val="bottom"/>
            <w:hideMark/>
          </w:tcPr>
          <w:p w14:paraId="5978D351" w14:textId="77777777" w:rsidR="008F16FC" w:rsidRPr="008F16FC" w:rsidRDefault="008F16FC" w:rsidP="008F16FC">
            <w:pPr>
              <w:rPr>
                <w:b/>
                <w:bCs/>
                <w:color w:val="000000"/>
                <w:sz w:val="20"/>
                <w:szCs w:val="20"/>
                <w:lang w:val="es-AR"/>
              </w:rPr>
            </w:pPr>
            <w:r w:rsidRPr="008F16FC">
              <w:rPr>
                <w:b/>
                <w:bCs/>
                <w:color w:val="000000"/>
                <w:sz w:val="20"/>
                <w:szCs w:val="20"/>
                <w:lang w:val="es-AR"/>
              </w:rPr>
              <w:t>Pasivos por impuestos diferidos</w:t>
            </w:r>
          </w:p>
        </w:tc>
        <w:tc>
          <w:tcPr>
            <w:tcW w:w="1340" w:type="dxa"/>
            <w:tcBorders>
              <w:top w:val="nil"/>
              <w:left w:val="nil"/>
              <w:bottom w:val="single" w:sz="4" w:space="0" w:color="auto"/>
              <w:right w:val="single" w:sz="4" w:space="0" w:color="auto"/>
            </w:tcBorders>
            <w:shd w:val="clear" w:color="auto" w:fill="auto"/>
            <w:noWrap/>
            <w:vAlign w:val="bottom"/>
          </w:tcPr>
          <w:p w14:paraId="0B4FAB16" w14:textId="77777777" w:rsidR="008F16FC" w:rsidRPr="008F16FC" w:rsidRDefault="008F16FC" w:rsidP="008F16FC">
            <w:pPr>
              <w:rPr>
                <w:color w:val="000000"/>
                <w:sz w:val="20"/>
                <w:szCs w:val="20"/>
                <w:lang w:val="es-AR"/>
              </w:rPr>
            </w:pPr>
            <w:r w:rsidRPr="008F16FC">
              <w:rPr>
                <w:color w:val="000000"/>
                <w:sz w:val="20"/>
                <w:szCs w:val="20"/>
                <w:lang w:val="es-AR"/>
              </w:rPr>
              <w:t xml:space="preserve">    815.444</w:t>
            </w:r>
          </w:p>
        </w:tc>
        <w:tc>
          <w:tcPr>
            <w:tcW w:w="1340" w:type="dxa"/>
            <w:tcBorders>
              <w:top w:val="nil"/>
              <w:left w:val="nil"/>
              <w:bottom w:val="single" w:sz="4" w:space="0" w:color="auto"/>
              <w:right w:val="single" w:sz="4" w:space="0" w:color="auto"/>
            </w:tcBorders>
            <w:vAlign w:val="bottom"/>
          </w:tcPr>
          <w:p w14:paraId="0A632A9C" w14:textId="77777777" w:rsidR="008F16FC" w:rsidRPr="008F16FC" w:rsidRDefault="008F16FC" w:rsidP="008F16FC">
            <w:pPr>
              <w:rPr>
                <w:color w:val="000000"/>
                <w:sz w:val="20"/>
                <w:szCs w:val="20"/>
                <w:lang w:val="es-AR"/>
              </w:rPr>
            </w:pPr>
            <w:r w:rsidRPr="008F16FC">
              <w:rPr>
                <w:bCs/>
                <w:color w:val="000000"/>
                <w:sz w:val="20"/>
                <w:szCs w:val="20"/>
                <w:lang w:val="es-AR"/>
              </w:rPr>
              <w:t xml:space="preserve">        772.171 </w:t>
            </w:r>
          </w:p>
        </w:tc>
        <w:tc>
          <w:tcPr>
            <w:tcW w:w="1287" w:type="dxa"/>
            <w:tcBorders>
              <w:top w:val="nil"/>
              <w:left w:val="single" w:sz="4" w:space="0" w:color="auto"/>
              <w:bottom w:val="single" w:sz="8" w:space="0" w:color="auto"/>
              <w:right w:val="single" w:sz="4" w:space="0" w:color="auto"/>
            </w:tcBorders>
            <w:shd w:val="clear" w:color="auto" w:fill="auto"/>
            <w:noWrap/>
            <w:vAlign w:val="bottom"/>
          </w:tcPr>
          <w:p w14:paraId="19665E51"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43.273</w:t>
            </w:r>
          </w:p>
        </w:tc>
        <w:tc>
          <w:tcPr>
            <w:tcW w:w="1340" w:type="dxa"/>
            <w:tcBorders>
              <w:top w:val="nil"/>
              <w:left w:val="nil"/>
              <w:bottom w:val="single" w:sz="4" w:space="0" w:color="auto"/>
              <w:right w:val="single" w:sz="8" w:space="0" w:color="auto"/>
            </w:tcBorders>
            <w:shd w:val="clear" w:color="auto" w:fill="auto"/>
            <w:noWrap/>
            <w:vAlign w:val="bottom"/>
          </w:tcPr>
          <w:p w14:paraId="073D1362"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6%</w:t>
            </w:r>
          </w:p>
        </w:tc>
      </w:tr>
      <w:tr w:rsidR="008F16FC" w:rsidRPr="008F16FC" w14:paraId="2CDADA4A" w14:textId="77777777" w:rsidTr="008F16FC">
        <w:trPr>
          <w:trHeight w:val="270"/>
        </w:trPr>
        <w:tc>
          <w:tcPr>
            <w:tcW w:w="3953" w:type="dxa"/>
            <w:tcBorders>
              <w:top w:val="single" w:sz="8" w:space="0" w:color="auto"/>
              <w:left w:val="single" w:sz="8" w:space="0" w:color="auto"/>
              <w:bottom w:val="single" w:sz="8" w:space="0" w:color="auto"/>
              <w:right w:val="nil"/>
            </w:tcBorders>
            <w:shd w:val="clear" w:color="auto" w:fill="auto"/>
            <w:noWrap/>
            <w:vAlign w:val="bottom"/>
            <w:hideMark/>
          </w:tcPr>
          <w:p w14:paraId="794AC071" w14:textId="77777777" w:rsidR="008F16FC" w:rsidRPr="008F16FC" w:rsidRDefault="008F16FC" w:rsidP="008F16FC">
            <w:pPr>
              <w:rPr>
                <w:b/>
                <w:bCs/>
                <w:color w:val="000000"/>
                <w:sz w:val="20"/>
                <w:szCs w:val="20"/>
                <w:lang w:val="es-AR"/>
              </w:rPr>
            </w:pPr>
            <w:r w:rsidRPr="008F16FC">
              <w:rPr>
                <w:b/>
                <w:bCs/>
                <w:color w:val="000000"/>
                <w:sz w:val="20"/>
                <w:szCs w:val="20"/>
                <w:lang w:val="es-AR"/>
              </w:rPr>
              <w:t>Total Pasivo No Corriente</w:t>
            </w:r>
          </w:p>
        </w:tc>
        <w:tc>
          <w:tcPr>
            <w:tcW w:w="1340" w:type="dxa"/>
            <w:tcBorders>
              <w:top w:val="single" w:sz="8" w:space="0" w:color="auto"/>
              <w:left w:val="nil"/>
              <w:bottom w:val="single" w:sz="8" w:space="0" w:color="auto"/>
              <w:right w:val="nil"/>
            </w:tcBorders>
            <w:shd w:val="clear" w:color="auto" w:fill="auto"/>
            <w:noWrap/>
            <w:vAlign w:val="bottom"/>
          </w:tcPr>
          <w:p w14:paraId="43C5A0F1" w14:textId="77777777" w:rsidR="008F16FC" w:rsidRPr="008F16FC" w:rsidRDefault="008F16FC" w:rsidP="008F16FC">
            <w:pPr>
              <w:rPr>
                <w:color w:val="000000"/>
                <w:sz w:val="20"/>
                <w:szCs w:val="20"/>
                <w:lang w:val="es-AR"/>
              </w:rPr>
            </w:pPr>
            <w:r w:rsidRPr="008F16FC">
              <w:rPr>
                <w:color w:val="000000"/>
                <w:sz w:val="20"/>
                <w:szCs w:val="20"/>
                <w:lang w:val="es-AR"/>
              </w:rPr>
              <w:t xml:space="preserve">    900.752</w:t>
            </w:r>
          </w:p>
        </w:tc>
        <w:tc>
          <w:tcPr>
            <w:tcW w:w="1340" w:type="dxa"/>
            <w:tcBorders>
              <w:top w:val="single" w:sz="8" w:space="0" w:color="auto"/>
              <w:left w:val="nil"/>
              <w:bottom w:val="single" w:sz="8" w:space="0" w:color="auto"/>
              <w:right w:val="single" w:sz="4" w:space="0" w:color="auto"/>
            </w:tcBorders>
            <w:vAlign w:val="bottom"/>
          </w:tcPr>
          <w:p w14:paraId="0FBC1AFD" w14:textId="77777777" w:rsidR="008F16FC" w:rsidRPr="008F16FC" w:rsidRDefault="008F16FC" w:rsidP="008F16FC">
            <w:pPr>
              <w:rPr>
                <w:color w:val="000000"/>
                <w:sz w:val="20"/>
                <w:szCs w:val="20"/>
                <w:lang w:val="es-AR"/>
              </w:rPr>
            </w:pPr>
            <w:r w:rsidRPr="008F16FC">
              <w:rPr>
                <w:bCs/>
                <w:color w:val="000000"/>
                <w:sz w:val="20"/>
                <w:szCs w:val="20"/>
                <w:lang w:val="es-AR"/>
              </w:rPr>
              <w:t xml:space="preserve">        870.562 </w:t>
            </w:r>
          </w:p>
        </w:tc>
        <w:tc>
          <w:tcPr>
            <w:tcW w:w="1287" w:type="dxa"/>
            <w:tcBorders>
              <w:top w:val="single" w:sz="8" w:space="0" w:color="auto"/>
              <w:left w:val="single" w:sz="4" w:space="0" w:color="auto"/>
              <w:bottom w:val="single" w:sz="8" w:space="0" w:color="auto"/>
              <w:right w:val="single" w:sz="4" w:space="0" w:color="auto"/>
            </w:tcBorders>
            <w:shd w:val="clear" w:color="auto" w:fill="auto"/>
            <w:noWrap/>
            <w:vAlign w:val="bottom"/>
          </w:tcPr>
          <w:p w14:paraId="3E6422CB"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30.190</w:t>
            </w:r>
          </w:p>
        </w:tc>
        <w:tc>
          <w:tcPr>
            <w:tcW w:w="1340" w:type="dxa"/>
            <w:tcBorders>
              <w:top w:val="single" w:sz="8" w:space="0" w:color="auto"/>
              <w:left w:val="single" w:sz="4" w:space="0" w:color="auto"/>
              <w:bottom w:val="single" w:sz="8" w:space="0" w:color="auto"/>
              <w:right w:val="single" w:sz="8" w:space="0" w:color="auto"/>
            </w:tcBorders>
            <w:shd w:val="clear" w:color="auto" w:fill="auto"/>
            <w:noWrap/>
            <w:vAlign w:val="bottom"/>
          </w:tcPr>
          <w:p w14:paraId="22979925"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3%</w:t>
            </w:r>
          </w:p>
        </w:tc>
      </w:tr>
      <w:tr w:rsidR="008F16FC" w:rsidRPr="008F16FC" w14:paraId="02A4C12A" w14:textId="77777777" w:rsidTr="008F16FC">
        <w:trPr>
          <w:trHeight w:val="270"/>
        </w:trPr>
        <w:tc>
          <w:tcPr>
            <w:tcW w:w="3953" w:type="dxa"/>
            <w:tcBorders>
              <w:top w:val="nil"/>
              <w:left w:val="nil"/>
              <w:bottom w:val="nil"/>
              <w:right w:val="nil"/>
            </w:tcBorders>
            <w:shd w:val="clear" w:color="auto" w:fill="auto"/>
            <w:noWrap/>
            <w:vAlign w:val="bottom"/>
            <w:hideMark/>
          </w:tcPr>
          <w:p w14:paraId="62F5050C" w14:textId="77777777" w:rsidR="008F16FC" w:rsidRPr="008F16FC" w:rsidRDefault="008F16FC" w:rsidP="008F16FC">
            <w:pPr>
              <w:rPr>
                <w:color w:val="000000"/>
                <w:sz w:val="20"/>
                <w:szCs w:val="20"/>
                <w:lang w:val="es-AR"/>
              </w:rPr>
            </w:pPr>
          </w:p>
        </w:tc>
        <w:tc>
          <w:tcPr>
            <w:tcW w:w="1340" w:type="dxa"/>
            <w:tcBorders>
              <w:top w:val="nil"/>
              <w:left w:val="nil"/>
              <w:bottom w:val="nil"/>
              <w:right w:val="nil"/>
            </w:tcBorders>
            <w:shd w:val="clear" w:color="auto" w:fill="auto"/>
            <w:noWrap/>
            <w:vAlign w:val="bottom"/>
          </w:tcPr>
          <w:p w14:paraId="6CCF9817" w14:textId="77777777" w:rsidR="008F16FC" w:rsidRPr="008F16FC" w:rsidRDefault="008F16FC" w:rsidP="008F16FC">
            <w:pPr>
              <w:rPr>
                <w:color w:val="000000"/>
                <w:sz w:val="20"/>
                <w:szCs w:val="20"/>
                <w:lang w:val="es-AR"/>
              </w:rPr>
            </w:pPr>
          </w:p>
        </w:tc>
        <w:tc>
          <w:tcPr>
            <w:tcW w:w="1340" w:type="dxa"/>
            <w:tcBorders>
              <w:top w:val="single" w:sz="8" w:space="0" w:color="auto"/>
              <w:left w:val="nil"/>
              <w:bottom w:val="single" w:sz="8" w:space="0" w:color="auto"/>
            </w:tcBorders>
            <w:vAlign w:val="bottom"/>
          </w:tcPr>
          <w:p w14:paraId="730A986C" w14:textId="77777777" w:rsidR="008F16FC" w:rsidRPr="008F16FC" w:rsidRDefault="008F16FC" w:rsidP="008F16FC">
            <w:pPr>
              <w:rPr>
                <w:color w:val="000000"/>
                <w:sz w:val="20"/>
                <w:szCs w:val="20"/>
                <w:lang w:val="es-AR"/>
              </w:rPr>
            </w:pPr>
          </w:p>
        </w:tc>
        <w:tc>
          <w:tcPr>
            <w:tcW w:w="1287" w:type="dxa"/>
            <w:tcBorders>
              <w:top w:val="nil"/>
              <w:left w:val="nil"/>
              <w:bottom w:val="single" w:sz="8" w:space="0" w:color="auto"/>
              <w:right w:val="nil"/>
            </w:tcBorders>
            <w:shd w:val="clear" w:color="auto" w:fill="auto"/>
            <w:noWrap/>
            <w:vAlign w:val="bottom"/>
          </w:tcPr>
          <w:p w14:paraId="788660FD" w14:textId="77777777" w:rsidR="008F16FC" w:rsidRPr="008F16FC" w:rsidRDefault="008F16FC" w:rsidP="008F16FC">
            <w:pPr>
              <w:jc w:val="right"/>
              <w:rPr>
                <w:color w:val="000000"/>
                <w:sz w:val="20"/>
                <w:szCs w:val="20"/>
                <w:lang w:val="es-AR"/>
              </w:rPr>
            </w:pPr>
          </w:p>
        </w:tc>
        <w:tc>
          <w:tcPr>
            <w:tcW w:w="1340" w:type="dxa"/>
            <w:tcBorders>
              <w:top w:val="nil"/>
              <w:left w:val="nil"/>
              <w:bottom w:val="nil"/>
              <w:right w:val="nil"/>
            </w:tcBorders>
            <w:shd w:val="clear" w:color="auto" w:fill="auto"/>
            <w:noWrap/>
            <w:vAlign w:val="bottom"/>
          </w:tcPr>
          <w:p w14:paraId="5643D08E" w14:textId="77777777" w:rsidR="008F16FC" w:rsidRPr="008F16FC" w:rsidRDefault="008F16FC" w:rsidP="008F16FC">
            <w:pPr>
              <w:jc w:val="center"/>
              <w:rPr>
                <w:color w:val="000000"/>
                <w:sz w:val="20"/>
                <w:szCs w:val="20"/>
                <w:lang w:val="es-AR"/>
              </w:rPr>
            </w:pPr>
          </w:p>
        </w:tc>
      </w:tr>
      <w:tr w:rsidR="008F16FC" w:rsidRPr="008F16FC" w14:paraId="27BE32BC" w14:textId="77777777" w:rsidTr="008F16FC">
        <w:trPr>
          <w:trHeight w:val="270"/>
        </w:trPr>
        <w:tc>
          <w:tcPr>
            <w:tcW w:w="3953" w:type="dxa"/>
            <w:tcBorders>
              <w:top w:val="single" w:sz="8" w:space="0" w:color="auto"/>
              <w:left w:val="single" w:sz="8" w:space="0" w:color="auto"/>
              <w:bottom w:val="single" w:sz="8" w:space="0" w:color="auto"/>
              <w:right w:val="nil"/>
            </w:tcBorders>
            <w:shd w:val="clear" w:color="auto" w:fill="auto"/>
            <w:noWrap/>
            <w:vAlign w:val="bottom"/>
            <w:hideMark/>
          </w:tcPr>
          <w:p w14:paraId="0593191D" w14:textId="77777777" w:rsidR="008F16FC" w:rsidRPr="008F16FC" w:rsidRDefault="008F16FC" w:rsidP="008F16FC">
            <w:pPr>
              <w:rPr>
                <w:b/>
                <w:bCs/>
                <w:color w:val="000000"/>
                <w:sz w:val="20"/>
                <w:szCs w:val="20"/>
                <w:lang w:val="es-AR"/>
              </w:rPr>
            </w:pPr>
            <w:r w:rsidRPr="008F16FC">
              <w:rPr>
                <w:b/>
                <w:bCs/>
                <w:color w:val="000000"/>
                <w:sz w:val="20"/>
                <w:szCs w:val="20"/>
                <w:lang w:val="es-AR"/>
              </w:rPr>
              <w:t>TOTAL PASIVO</w:t>
            </w:r>
          </w:p>
        </w:tc>
        <w:tc>
          <w:tcPr>
            <w:tcW w:w="1340" w:type="dxa"/>
            <w:tcBorders>
              <w:top w:val="single" w:sz="8" w:space="0" w:color="auto"/>
              <w:left w:val="nil"/>
              <w:bottom w:val="single" w:sz="8" w:space="0" w:color="auto"/>
              <w:right w:val="nil"/>
            </w:tcBorders>
            <w:shd w:val="clear" w:color="auto" w:fill="auto"/>
            <w:noWrap/>
            <w:vAlign w:val="bottom"/>
          </w:tcPr>
          <w:p w14:paraId="7737317F" w14:textId="77777777" w:rsidR="008F16FC" w:rsidRPr="008F16FC" w:rsidRDefault="008F16FC" w:rsidP="008F16FC">
            <w:pPr>
              <w:rPr>
                <w:color w:val="000000"/>
                <w:sz w:val="20"/>
                <w:szCs w:val="20"/>
                <w:lang w:val="es-AR"/>
              </w:rPr>
            </w:pPr>
            <w:r w:rsidRPr="008F16FC">
              <w:rPr>
                <w:color w:val="000000"/>
                <w:sz w:val="20"/>
                <w:szCs w:val="20"/>
                <w:lang w:val="es-AR"/>
              </w:rPr>
              <w:t>8.365.702</w:t>
            </w:r>
          </w:p>
        </w:tc>
        <w:tc>
          <w:tcPr>
            <w:tcW w:w="1340" w:type="dxa"/>
            <w:tcBorders>
              <w:top w:val="single" w:sz="8" w:space="0" w:color="auto"/>
              <w:left w:val="nil"/>
              <w:bottom w:val="single" w:sz="8" w:space="0" w:color="auto"/>
              <w:right w:val="single" w:sz="4" w:space="0" w:color="auto"/>
            </w:tcBorders>
            <w:vAlign w:val="bottom"/>
          </w:tcPr>
          <w:p w14:paraId="1B72BC4E" w14:textId="77777777" w:rsidR="008F16FC" w:rsidRPr="008F16FC" w:rsidRDefault="008F16FC" w:rsidP="008F16FC">
            <w:pPr>
              <w:rPr>
                <w:color w:val="000000"/>
                <w:sz w:val="20"/>
                <w:szCs w:val="20"/>
                <w:lang w:val="es-AR"/>
              </w:rPr>
            </w:pPr>
            <w:r w:rsidRPr="008F16FC">
              <w:rPr>
                <w:bCs/>
                <w:color w:val="000000"/>
                <w:sz w:val="20"/>
                <w:szCs w:val="20"/>
                <w:lang w:val="es-AR"/>
              </w:rPr>
              <w:t xml:space="preserve">     8.638.308 </w:t>
            </w:r>
          </w:p>
        </w:tc>
        <w:tc>
          <w:tcPr>
            <w:tcW w:w="1287" w:type="dxa"/>
            <w:tcBorders>
              <w:top w:val="single" w:sz="8" w:space="0" w:color="auto"/>
              <w:left w:val="single" w:sz="4" w:space="0" w:color="auto"/>
              <w:bottom w:val="single" w:sz="8" w:space="0" w:color="auto"/>
              <w:right w:val="single" w:sz="4" w:space="0" w:color="auto"/>
            </w:tcBorders>
            <w:shd w:val="clear" w:color="auto" w:fill="auto"/>
            <w:noWrap/>
            <w:vAlign w:val="bottom"/>
          </w:tcPr>
          <w:p w14:paraId="1BAECB8A"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-272.606</w:t>
            </w:r>
          </w:p>
        </w:tc>
        <w:tc>
          <w:tcPr>
            <w:tcW w:w="1340" w:type="dxa"/>
            <w:tcBorders>
              <w:top w:val="single" w:sz="8" w:space="0" w:color="auto"/>
              <w:left w:val="single" w:sz="4" w:space="0" w:color="auto"/>
              <w:bottom w:val="single" w:sz="8" w:space="0" w:color="auto"/>
              <w:right w:val="single" w:sz="8" w:space="0" w:color="auto"/>
            </w:tcBorders>
            <w:shd w:val="clear" w:color="auto" w:fill="auto"/>
            <w:noWrap/>
            <w:vAlign w:val="bottom"/>
          </w:tcPr>
          <w:p w14:paraId="1BC32063"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-3%</w:t>
            </w:r>
          </w:p>
        </w:tc>
      </w:tr>
      <w:tr w:rsidR="008F16FC" w:rsidRPr="008F16FC" w14:paraId="40D2F76F" w14:textId="77777777" w:rsidTr="008F16FC">
        <w:trPr>
          <w:trHeight w:val="270"/>
        </w:trPr>
        <w:tc>
          <w:tcPr>
            <w:tcW w:w="3953" w:type="dxa"/>
            <w:tcBorders>
              <w:top w:val="nil"/>
              <w:left w:val="nil"/>
              <w:bottom w:val="nil"/>
              <w:right w:val="nil"/>
            </w:tcBorders>
            <w:shd w:val="clear" w:color="auto" w:fill="auto"/>
            <w:noWrap/>
            <w:vAlign w:val="bottom"/>
            <w:hideMark/>
          </w:tcPr>
          <w:p w14:paraId="46AD15B0" w14:textId="77777777" w:rsidR="008F16FC" w:rsidRPr="008F16FC" w:rsidRDefault="008F16FC" w:rsidP="008F16FC">
            <w:pPr>
              <w:rPr>
                <w:color w:val="000000"/>
                <w:sz w:val="20"/>
                <w:szCs w:val="20"/>
                <w:lang w:val="es-AR"/>
              </w:rPr>
            </w:pPr>
          </w:p>
        </w:tc>
        <w:tc>
          <w:tcPr>
            <w:tcW w:w="1340" w:type="dxa"/>
            <w:tcBorders>
              <w:top w:val="nil"/>
              <w:left w:val="nil"/>
              <w:bottom w:val="nil"/>
              <w:right w:val="nil"/>
            </w:tcBorders>
            <w:shd w:val="clear" w:color="auto" w:fill="auto"/>
            <w:noWrap/>
            <w:vAlign w:val="bottom"/>
          </w:tcPr>
          <w:p w14:paraId="7925CE09" w14:textId="77777777" w:rsidR="008F16FC" w:rsidRPr="008F16FC" w:rsidRDefault="008F16FC" w:rsidP="008F16FC">
            <w:pPr>
              <w:rPr>
                <w:color w:val="000000"/>
                <w:sz w:val="20"/>
                <w:szCs w:val="20"/>
                <w:lang w:val="es-AR"/>
              </w:rPr>
            </w:pPr>
          </w:p>
        </w:tc>
        <w:tc>
          <w:tcPr>
            <w:tcW w:w="1340" w:type="dxa"/>
            <w:tcBorders>
              <w:top w:val="single" w:sz="8" w:space="0" w:color="auto"/>
              <w:left w:val="nil"/>
              <w:bottom w:val="single" w:sz="8" w:space="0" w:color="auto"/>
            </w:tcBorders>
            <w:vAlign w:val="bottom"/>
          </w:tcPr>
          <w:p w14:paraId="3A5E2BF3" w14:textId="77777777" w:rsidR="008F16FC" w:rsidRPr="008F16FC" w:rsidRDefault="008F16FC" w:rsidP="008F16FC">
            <w:pPr>
              <w:rPr>
                <w:color w:val="000000"/>
                <w:sz w:val="20"/>
                <w:szCs w:val="20"/>
                <w:lang w:val="es-AR"/>
              </w:rPr>
            </w:pPr>
          </w:p>
        </w:tc>
        <w:tc>
          <w:tcPr>
            <w:tcW w:w="1287" w:type="dxa"/>
            <w:tcBorders>
              <w:top w:val="nil"/>
              <w:left w:val="nil"/>
              <w:bottom w:val="single" w:sz="8" w:space="0" w:color="auto"/>
              <w:right w:val="nil"/>
            </w:tcBorders>
            <w:shd w:val="clear" w:color="auto" w:fill="auto"/>
            <w:noWrap/>
            <w:vAlign w:val="bottom"/>
          </w:tcPr>
          <w:p w14:paraId="49C8ECB5" w14:textId="77777777" w:rsidR="008F16FC" w:rsidRPr="008F16FC" w:rsidRDefault="008F16FC" w:rsidP="008F16FC">
            <w:pPr>
              <w:rPr>
                <w:color w:val="000000"/>
                <w:sz w:val="20"/>
                <w:szCs w:val="20"/>
                <w:lang w:val="es-AR"/>
              </w:rPr>
            </w:pPr>
          </w:p>
        </w:tc>
        <w:tc>
          <w:tcPr>
            <w:tcW w:w="1340" w:type="dxa"/>
            <w:tcBorders>
              <w:top w:val="nil"/>
              <w:left w:val="nil"/>
              <w:bottom w:val="nil"/>
              <w:right w:val="nil"/>
            </w:tcBorders>
            <w:shd w:val="clear" w:color="auto" w:fill="auto"/>
            <w:noWrap/>
            <w:vAlign w:val="bottom"/>
          </w:tcPr>
          <w:p w14:paraId="3C2DB704" w14:textId="77777777" w:rsidR="008F16FC" w:rsidRPr="008F16FC" w:rsidRDefault="008F16FC" w:rsidP="008F16FC">
            <w:pPr>
              <w:jc w:val="center"/>
              <w:rPr>
                <w:color w:val="000000"/>
                <w:sz w:val="20"/>
                <w:szCs w:val="20"/>
                <w:lang w:val="es-AR"/>
              </w:rPr>
            </w:pPr>
          </w:p>
        </w:tc>
      </w:tr>
      <w:tr w:rsidR="008F16FC" w:rsidRPr="008F16FC" w14:paraId="1E30209E" w14:textId="77777777" w:rsidTr="008F16FC">
        <w:trPr>
          <w:trHeight w:val="270"/>
        </w:trPr>
        <w:tc>
          <w:tcPr>
            <w:tcW w:w="3953" w:type="dxa"/>
            <w:tcBorders>
              <w:top w:val="single" w:sz="8" w:space="0" w:color="auto"/>
              <w:left w:val="single" w:sz="8" w:space="0" w:color="auto"/>
              <w:bottom w:val="single" w:sz="8" w:space="0" w:color="auto"/>
              <w:right w:val="nil"/>
            </w:tcBorders>
            <w:shd w:val="clear" w:color="auto" w:fill="auto"/>
            <w:noWrap/>
            <w:vAlign w:val="bottom"/>
            <w:hideMark/>
          </w:tcPr>
          <w:p w14:paraId="786B3523" w14:textId="77777777" w:rsidR="008F16FC" w:rsidRPr="008F16FC" w:rsidRDefault="008F16FC" w:rsidP="008F16FC">
            <w:pPr>
              <w:rPr>
                <w:b/>
                <w:bCs/>
                <w:color w:val="000000"/>
                <w:sz w:val="20"/>
                <w:szCs w:val="20"/>
                <w:lang w:val="es-AR"/>
              </w:rPr>
            </w:pPr>
            <w:r w:rsidRPr="008F16FC">
              <w:rPr>
                <w:b/>
                <w:bCs/>
                <w:color w:val="000000"/>
                <w:sz w:val="20"/>
                <w:szCs w:val="20"/>
                <w:lang w:val="es-AR"/>
              </w:rPr>
              <w:t xml:space="preserve">PATRIMONIO NETO </w:t>
            </w:r>
            <w:r w:rsidRPr="008F16FC">
              <w:rPr>
                <w:b/>
                <w:bCs/>
                <w:i/>
                <w:iCs/>
                <w:color w:val="000000"/>
                <w:sz w:val="20"/>
                <w:szCs w:val="20"/>
                <w:lang w:val="es-AR"/>
              </w:rPr>
              <w:t>(13)</w:t>
            </w:r>
          </w:p>
        </w:tc>
        <w:tc>
          <w:tcPr>
            <w:tcW w:w="1340" w:type="dxa"/>
            <w:tcBorders>
              <w:top w:val="single" w:sz="8" w:space="0" w:color="auto"/>
              <w:left w:val="nil"/>
              <w:bottom w:val="single" w:sz="8" w:space="0" w:color="auto"/>
              <w:right w:val="nil"/>
            </w:tcBorders>
            <w:shd w:val="clear" w:color="auto" w:fill="auto"/>
            <w:noWrap/>
            <w:vAlign w:val="bottom"/>
          </w:tcPr>
          <w:p w14:paraId="43E27B6C" w14:textId="77777777" w:rsidR="008F16FC" w:rsidRPr="008F16FC" w:rsidRDefault="008F16FC" w:rsidP="008F16FC">
            <w:pPr>
              <w:rPr>
                <w:color w:val="000000"/>
                <w:sz w:val="20"/>
                <w:szCs w:val="20"/>
                <w:lang w:val="es-AR"/>
              </w:rPr>
            </w:pPr>
            <w:r w:rsidRPr="008F16FC">
              <w:rPr>
                <w:color w:val="000000"/>
                <w:sz w:val="20"/>
                <w:szCs w:val="20"/>
                <w:lang w:val="es-AR"/>
              </w:rPr>
              <w:t>3.209.885</w:t>
            </w:r>
          </w:p>
        </w:tc>
        <w:tc>
          <w:tcPr>
            <w:tcW w:w="1340" w:type="dxa"/>
            <w:tcBorders>
              <w:top w:val="single" w:sz="8" w:space="0" w:color="auto"/>
              <w:left w:val="nil"/>
              <w:bottom w:val="single" w:sz="8" w:space="0" w:color="auto"/>
              <w:right w:val="single" w:sz="4" w:space="0" w:color="auto"/>
            </w:tcBorders>
            <w:vAlign w:val="bottom"/>
          </w:tcPr>
          <w:p w14:paraId="62A5B3E0" w14:textId="77777777" w:rsidR="008F16FC" w:rsidRPr="008F16FC" w:rsidRDefault="008F16FC" w:rsidP="008F16FC">
            <w:pPr>
              <w:rPr>
                <w:color w:val="000000"/>
                <w:sz w:val="20"/>
                <w:szCs w:val="20"/>
                <w:lang w:val="es-AR"/>
              </w:rPr>
            </w:pPr>
            <w:r w:rsidRPr="008F16FC">
              <w:rPr>
                <w:bCs/>
                <w:color w:val="000000"/>
                <w:sz w:val="20"/>
                <w:szCs w:val="20"/>
                <w:lang w:val="es-AR"/>
              </w:rPr>
              <w:t xml:space="preserve">     2.829.057</w:t>
            </w:r>
          </w:p>
        </w:tc>
        <w:tc>
          <w:tcPr>
            <w:tcW w:w="1287" w:type="dxa"/>
            <w:tcBorders>
              <w:top w:val="single" w:sz="8" w:space="0" w:color="auto"/>
              <w:left w:val="single" w:sz="4" w:space="0" w:color="auto"/>
              <w:bottom w:val="single" w:sz="8" w:space="0" w:color="auto"/>
              <w:right w:val="single" w:sz="4" w:space="0" w:color="auto"/>
            </w:tcBorders>
            <w:shd w:val="clear" w:color="auto" w:fill="auto"/>
            <w:noWrap/>
            <w:vAlign w:val="bottom"/>
          </w:tcPr>
          <w:p w14:paraId="09F289D2" w14:textId="77777777" w:rsidR="008F16FC" w:rsidRPr="008F16FC" w:rsidRDefault="008F16FC" w:rsidP="008F16FC">
            <w:pPr>
              <w:jc w:val="right"/>
              <w:rPr>
                <w:color w:val="000000"/>
                <w:sz w:val="20"/>
                <w:szCs w:val="20"/>
                <w:lang w:val="es-AR"/>
              </w:rPr>
            </w:pPr>
            <w:r w:rsidRPr="008F16FC">
              <w:rPr>
                <w:rFonts w:eastAsia="Calibri"/>
                <w:color w:val="000000"/>
                <w:sz w:val="20"/>
                <w:szCs w:val="20"/>
                <w:lang w:val="es-MX"/>
              </w:rPr>
              <w:t>380.828</w:t>
            </w:r>
          </w:p>
        </w:tc>
        <w:tc>
          <w:tcPr>
            <w:tcW w:w="1340" w:type="dxa"/>
            <w:tcBorders>
              <w:top w:val="single" w:sz="8" w:space="0" w:color="auto"/>
              <w:left w:val="single" w:sz="4" w:space="0" w:color="auto"/>
              <w:bottom w:val="single" w:sz="8" w:space="0" w:color="auto"/>
              <w:right w:val="single" w:sz="8" w:space="0" w:color="auto"/>
            </w:tcBorders>
            <w:shd w:val="clear" w:color="auto" w:fill="auto"/>
            <w:noWrap/>
            <w:vAlign w:val="bottom"/>
          </w:tcPr>
          <w:p w14:paraId="389DF0EA" w14:textId="77777777" w:rsidR="008F16FC" w:rsidRPr="008F16FC" w:rsidRDefault="008F16FC" w:rsidP="008F16FC">
            <w:pPr>
              <w:jc w:val="center"/>
              <w:rPr>
                <w:color w:val="000000"/>
                <w:sz w:val="20"/>
                <w:szCs w:val="20"/>
                <w:lang w:val="es-AR"/>
              </w:rPr>
            </w:pPr>
            <w:r w:rsidRPr="008F16FC">
              <w:rPr>
                <w:rFonts w:eastAsia="Calibri"/>
                <w:color w:val="000000"/>
                <w:sz w:val="20"/>
                <w:szCs w:val="20"/>
                <w:lang w:val="es-MX"/>
              </w:rPr>
              <w:t>13%</w:t>
            </w:r>
          </w:p>
        </w:tc>
      </w:tr>
      <w:tr w:rsidR="008F16FC" w:rsidRPr="008F16FC" w14:paraId="06972D3A" w14:textId="77777777" w:rsidTr="008F16FC">
        <w:trPr>
          <w:trHeight w:val="270"/>
        </w:trPr>
        <w:tc>
          <w:tcPr>
            <w:tcW w:w="3953" w:type="dxa"/>
            <w:tcBorders>
              <w:top w:val="nil"/>
              <w:left w:val="nil"/>
              <w:bottom w:val="nil"/>
              <w:right w:val="nil"/>
            </w:tcBorders>
            <w:shd w:val="clear" w:color="auto" w:fill="auto"/>
            <w:noWrap/>
            <w:vAlign w:val="bottom"/>
            <w:hideMark/>
          </w:tcPr>
          <w:p w14:paraId="37601E8C" w14:textId="77777777" w:rsidR="008F16FC" w:rsidRPr="008F16FC" w:rsidRDefault="008F16FC" w:rsidP="008F16FC">
            <w:pPr>
              <w:rPr>
                <w:color w:val="000000"/>
                <w:sz w:val="20"/>
                <w:szCs w:val="20"/>
                <w:lang w:val="es-AR"/>
              </w:rPr>
            </w:pPr>
          </w:p>
        </w:tc>
        <w:tc>
          <w:tcPr>
            <w:tcW w:w="1340" w:type="dxa"/>
            <w:tcBorders>
              <w:top w:val="nil"/>
              <w:left w:val="nil"/>
              <w:bottom w:val="nil"/>
              <w:right w:val="nil"/>
            </w:tcBorders>
            <w:shd w:val="clear" w:color="auto" w:fill="auto"/>
            <w:noWrap/>
            <w:vAlign w:val="bottom"/>
          </w:tcPr>
          <w:p w14:paraId="7D80AFD5" w14:textId="77777777" w:rsidR="008F16FC" w:rsidRPr="008F16FC" w:rsidRDefault="008F16FC" w:rsidP="008F16FC">
            <w:pPr>
              <w:rPr>
                <w:color w:val="000000"/>
                <w:sz w:val="20"/>
                <w:szCs w:val="20"/>
                <w:lang w:val="es-AR"/>
              </w:rPr>
            </w:pPr>
          </w:p>
        </w:tc>
        <w:tc>
          <w:tcPr>
            <w:tcW w:w="1340" w:type="dxa"/>
            <w:tcBorders>
              <w:top w:val="single" w:sz="8" w:space="0" w:color="auto"/>
              <w:left w:val="nil"/>
              <w:bottom w:val="single" w:sz="8" w:space="0" w:color="auto"/>
            </w:tcBorders>
            <w:vAlign w:val="bottom"/>
          </w:tcPr>
          <w:p w14:paraId="4CE66973" w14:textId="77777777" w:rsidR="008F16FC" w:rsidRPr="008F16FC" w:rsidRDefault="008F16FC" w:rsidP="008F16FC">
            <w:pPr>
              <w:rPr>
                <w:color w:val="000000"/>
                <w:sz w:val="20"/>
                <w:szCs w:val="20"/>
                <w:lang w:val="es-AR"/>
              </w:rPr>
            </w:pPr>
          </w:p>
        </w:tc>
        <w:tc>
          <w:tcPr>
            <w:tcW w:w="1287" w:type="dxa"/>
            <w:tcBorders>
              <w:top w:val="nil"/>
              <w:left w:val="nil"/>
              <w:bottom w:val="single" w:sz="8" w:space="0" w:color="auto"/>
              <w:right w:val="nil"/>
            </w:tcBorders>
            <w:shd w:val="clear" w:color="auto" w:fill="auto"/>
            <w:noWrap/>
            <w:vAlign w:val="bottom"/>
          </w:tcPr>
          <w:p w14:paraId="3E685059" w14:textId="77777777" w:rsidR="008F16FC" w:rsidRPr="008F16FC" w:rsidRDefault="008F16FC" w:rsidP="008F16FC">
            <w:pPr>
              <w:jc w:val="right"/>
              <w:rPr>
                <w:color w:val="000000"/>
                <w:sz w:val="20"/>
                <w:szCs w:val="20"/>
                <w:lang w:val="es-AR"/>
              </w:rPr>
            </w:pPr>
          </w:p>
        </w:tc>
        <w:tc>
          <w:tcPr>
            <w:tcW w:w="1340" w:type="dxa"/>
            <w:tcBorders>
              <w:top w:val="nil"/>
              <w:left w:val="nil"/>
              <w:bottom w:val="nil"/>
              <w:right w:val="nil"/>
            </w:tcBorders>
            <w:shd w:val="clear" w:color="auto" w:fill="auto"/>
            <w:noWrap/>
            <w:vAlign w:val="bottom"/>
          </w:tcPr>
          <w:p w14:paraId="42DF2B91" w14:textId="77777777" w:rsidR="008F16FC" w:rsidRPr="008F16FC" w:rsidRDefault="008F16FC" w:rsidP="008F16FC">
            <w:pPr>
              <w:jc w:val="center"/>
              <w:rPr>
                <w:color w:val="000000"/>
                <w:sz w:val="20"/>
                <w:szCs w:val="20"/>
                <w:lang w:val="es-AR"/>
              </w:rPr>
            </w:pPr>
          </w:p>
        </w:tc>
      </w:tr>
      <w:tr w:rsidR="008F16FC" w:rsidRPr="008F16FC" w14:paraId="2CC9FD42" w14:textId="77777777" w:rsidTr="008F16FC">
        <w:trPr>
          <w:trHeight w:val="270"/>
        </w:trPr>
        <w:tc>
          <w:tcPr>
            <w:tcW w:w="3953" w:type="dxa"/>
            <w:tcBorders>
              <w:top w:val="single" w:sz="8" w:space="0" w:color="auto"/>
              <w:left w:val="single" w:sz="8" w:space="0" w:color="auto"/>
              <w:bottom w:val="single" w:sz="8" w:space="0" w:color="auto"/>
              <w:right w:val="nil"/>
            </w:tcBorders>
            <w:shd w:val="clear" w:color="auto" w:fill="auto"/>
            <w:noWrap/>
            <w:vAlign w:val="bottom"/>
            <w:hideMark/>
          </w:tcPr>
          <w:p w14:paraId="70AEAB7C" w14:textId="77777777" w:rsidR="008F16FC" w:rsidRPr="008F16FC" w:rsidRDefault="008F16FC" w:rsidP="008F16FC">
            <w:pPr>
              <w:rPr>
                <w:b/>
                <w:bCs/>
                <w:color w:val="000000"/>
                <w:sz w:val="20"/>
                <w:szCs w:val="20"/>
                <w:lang w:val="es-ES"/>
              </w:rPr>
            </w:pPr>
            <w:r w:rsidRPr="008F16FC">
              <w:rPr>
                <w:b/>
                <w:bCs/>
                <w:color w:val="000000"/>
                <w:sz w:val="20"/>
                <w:szCs w:val="20"/>
                <w:lang w:val="es-ES"/>
              </w:rPr>
              <w:t>TOTAL PASIVO MAS PATRIMONIO NETO</w:t>
            </w:r>
          </w:p>
        </w:tc>
        <w:tc>
          <w:tcPr>
            <w:tcW w:w="1340" w:type="dxa"/>
            <w:tcBorders>
              <w:top w:val="single" w:sz="8" w:space="0" w:color="auto"/>
              <w:left w:val="nil"/>
              <w:bottom w:val="single" w:sz="8" w:space="0" w:color="auto"/>
              <w:right w:val="nil"/>
            </w:tcBorders>
            <w:shd w:val="clear" w:color="auto" w:fill="auto"/>
            <w:noWrap/>
            <w:vAlign w:val="bottom"/>
          </w:tcPr>
          <w:p w14:paraId="77F5B4B2" w14:textId="77777777" w:rsidR="008F16FC" w:rsidRPr="008F16FC" w:rsidRDefault="008F16FC" w:rsidP="008F16FC">
            <w:pPr>
              <w:rPr>
                <w:color w:val="000000"/>
                <w:sz w:val="20"/>
                <w:szCs w:val="20"/>
                <w:lang w:val="es-MX"/>
              </w:rPr>
            </w:pPr>
            <w:r w:rsidRPr="008F16FC">
              <w:rPr>
                <w:color w:val="000000"/>
                <w:sz w:val="20"/>
                <w:szCs w:val="20"/>
                <w:lang w:val="es-MX"/>
              </w:rPr>
              <w:t>11.575.587</w:t>
            </w:r>
          </w:p>
        </w:tc>
        <w:tc>
          <w:tcPr>
            <w:tcW w:w="1340" w:type="dxa"/>
            <w:tcBorders>
              <w:top w:val="single" w:sz="8" w:space="0" w:color="auto"/>
              <w:left w:val="nil"/>
              <w:bottom w:val="single" w:sz="8" w:space="0" w:color="auto"/>
              <w:right w:val="single" w:sz="4" w:space="0" w:color="auto"/>
            </w:tcBorders>
            <w:vAlign w:val="bottom"/>
          </w:tcPr>
          <w:p w14:paraId="28220C39" w14:textId="77777777" w:rsidR="008F16FC" w:rsidRPr="008F16FC" w:rsidRDefault="008F16FC" w:rsidP="008F16FC">
            <w:pPr>
              <w:rPr>
                <w:color w:val="000000"/>
                <w:sz w:val="20"/>
                <w:szCs w:val="20"/>
                <w:lang w:val="es-MX"/>
              </w:rPr>
            </w:pPr>
            <w:r w:rsidRPr="008F16FC">
              <w:rPr>
                <w:bCs/>
                <w:color w:val="000000"/>
                <w:sz w:val="20"/>
                <w:szCs w:val="20"/>
                <w:lang w:val="es-ES"/>
              </w:rPr>
              <w:t xml:space="preserve">    </w:t>
            </w:r>
            <w:r w:rsidRPr="008F16FC">
              <w:rPr>
                <w:bCs/>
                <w:color w:val="000000"/>
                <w:sz w:val="20"/>
                <w:szCs w:val="20"/>
                <w:lang w:val="es-AR"/>
              </w:rPr>
              <w:t xml:space="preserve">11.467.365 </w:t>
            </w:r>
          </w:p>
        </w:tc>
        <w:tc>
          <w:tcPr>
            <w:tcW w:w="1287" w:type="dxa"/>
            <w:tcBorders>
              <w:top w:val="single" w:sz="8" w:space="0" w:color="auto"/>
              <w:left w:val="single" w:sz="4" w:space="0" w:color="auto"/>
              <w:bottom w:val="single" w:sz="8" w:space="0" w:color="auto"/>
              <w:right w:val="single" w:sz="4" w:space="0" w:color="auto"/>
            </w:tcBorders>
            <w:shd w:val="clear" w:color="auto" w:fill="auto"/>
            <w:noWrap/>
            <w:vAlign w:val="bottom"/>
          </w:tcPr>
          <w:p w14:paraId="3D3BAE6A" w14:textId="77777777" w:rsidR="008F16FC" w:rsidRPr="008F16FC" w:rsidRDefault="008F16FC" w:rsidP="008F16FC">
            <w:pPr>
              <w:jc w:val="right"/>
              <w:rPr>
                <w:color w:val="000000"/>
                <w:sz w:val="20"/>
                <w:szCs w:val="20"/>
                <w:lang w:val="es-MX"/>
              </w:rPr>
            </w:pPr>
            <w:r w:rsidRPr="008F16FC">
              <w:rPr>
                <w:rFonts w:eastAsia="Calibri"/>
                <w:color w:val="000000"/>
                <w:sz w:val="20"/>
                <w:szCs w:val="20"/>
                <w:lang w:val="es-MX"/>
              </w:rPr>
              <w:t>108.222</w:t>
            </w:r>
          </w:p>
        </w:tc>
        <w:tc>
          <w:tcPr>
            <w:tcW w:w="1340" w:type="dxa"/>
            <w:tcBorders>
              <w:top w:val="single" w:sz="8" w:space="0" w:color="auto"/>
              <w:left w:val="single" w:sz="4" w:space="0" w:color="auto"/>
              <w:bottom w:val="single" w:sz="8" w:space="0" w:color="auto"/>
              <w:right w:val="single" w:sz="8" w:space="0" w:color="auto"/>
            </w:tcBorders>
            <w:shd w:val="clear" w:color="auto" w:fill="auto"/>
            <w:noWrap/>
            <w:vAlign w:val="bottom"/>
          </w:tcPr>
          <w:p w14:paraId="359EEBD4" w14:textId="77777777" w:rsidR="008F16FC" w:rsidRPr="008F16FC" w:rsidRDefault="008F16FC" w:rsidP="008F16FC">
            <w:pPr>
              <w:jc w:val="center"/>
              <w:rPr>
                <w:color w:val="000000"/>
                <w:sz w:val="20"/>
                <w:szCs w:val="20"/>
                <w:lang w:val="es-MX"/>
              </w:rPr>
            </w:pPr>
            <w:r w:rsidRPr="008F16FC">
              <w:rPr>
                <w:rFonts w:eastAsia="Calibri"/>
                <w:color w:val="000000"/>
                <w:sz w:val="20"/>
                <w:szCs w:val="20"/>
                <w:lang w:val="es-MX"/>
              </w:rPr>
              <w:t>1%</w:t>
            </w:r>
          </w:p>
        </w:tc>
      </w:tr>
    </w:tbl>
    <w:p w14:paraId="5C058D43" w14:textId="77777777" w:rsidR="008F16FC" w:rsidRPr="008F16FC" w:rsidRDefault="008F16FC" w:rsidP="008F16FC">
      <w:pPr>
        <w:jc w:val="both"/>
        <w:rPr>
          <w:rFonts w:eastAsia="Calibri"/>
          <w:sz w:val="20"/>
          <w:szCs w:val="20"/>
          <w:lang w:val="es-MX"/>
        </w:rPr>
      </w:pPr>
    </w:p>
    <w:p w14:paraId="5C093DB2" w14:textId="77777777" w:rsidR="008F16FC" w:rsidRPr="008F16FC" w:rsidRDefault="008F16FC" w:rsidP="008F16FC">
      <w:pPr>
        <w:jc w:val="both"/>
        <w:rPr>
          <w:rFonts w:eastAsia="Calibri"/>
          <w:b/>
          <w:bCs/>
          <w:sz w:val="20"/>
          <w:szCs w:val="20"/>
          <w:lang w:val="es-MX"/>
        </w:rPr>
      </w:pPr>
    </w:p>
    <w:p w14:paraId="6990C741" w14:textId="77777777" w:rsidR="008F16FC" w:rsidRPr="008F16FC" w:rsidRDefault="008F16FC" w:rsidP="008F16FC">
      <w:pPr>
        <w:jc w:val="both"/>
        <w:rPr>
          <w:rFonts w:cs="Arial"/>
          <w:iCs/>
          <w:color w:val="000000"/>
          <w:sz w:val="20"/>
          <w:lang w:val="es-ES"/>
        </w:rPr>
      </w:pPr>
      <w:r w:rsidRPr="008F16FC">
        <w:rPr>
          <w:rFonts w:cs="Arial"/>
          <w:b/>
          <w:color w:val="000000"/>
          <w:sz w:val="20"/>
          <w:lang w:val="es-ES"/>
        </w:rPr>
        <w:t>1) Activo Corriente y No Corriente</w:t>
      </w:r>
    </w:p>
    <w:p w14:paraId="7238F089" w14:textId="77777777" w:rsidR="008F16FC" w:rsidRPr="008F16FC" w:rsidRDefault="008F16FC" w:rsidP="008F16FC">
      <w:pPr>
        <w:jc w:val="both"/>
        <w:rPr>
          <w:rFonts w:cs="Arial"/>
          <w:iCs/>
          <w:color w:val="000000"/>
          <w:sz w:val="20"/>
          <w:lang w:val="es-ES"/>
        </w:rPr>
      </w:pPr>
    </w:p>
    <w:p w14:paraId="0D70B581"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Efectivo y equivalentes al efectivo (1)</w:t>
      </w:r>
    </w:p>
    <w:p w14:paraId="37EFC18C" w14:textId="77777777" w:rsidR="008F16FC" w:rsidRPr="008F16FC" w:rsidRDefault="008F16FC" w:rsidP="008F16FC">
      <w:pPr>
        <w:jc w:val="both"/>
        <w:rPr>
          <w:rFonts w:cs="Arial"/>
          <w:iCs/>
          <w:color w:val="000000"/>
          <w:sz w:val="20"/>
          <w:lang w:val="es-ES"/>
        </w:rPr>
      </w:pPr>
    </w:p>
    <w:p w14:paraId="03E0EDBB" w14:textId="77777777" w:rsidR="008F16FC" w:rsidRPr="008F16FC" w:rsidRDefault="008F16FC" w:rsidP="008F16FC">
      <w:pPr>
        <w:jc w:val="both"/>
        <w:rPr>
          <w:rFonts w:cs="Arial"/>
          <w:iCs/>
          <w:color w:val="000000"/>
          <w:sz w:val="20"/>
          <w:lang w:val="es-ES"/>
        </w:rPr>
      </w:pPr>
      <w:r w:rsidRPr="008F16FC">
        <w:rPr>
          <w:rFonts w:cs="Arial"/>
          <w:iCs/>
          <w:color w:val="000000"/>
          <w:sz w:val="20"/>
          <w:lang w:val="es-ES"/>
        </w:rPr>
        <w:t>El incremento se debe principalmente a una variación positiva de $ 80 millones en el rubro Inversiones en moneda nacional y $ 48 millones en Bancos moneda extranjera.</w:t>
      </w:r>
    </w:p>
    <w:p w14:paraId="670CD88D" w14:textId="77777777" w:rsidR="008F16FC" w:rsidRPr="008F16FC" w:rsidRDefault="008F16FC" w:rsidP="008F16FC">
      <w:pPr>
        <w:jc w:val="both"/>
        <w:rPr>
          <w:rFonts w:cs="Arial"/>
          <w:iCs/>
          <w:color w:val="000000"/>
          <w:sz w:val="20"/>
          <w:lang w:val="es-ES"/>
        </w:rPr>
      </w:pPr>
    </w:p>
    <w:p w14:paraId="72DC8D35"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Créditos por ventas (2)</w:t>
      </w:r>
    </w:p>
    <w:p w14:paraId="1222315A" w14:textId="77777777" w:rsidR="008F16FC" w:rsidRPr="008F16FC" w:rsidRDefault="008F16FC" w:rsidP="008F16FC">
      <w:pPr>
        <w:jc w:val="both"/>
        <w:rPr>
          <w:color w:val="000000"/>
          <w:sz w:val="16"/>
          <w:szCs w:val="16"/>
          <w:lang w:val="es-AR"/>
        </w:rPr>
      </w:pPr>
    </w:p>
    <w:p w14:paraId="44CC105A" w14:textId="77777777" w:rsidR="008F16FC" w:rsidRPr="008F16FC" w:rsidRDefault="008F16FC" w:rsidP="008F16FC">
      <w:pPr>
        <w:jc w:val="both"/>
        <w:rPr>
          <w:rFonts w:cs="Arial"/>
          <w:iCs/>
          <w:color w:val="000000"/>
          <w:sz w:val="20"/>
          <w:lang w:val="es-ES"/>
        </w:rPr>
      </w:pPr>
      <w:r w:rsidRPr="008F16FC">
        <w:rPr>
          <w:rFonts w:cs="Arial"/>
          <w:iCs/>
          <w:color w:val="000000"/>
          <w:sz w:val="20"/>
          <w:lang w:val="es-ES"/>
        </w:rPr>
        <w:t>El total de Créditos por ventas se vio disminuido por la caída de $ 375 millones en los créditos en moneda nacional y de $ 66 millones los créditos en moneda extranjera</w:t>
      </w:r>
    </w:p>
    <w:p w14:paraId="639C318C" w14:textId="77777777" w:rsidR="008F16FC" w:rsidRPr="008F16FC" w:rsidRDefault="008F16FC" w:rsidP="008F16FC">
      <w:pPr>
        <w:jc w:val="both"/>
        <w:rPr>
          <w:rFonts w:cs="Arial"/>
          <w:iCs/>
          <w:color w:val="000000"/>
          <w:sz w:val="20"/>
          <w:lang w:val="es-ES"/>
        </w:rPr>
      </w:pPr>
    </w:p>
    <w:p w14:paraId="7A25B46D"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Activos por Contratos de construcción (3)</w:t>
      </w:r>
    </w:p>
    <w:p w14:paraId="1387C15F" w14:textId="77777777" w:rsidR="008F16FC" w:rsidRPr="008F16FC" w:rsidRDefault="008F16FC" w:rsidP="008F16FC">
      <w:pPr>
        <w:jc w:val="both"/>
        <w:rPr>
          <w:rFonts w:cs="Arial"/>
          <w:color w:val="000000"/>
          <w:sz w:val="20"/>
          <w:lang w:val="es-ES"/>
        </w:rPr>
      </w:pPr>
    </w:p>
    <w:p w14:paraId="5A121215" w14:textId="77777777" w:rsidR="008F16FC" w:rsidRPr="008F16FC" w:rsidRDefault="008F16FC" w:rsidP="008F16FC">
      <w:pPr>
        <w:jc w:val="both"/>
        <w:rPr>
          <w:rFonts w:cs="Arial"/>
          <w:i/>
          <w:color w:val="000000"/>
          <w:sz w:val="20"/>
          <w:lang w:val="es-ES"/>
        </w:rPr>
      </w:pPr>
      <w:r w:rsidRPr="008F16FC">
        <w:rPr>
          <w:rFonts w:cs="Arial"/>
          <w:iCs/>
          <w:color w:val="000000"/>
          <w:sz w:val="20"/>
          <w:lang w:val="es-ES"/>
        </w:rPr>
        <w:t xml:space="preserve">La disminución de $ 1.030 millones deriva de un cambio en la normativa contable donde a partir del cierre de los Estados Financieros a junio 2019 establece que el saldo del rubro de facturación futura por producción en proceso debe ser neto del efecto que generará la aplicación de anticipos. En contrapartida, este cambio normativo explica también la disminución de </w:t>
      </w:r>
      <w:r w:rsidRPr="008F16FC">
        <w:rPr>
          <w:rFonts w:cs="Arial"/>
          <w:color w:val="000000"/>
          <w:sz w:val="20"/>
          <w:lang w:val="es-ES"/>
        </w:rPr>
        <w:t>Pasivos por Contratos de construcción.</w:t>
      </w:r>
    </w:p>
    <w:p w14:paraId="024C8ECB" w14:textId="77777777" w:rsidR="008F16FC" w:rsidRPr="008F16FC" w:rsidRDefault="008F16FC" w:rsidP="008F16FC">
      <w:pPr>
        <w:jc w:val="both"/>
        <w:rPr>
          <w:rFonts w:cs="Arial"/>
          <w:color w:val="000000"/>
          <w:sz w:val="20"/>
          <w:lang w:val="es-ES"/>
        </w:rPr>
      </w:pPr>
    </w:p>
    <w:p w14:paraId="23797256"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Créditos diversos (4)</w:t>
      </w:r>
    </w:p>
    <w:p w14:paraId="05240059" w14:textId="77777777" w:rsidR="008F16FC" w:rsidRPr="008F16FC" w:rsidRDefault="008F16FC" w:rsidP="008F16FC">
      <w:pPr>
        <w:jc w:val="both"/>
        <w:rPr>
          <w:rFonts w:cs="Arial"/>
          <w:iCs/>
          <w:color w:val="000000"/>
          <w:sz w:val="20"/>
          <w:lang w:val="es-ES"/>
        </w:rPr>
      </w:pPr>
      <w:r w:rsidRPr="008F16FC">
        <w:rPr>
          <w:rFonts w:cs="Arial"/>
          <w:iCs/>
          <w:color w:val="000000"/>
          <w:sz w:val="20"/>
          <w:lang w:val="es-ES"/>
        </w:rPr>
        <w:t>El total de Créditos Diversos disminuyó en $ 524 millones, debido a la baja en el rubro Anticipo proveedores moneda extranjera.</w:t>
      </w:r>
    </w:p>
    <w:p w14:paraId="512E0529" w14:textId="77777777" w:rsidR="008F16FC" w:rsidRPr="008F16FC" w:rsidRDefault="008F16FC" w:rsidP="008F16FC">
      <w:pPr>
        <w:jc w:val="both"/>
        <w:rPr>
          <w:color w:val="000000"/>
          <w:sz w:val="16"/>
          <w:szCs w:val="16"/>
          <w:lang w:val="es-ES"/>
        </w:rPr>
      </w:pPr>
    </w:p>
    <w:p w14:paraId="6D88E3E3" w14:textId="77777777" w:rsidR="008F16FC" w:rsidRPr="008F16FC" w:rsidRDefault="008F16FC" w:rsidP="008F16FC">
      <w:pPr>
        <w:jc w:val="both"/>
        <w:rPr>
          <w:color w:val="000000"/>
          <w:sz w:val="16"/>
          <w:szCs w:val="16"/>
          <w:lang w:val="es-ES"/>
        </w:rPr>
      </w:pPr>
      <w:r w:rsidRPr="008F16FC">
        <w:rPr>
          <w:rFonts w:cs="Arial"/>
          <w:i/>
          <w:color w:val="000000"/>
          <w:sz w:val="20"/>
          <w:lang w:val="es-ES"/>
        </w:rPr>
        <w:t>Inventarios (5)</w:t>
      </w:r>
    </w:p>
    <w:p w14:paraId="379B6E2E" w14:textId="77777777" w:rsidR="008F16FC" w:rsidRPr="008F16FC" w:rsidRDefault="008F16FC" w:rsidP="008F16FC">
      <w:pPr>
        <w:jc w:val="both"/>
        <w:rPr>
          <w:rFonts w:cs="Arial"/>
          <w:iCs/>
          <w:color w:val="000000"/>
          <w:sz w:val="20"/>
          <w:lang w:val="es-ES"/>
        </w:rPr>
      </w:pPr>
      <w:r w:rsidRPr="008F16FC">
        <w:rPr>
          <w:rFonts w:cs="Arial"/>
          <w:iCs/>
          <w:color w:val="000000"/>
          <w:sz w:val="20"/>
          <w:lang w:val="es-ES"/>
        </w:rPr>
        <w:t>El rubro Inventarios muestra un incremento de $ 186 millones producto de una suba en los Inventarios en Tránsito de $ 268 millones contra una caída de $ 32 millones de los Inventarios en Almacenes del Exterior y una caída de $ 51 millones en los Inventarios de la Producción en Proceso.</w:t>
      </w:r>
    </w:p>
    <w:p w14:paraId="60DEB825" w14:textId="77777777" w:rsidR="008F16FC" w:rsidRPr="008F16FC" w:rsidRDefault="008F16FC" w:rsidP="008F16FC">
      <w:pPr>
        <w:jc w:val="both"/>
        <w:rPr>
          <w:rFonts w:cs="Arial"/>
          <w:iCs/>
          <w:color w:val="000000"/>
          <w:sz w:val="20"/>
          <w:lang w:val="es-ES"/>
        </w:rPr>
      </w:pPr>
    </w:p>
    <w:p w14:paraId="5B4B50AF"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Propiedades, planta y equipo (6)</w:t>
      </w:r>
    </w:p>
    <w:p w14:paraId="73634354" w14:textId="77777777" w:rsidR="008F16FC" w:rsidRPr="008F16FC" w:rsidRDefault="008F16FC" w:rsidP="008F16FC">
      <w:pPr>
        <w:jc w:val="both"/>
        <w:rPr>
          <w:color w:val="000000"/>
          <w:sz w:val="16"/>
          <w:szCs w:val="16"/>
          <w:lang w:val="es-AR"/>
        </w:rPr>
      </w:pPr>
    </w:p>
    <w:p w14:paraId="421AF416" w14:textId="77777777" w:rsidR="008F16FC" w:rsidRPr="008F16FC" w:rsidRDefault="008F16FC" w:rsidP="008F16FC">
      <w:pPr>
        <w:jc w:val="both"/>
        <w:rPr>
          <w:rFonts w:cs="Arial"/>
          <w:iCs/>
          <w:color w:val="000000"/>
          <w:sz w:val="20"/>
          <w:lang w:val="es-ES"/>
        </w:rPr>
      </w:pPr>
      <w:r w:rsidRPr="008F16FC">
        <w:rPr>
          <w:rFonts w:cs="Arial"/>
          <w:iCs/>
          <w:color w:val="000000"/>
          <w:sz w:val="20"/>
          <w:lang w:val="es-ES"/>
        </w:rPr>
        <w:t>El incremento se debe principalmente a un aumento de $ 248 millones en el rubro Inmuebles, como consecuencia de actualizar los mismos a valores razonables de mercado mediante un revalúo técnico, $ 34 millones en Instalaciones, $ 16 millones en Máquinas y Herramientas y $ 14 millones en Instrumental.</w:t>
      </w:r>
    </w:p>
    <w:p w14:paraId="1F12D286" w14:textId="77777777" w:rsidR="008F16FC" w:rsidRPr="008F16FC" w:rsidRDefault="008F16FC" w:rsidP="008F16FC">
      <w:pPr>
        <w:jc w:val="both"/>
        <w:rPr>
          <w:rFonts w:cs="Arial"/>
          <w:iCs/>
          <w:color w:val="000000"/>
          <w:sz w:val="20"/>
          <w:lang w:val="es-ES"/>
        </w:rPr>
      </w:pPr>
    </w:p>
    <w:p w14:paraId="3023330D" w14:textId="77777777" w:rsidR="008F16FC" w:rsidRPr="008F16FC" w:rsidRDefault="008F16FC" w:rsidP="008F16FC">
      <w:pPr>
        <w:jc w:val="both"/>
        <w:rPr>
          <w:rFonts w:cs="Arial"/>
          <w:b/>
          <w:bCs/>
          <w:iCs/>
          <w:color w:val="000000"/>
          <w:sz w:val="20"/>
          <w:lang w:val="es-ES"/>
        </w:rPr>
      </w:pPr>
      <w:r w:rsidRPr="008F16FC">
        <w:rPr>
          <w:rFonts w:cs="Arial"/>
          <w:b/>
          <w:bCs/>
          <w:iCs/>
          <w:color w:val="000000"/>
          <w:sz w:val="20"/>
          <w:lang w:val="es-ES"/>
        </w:rPr>
        <w:t xml:space="preserve">Activo Corriente y No Corriente comparando septiembre de 2019 con junio de 2019 </w:t>
      </w:r>
    </w:p>
    <w:p w14:paraId="516A416E" w14:textId="77777777" w:rsidR="008F16FC" w:rsidRPr="008F16FC" w:rsidRDefault="008F16FC" w:rsidP="008F16FC">
      <w:pPr>
        <w:jc w:val="both"/>
        <w:rPr>
          <w:rFonts w:cs="Arial"/>
          <w:b/>
          <w:bCs/>
          <w:iCs/>
          <w:color w:val="000000"/>
          <w:sz w:val="20"/>
          <w:lang w:val="es-ES"/>
        </w:rPr>
      </w:pPr>
    </w:p>
    <w:p w14:paraId="745CEC47"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Efectivo y equivalentes al efectivo (1)</w:t>
      </w:r>
    </w:p>
    <w:p w14:paraId="2BE15F66" w14:textId="77777777" w:rsidR="008F16FC" w:rsidRPr="008F16FC" w:rsidRDefault="008F16FC" w:rsidP="008F16FC">
      <w:pPr>
        <w:jc w:val="both"/>
        <w:rPr>
          <w:rFonts w:cs="Arial"/>
          <w:iCs/>
          <w:color w:val="000000"/>
          <w:sz w:val="20"/>
          <w:lang w:val="es-ES"/>
        </w:rPr>
      </w:pPr>
    </w:p>
    <w:p w14:paraId="00158C6C" w14:textId="77777777" w:rsidR="008F16FC" w:rsidRPr="008F16FC" w:rsidRDefault="008F16FC" w:rsidP="008F16FC">
      <w:pPr>
        <w:jc w:val="both"/>
        <w:rPr>
          <w:rFonts w:cs="Arial"/>
          <w:iCs/>
          <w:color w:val="000000"/>
          <w:sz w:val="20"/>
          <w:lang w:val="es-ES"/>
        </w:rPr>
      </w:pPr>
      <w:r w:rsidRPr="008F16FC">
        <w:rPr>
          <w:rFonts w:cs="Arial"/>
          <w:iCs/>
          <w:color w:val="000000"/>
          <w:sz w:val="20"/>
          <w:lang w:val="es-ES"/>
        </w:rPr>
        <w:t>La disminución de $3 millones es producto de variaciones en las tenencias financieras: una caída en las Inversiones en moneda nacional de $ 114 millones se ve compensada contra una suba de $101 millones de los Bancos en moneda extranjera y una suba de $6 millones en las inversiones en moneda extranjera.</w:t>
      </w:r>
    </w:p>
    <w:p w14:paraId="55B8BFD5" w14:textId="77777777" w:rsidR="008F16FC" w:rsidRPr="008F16FC" w:rsidRDefault="008F16FC" w:rsidP="008F16FC">
      <w:pPr>
        <w:jc w:val="both"/>
        <w:rPr>
          <w:rFonts w:cs="Arial"/>
          <w:iCs/>
          <w:color w:val="000000"/>
          <w:sz w:val="20"/>
          <w:lang w:val="es-ES"/>
        </w:rPr>
      </w:pPr>
    </w:p>
    <w:p w14:paraId="5698E9C5"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Créditos por ventas (2)</w:t>
      </w:r>
    </w:p>
    <w:p w14:paraId="434D00A9" w14:textId="77777777" w:rsidR="008F16FC" w:rsidRPr="008F16FC" w:rsidRDefault="008F16FC" w:rsidP="008F16FC">
      <w:pPr>
        <w:jc w:val="both"/>
        <w:rPr>
          <w:color w:val="000000"/>
          <w:sz w:val="16"/>
          <w:szCs w:val="16"/>
          <w:lang w:val="es-AR"/>
        </w:rPr>
      </w:pPr>
    </w:p>
    <w:p w14:paraId="7C1F21EB" w14:textId="77777777" w:rsidR="008F16FC" w:rsidRPr="008F16FC" w:rsidRDefault="008F16FC" w:rsidP="008F16FC">
      <w:pPr>
        <w:jc w:val="both"/>
        <w:rPr>
          <w:rFonts w:cs="Arial"/>
          <w:iCs/>
          <w:color w:val="000000"/>
          <w:sz w:val="20"/>
          <w:lang w:val="es-ES"/>
        </w:rPr>
      </w:pPr>
      <w:r w:rsidRPr="008F16FC">
        <w:rPr>
          <w:rFonts w:cs="Arial"/>
          <w:iCs/>
          <w:color w:val="000000"/>
          <w:sz w:val="20"/>
          <w:lang w:val="es-ES"/>
        </w:rPr>
        <w:t>El total de Créditos por Ventas, asociados al mix de negocios actual, se vio disminuido por la caída de $ 900 millones en los créditos en moneda nacional, contra una suba de $ 564 millones de los créditos en moneda extranjera.</w:t>
      </w:r>
    </w:p>
    <w:p w14:paraId="51651BFF" w14:textId="77777777" w:rsidR="008F16FC" w:rsidRPr="008F16FC" w:rsidRDefault="008F16FC" w:rsidP="008F16FC">
      <w:pPr>
        <w:jc w:val="both"/>
        <w:rPr>
          <w:rFonts w:cs="Arial"/>
          <w:iCs/>
          <w:color w:val="000000"/>
          <w:sz w:val="20"/>
          <w:lang w:val="es-ES"/>
        </w:rPr>
      </w:pPr>
    </w:p>
    <w:p w14:paraId="2EEFE792"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Activos por Contratos de construcción (3)</w:t>
      </w:r>
    </w:p>
    <w:p w14:paraId="44938F06" w14:textId="77777777" w:rsidR="008F16FC" w:rsidRPr="008F16FC" w:rsidRDefault="008F16FC" w:rsidP="008F16FC">
      <w:pPr>
        <w:jc w:val="both"/>
        <w:rPr>
          <w:rFonts w:cs="Arial"/>
          <w:color w:val="000000"/>
          <w:sz w:val="20"/>
          <w:lang w:val="es-ES"/>
        </w:rPr>
      </w:pPr>
    </w:p>
    <w:p w14:paraId="6BE2C1DA" w14:textId="77777777" w:rsidR="008F16FC" w:rsidRPr="008F16FC" w:rsidRDefault="008F16FC" w:rsidP="008F16FC">
      <w:pPr>
        <w:jc w:val="both"/>
        <w:rPr>
          <w:rFonts w:cs="Arial"/>
          <w:color w:val="000000"/>
          <w:sz w:val="20"/>
          <w:lang w:val="es-ES"/>
        </w:rPr>
      </w:pPr>
      <w:r w:rsidRPr="008F16FC">
        <w:rPr>
          <w:rFonts w:cs="Arial"/>
          <w:iCs/>
          <w:color w:val="000000"/>
          <w:sz w:val="20"/>
          <w:lang w:val="es-ES"/>
        </w:rPr>
        <w:t xml:space="preserve">El aumento de $262 millones deriva de un cambio en la normativa contable donde a partir del cierre de los Estados Financieros a junio 2019 establece que el saldo del rubro de facturación futura por producción en proceso debe ser neto del efecto que generará la aplicación de anticipos. En contrapartida, este cambio normativo explica también la disminución de </w:t>
      </w:r>
      <w:r w:rsidRPr="008F16FC">
        <w:rPr>
          <w:rFonts w:cs="Arial"/>
          <w:color w:val="000000"/>
          <w:sz w:val="20"/>
          <w:lang w:val="es-ES"/>
        </w:rPr>
        <w:t>Pasivos por Contratos de construcción.</w:t>
      </w:r>
    </w:p>
    <w:p w14:paraId="7533BEE1" w14:textId="77777777" w:rsidR="008F16FC" w:rsidRPr="008F16FC" w:rsidRDefault="008F16FC" w:rsidP="008F16FC">
      <w:pPr>
        <w:jc w:val="both"/>
        <w:rPr>
          <w:rFonts w:cs="Arial"/>
          <w:color w:val="000000"/>
          <w:sz w:val="20"/>
          <w:lang w:val="es-ES"/>
        </w:rPr>
      </w:pPr>
    </w:p>
    <w:p w14:paraId="639BAAEB"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Créditos diversos (4)</w:t>
      </w:r>
    </w:p>
    <w:p w14:paraId="65F8EBB6" w14:textId="77777777" w:rsidR="008F16FC" w:rsidRPr="008F16FC" w:rsidRDefault="008F16FC" w:rsidP="008F16FC">
      <w:pPr>
        <w:jc w:val="both"/>
        <w:rPr>
          <w:rFonts w:cs="Arial"/>
          <w:iCs/>
          <w:color w:val="000000"/>
          <w:sz w:val="20"/>
          <w:lang w:val="es-ES"/>
        </w:rPr>
      </w:pPr>
      <w:r w:rsidRPr="008F16FC">
        <w:rPr>
          <w:rFonts w:cs="Arial"/>
          <w:iCs/>
          <w:color w:val="000000"/>
          <w:sz w:val="20"/>
          <w:lang w:val="es-ES"/>
        </w:rPr>
        <w:t>El total de Créditos Diversos disminuyó en $84 millones, debido principalmente a la baja en el rubro Saldo a Favor Impuesto a las Ganancias.</w:t>
      </w:r>
    </w:p>
    <w:p w14:paraId="19778601" w14:textId="77777777" w:rsidR="008F16FC" w:rsidRPr="008F16FC" w:rsidRDefault="008F16FC" w:rsidP="008F16FC">
      <w:pPr>
        <w:jc w:val="both"/>
        <w:rPr>
          <w:color w:val="000000"/>
          <w:sz w:val="16"/>
          <w:szCs w:val="16"/>
          <w:lang w:val="es-ES"/>
        </w:rPr>
      </w:pPr>
    </w:p>
    <w:p w14:paraId="195C8286" w14:textId="77777777" w:rsidR="008F16FC" w:rsidRPr="008F16FC" w:rsidRDefault="008F16FC" w:rsidP="008F16FC">
      <w:pPr>
        <w:jc w:val="both"/>
        <w:rPr>
          <w:color w:val="000000"/>
          <w:sz w:val="16"/>
          <w:szCs w:val="16"/>
          <w:lang w:val="es-ES"/>
        </w:rPr>
      </w:pPr>
      <w:r w:rsidRPr="008F16FC">
        <w:rPr>
          <w:rFonts w:cs="Arial"/>
          <w:i/>
          <w:color w:val="000000"/>
          <w:sz w:val="20"/>
          <w:lang w:val="es-ES"/>
        </w:rPr>
        <w:t>Inventarios (5)</w:t>
      </w:r>
    </w:p>
    <w:p w14:paraId="0D07FDF6" w14:textId="77777777" w:rsidR="008F16FC" w:rsidRPr="008F16FC" w:rsidRDefault="008F16FC" w:rsidP="008F16FC">
      <w:pPr>
        <w:jc w:val="both"/>
        <w:rPr>
          <w:rFonts w:cs="Arial"/>
          <w:iCs/>
          <w:color w:val="000000"/>
          <w:sz w:val="20"/>
          <w:lang w:val="es-ES"/>
        </w:rPr>
      </w:pPr>
      <w:r w:rsidRPr="008F16FC">
        <w:rPr>
          <w:rFonts w:cs="Arial"/>
          <w:iCs/>
          <w:color w:val="000000"/>
          <w:sz w:val="20"/>
          <w:lang w:val="es-ES"/>
        </w:rPr>
        <w:t>El rubro Inventarios muestra una disminución de $310 millones producto principalmente de una caída en los Inventarios en Tránsito, por arribo de las mercancías.</w:t>
      </w:r>
    </w:p>
    <w:p w14:paraId="06A69173" w14:textId="77777777" w:rsidR="008F16FC" w:rsidRPr="008F16FC" w:rsidRDefault="008F16FC" w:rsidP="008F16FC">
      <w:pPr>
        <w:jc w:val="both"/>
        <w:rPr>
          <w:rFonts w:cs="Arial"/>
          <w:iCs/>
          <w:color w:val="000000"/>
          <w:sz w:val="20"/>
          <w:lang w:val="es-ES"/>
        </w:rPr>
      </w:pPr>
    </w:p>
    <w:p w14:paraId="3F269C67"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Propiedades, planta y equipo (6)</w:t>
      </w:r>
    </w:p>
    <w:p w14:paraId="474AFB07" w14:textId="77777777" w:rsidR="008F16FC" w:rsidRPr="008F16FC" w:rsidRDefault="008F16FC" w:rsidP="008F16FC">
      <w:pPr>
        <w:jc w:val="both"/>
        <w:rPr>
          <w:color w:val="000000"/>
          <w:sz w:val="16"/>
          <w:szCs w:val="16"/>
          <w:lang w:val="es-AR"/>
        </w:rPr>
      </w:pPr>
    </w:p>
    <w:p w14:paraId="228D0CB1" w14:textId="77777777" w:rsidR="008F16FC" w:rsidRPr="008F16FC" w:rsidRDefault="008F16FC" w:rsidP="008F16FC">
      <w:pPr>
        <w:jc w:val="both"/>
        <w:rPr>
          <w:rFonts w:cs="Arial"/>
          <w:b/>
          <w:bCs/>
          <w:iCs/>
          <w:color w:val="000000"/>
          <w:sz w:val="20"/>
          <w:lang w:val="es-ES"/>
        </w:rPr>
      </w:pPr>
      <w:r w:rsidRPr="008F16FC">
        <w:rPr>
          <w:rFonts w:cs="Arial"/>
          <w:iCs/>
          <w:color w:val="000000"/>
          <w:sz w:val="20"/>
          <w:lang w:val="es-ES"/>
        </w:rPr>
        <w:t>El incremento se debe principalmente a un aumento de $410 millones en el rubro Inmuebles.</w:t>
      </w:r>
    </w:p>
    <w:p w14:paraId="182CB147" w14:textId="77777777" w:rsidR="008F16FC" w:rsidRPr="008F16FC" w:rsidRDefault="008F16FC" w:rsidP="008F16FC">
      <w:pPr>
        <w:jc w:val="both"/>
        <w:rPr>
          <w:rFonts w:cs="Arial"/>
          <w:iCs/>
          <w:color w:val="000000"/>
          <w:sz w:val="20"/>
          <w:lang w:val="es-ES"/>
        </w:rPr>
      </w:pPr>
    </w:p>
    <w:p w14:paraId="0599B582" w14:textId="62125894" w:rsidR="008F16FC" w:rsidRPr="008F16FC" w:rsidRDefault="008F16FC" w:rsidP="008F16FC">
      <w:pPr>
        <w:jc w:val="both"/>
        <w:rPr>
          <w:rFonts w:cs="Arial"/>
          <w:b/>
          <w:color w:val="000000"/>
          <w:sz w:val="20"/>
          <w:lang w:val="es-ES"/>
        </w:rPr>
      </w:pPr>
      <w:r w:rsidRPr="008F16FC">
        <w:rPr>
          <w:rFonts w:cs="Arial"/>
          <w:b/>
          <w:color w:val="000000"/>
          <w:sz w:val="20"/>
          <w:lang w:val="es-ES"/>
        </w:rPr>
        <w:t>2) Pasivo Corriente y No Corriente comparando junio 2019 con junio 2018</w:t>
      </w:r>
    </w:p>
    <w:p w14:paraId="74D4DEFE" w14:textId="77777777" w:rsidR="008F16FC" w:rsidRPr="008F16FC" w:rsidRDefault="008F16FC" w:rsidP="008F16FC">
      <w:pPr>
        <w:jc w:val="both"/>
        <w:rPr>
          <w:rFonts w:cs="Arial"/>
          <w:i/>
          <w:color w:val="000000"/>
          <w:sz w:val="20"/>
          <w:lang w:val="es-ES"/>
        </w:rPr>
      </w:pPr>
    </w:p>
    <w:p w14:paraId="257B9AE7"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Acreedores Comerciales (7)</w:t>
      </w:r>
    </w:p>
    <w:p w14:paraId="11F267AA" w14:textId="77777777" w:rsidR="008F16FC" w:rsidRPr="008F16FC" w:rsidRDefault="008F16FC" w:rsidP="008F16FC">
      <w:pPr>
        <w:jc w:val="both"/>
        <w:rPr>
          <w:color w:val="000000"/>
          <w:sz w:val="16"/>
          <w:szCs w:val="16"/>
          <w:lang w:val="es-AR"/>
        </w:rPr>
      </w:pPr>
    </w:p>
    <w:p w14:paraId="1B7F8CC6" w14:textId="77777777" w:rsidR="008F16FC" w:rsidRPr="008F16FC" w:rsidRDefault="008F16FC" w:rsidP="008F16FC">
      <w:pPr>
        <w:jc w:val="both"/>
        <w:rPr>
          <w:rFonts w:cs="Arial"/>
          <w:b/>
          <w:color w:val="000000"/>
          <w:sz w:val="20"/>
          <w:lang w:val="es-ES"/>
        </w:rPr>
      </w:pPr>
      <w:r w:rsidRPr="008F16FC">
        <w:rPr>
          <w:rFonts w:cs="Arial"/>
          <w:iCs/>
          <w:color w:val="000000"/>
          <w:sz w:val="20"/>
          <w:lang w:val="es-ES"/>
        </w:rPr>
        <w:t>Los Acreedores comerciales se incrementaron $ 341 millones, de los cuales $ 151 millones son en moneda nacional y $ 153 millones en moneda extranjera.</w:t>
      </w:r>
    </w:p>
    <w:p w14:paraId="07483B42" w14:textId="77777777" w:rsidR="008F16FC" w:rsidRPr="008F16FC" w:rsidRDefault="008F16FC" w:rsidP="008F16FC">
      <w:pPr>
        <w:jc w:val="both"/>
        <w:rPr>
          <w:rFonts w:cs="Arial"/>
          <w:b/>
          <w:color w:val="000000"/>
          <w:sz w:val="20"/>
          <w:lang w:val="es-ES"/>
        </w:rPr>
      </w:pPr>
    </w:p>
    <w:p w14:paraId="791616B5"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Pasivos por Contratos de construcción (8)</w:t>
      </w:r>
    </w:p>
    <w:p w14:paraId="5F7225BF" w14:textId="77777777" w:rsidR="008F16FC" w:rsidRPr="008F16FC" w:rsidRDefault="008F16FC" w:rsidP="008F16FC">
      <w:pPr>
        <w:jc w:val="both"/>
        <w:rPr>
          <w:rFonts w:cs="Arial"/>
          <w:i/>
          <w:color w:val="000000"/>
          <w:sz w:val="20"/>
          <w:lang w:val="es-ES"/>
        </w:rPr>
      </w:pPr>
    </w:p>
    <w:p w14:paraId="391F044D" w14:textId="77777777" w:rsidR="008F16FC" w:rsidRPr="00BA304B" w:rsidRDefault="008F16FC" w:rsidP="008F16FC">
      <w:pPr>
        <w:jc w:val="both"/>
        <w:rPr>
          <w:color w:val="000000"/>
          <w:sz w:val="20"/>
          <w:lang w:val="es-ES"/>
        </w:rPr>
      </w:pPr>
      <w:r w:rsidRPr="008F16FC">
        <w:rPr>
          <w:rFonts w:cs="Arial"/>
          <w:iCs/>
          <w:color w:val="000000"/>
          <w:sz w:val="20"/>
          <w:lang w:val="es-ES"/>
        </w:rPr>
        <w:t>En el mismo sentido de lo mencionado en el rubro Activos por Contratos de construcción, la disminución deriva principalmente del cambio en la normativa contable donde a partir del cierre de los estados Financieros a junio 2019 se establece que el saldo estará conformado por los anticipos de clientes netos de la facturación futura de la producción en proceso.</w:t>
      </w:r>
    </w:p>
    <w:p w14:paraId="75F4D7BC"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Pasivos Financieros (9)</w:t>
      </w:r>
    </w:p>
    <w:p w14:paraId="4D05385D" w14:textId="77777777" w:rsidR="008F16FC" w:rsidRPr="008F16FC" w:rsidRDefault="008F16FC" w:rsidP="008F16FC">
      <w:pPr>
        <w:jc w:val="both"/>
        <w:rPr>
          <w:color w:val="000000"/>
          <w:sz w:val="16"/>
          <w:szCs w:val="16"/>
          <w:lang w:val="es-AR"/>
        </w:rPr>
      </w:pPr>
    </w:p>
    <w:p w14:paraId="5C50255F" w14:textId="77777777" w:rsidR="008F16FC" w:rsidRPr="008F16FC" w:rsidRDefault="008F16FC" w:rsidP="008F16FC">
      <w:pPr>
        <w:jc w:val="both"/>
        <w:rPr>
          <w:rFonts w:cs="Arial"/>
          <w:iCs/>
          <w:color w:val="000000"/>
          <w:sz w:val="20"/>
          <w:lang w:val="es-ES"/>
        </w:rPr>
      </w:pPr>
      <w:r w:rsidRPr="008F16FC">
        <w:rPr>
          <w:rFonts w:cs="Arial"/>
          <w:iCs/>
          <w:color w:val="000000"/>
          <w:sz w:val="20"/>
          <w:lang w:val="es-ES"/>
        </w:rPr>
        <w:t>Los pasivos financieros corrientes en moneda nacional se incrementaron $ 107 millones mientras que aquellos en moneda extranjera se redujeron en $ 292 millones.</w:t>
      </w:r>
    </w:p>
    <w:p w14:paraId="09B68256" w14:textId="77777777" w:rsidR="008F16FC" w:rsidRPr="008F16FC" w:rsidRDefault="008F16FC" w:rsidP="008F16FC">
      <w:pPr>
        <w:jc w:val="both"/>
        <w:rPr>
          <w:rFonts w:cs="Arial"/>
          <w:iCs/>
          <w:color w:val="000000"/>
          <w:sz w:val="20"/>
          <w:lang w:val="es-ES"/>
        </w:rPr>
      </w:pPr>
    </w:p>
    <w:p w14:paraId="39B2C208"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Beneficios al personal (10)</w:t>
      </w:r>
    </w:p>
    <w:p w14:paraId="19CA8DDE" w14:textId="77777777" w:rsidR="008F16FC" w:rsidRPr="008F16FC" w:rsidRDefault="008F16FC" w:rsidP="008F16FC">
      <w:pPr>
        <w:jc w:val="both"/>
        <w:rPr>
          <w:color w:val="000000"/>
          <w:sz w:val="16"/>
          <w:szCs w:val="16"/>
          <w:lang w:val="es-AR"/>
        </w:rPr>
      </w:pPr>
    </w:p>
    <w:p w14:paraId="0AB132C7" w14:textId="77777777" w:rsidR="008F16FC" w:rsidRPr="008F16FC" w:rsidRDefault="008F16FC" w:rsidP="008F16FC">
      <w:pPr>
        <w:jc w:val="both"/>
        <w:rPr>
          <w:rFonts w:cs="Arial"/>
          <w:iCs/>
          <w:color w:val="000000"/>
          <w:sz w:val="20"/>
          <w:lang w:val="es-ES"/>
        </w:rPr>
      </w:pPr>
      <w:r w:rsidRPr="008F16FC">
        <w:rPr>
          <w:rFonts w:cs="Arial"/>
          <w:iCs/>
          <w:color w:val="000000"/>
          <w:sz w:val="20"/>
          <w:lang w:val="es-ES"/>
        </w:rPr>
        <w:t>Los Beneficios al personal se redujeron en un total de $ 111 millones principalmente a causa de la caída en Aportes y Contribuciones ANSES de $ 51 millones, Facilidades de Pago AFIP de $ 24 millones, Obras Sociales $ 17 millones y SAC $ 14 millones.</w:t>
      </w:r>
    </w:p>
    <w:p w14:paraId="4AF5A774" w14:textId="77777777" w:rsidR="008F16FC" w:rsidRPr="008F16FC" w:rsidRDefault="008F16FC" w:rsidP="008F16FC">
      <w:pPr>
        <w:jc w:val="both"/>
        <w:rPr>
          <w:rFonts w:cs="Arial"/>
          <w:i/>
          <w:color w:val="000000"/>
          <w:sz w:val="20"/>
          <w:lang w:val="es-ES"/>
        </w:rPr>
      </w:pPr>
    </w:p>
    <w:p w14:paraId="4D25D898"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Provisiones (11)</w:t>
      </w:r>
    </w:p>
    <w:p w14:paraId="3FF315B0" w14:textId="77777777" w:rsidR="008F16FC" w:rsidRPr="008F16FC" w:rsidRDefault="008F16FC" w:rsidP="008F16FC">
      <w:pPr>
        <w:jc w:val="both"/>
        <w:rPr>
          <w:color w:val="000000"/>
          <w:sz w:val="16"/>
          <w:szCs w:val="16"/>
          <w:lang w:val="es-AR"/>
        </w:rPr>
      </w:pPr>
    </w:p>
    <w:p w14:paraId="6B93CBF0" w14:textId="77777777" w:rsidR="008F16FC" w:rsidRPr="008F16FC" w:rsidRDefault="008F16FC" w:rsidP="008F16FC">
      <w:pPr>
        <w:jc w:val="both"/>
        <w:rPr>
          <w:rFonts w:cs="Arial"/>
          <w:iCs/>
          <w:color w:val="000000"/>
          <w:sz w:val="20"/>
          <w:lang w:val="es-AR"/>
        </w:rPr>
      </w:pPr>
      <w:r w:rsidRPr="008F16FC">
        <w:rPr>
          <w:rFonts w:cs="Arial"/>
          <w:iCs/>
          <w:color w:val="000000"/>
          <w:sz w:val="20"/>
          <w:lang w:val="es-ES"/>
        </w:rPr>
        <w:t>El monto total de las provisiones disminuyó en $ 88 millones producto de la caída en las provisiones en moneda nacional por un total de $ 117 millones contrarrestado, en parte, por un incremento en la provisión del Bono al Personal de $ 37 millones.</w:t>
      </w:r>
    </w:p>
    <w:p w14:paraId="2003AF93" w14:textId="77777777" w:rsidR="008F16FC" w:rsidRPr="008F16FC" w:rsidRDefault="008F16FC" w:rsidP="008F16FC">
      <w:pPr>
        <w:jc w:val="both"/>
        <w:rPr>
          <w:rFonts w:cs="Arial"/>
          <w:iCs/>
          <w:color w:val="000000"/>
          <w:sz w:val="20"/>
          <w:lang w:val="es-ES"/>
        </w:rPr>
      </w:pPr>
    </w:p>
    <w:p w14:paraId="487357C5"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Pasivos Financieros (12)</w:t>
      </w:r>
    </w:p>
    <w:p w14:paraId="0BFAF158" w14:textId="77777777" w:rsidR="008F16FC" w:rsidRPr="008F16FC" w:rsidRDefault="008F16FC" w:rsidP="008F16FC">
      <w:pPr>
        <w:jc w:val="both"/>
        <w:rPr>
          <w:color w:val="000000"/>
          <w:sz w:val="16"/>
          <w:szCs w:val="16"/>
          <w:lang w:val="es-AR"/>
        </w:rPr>
      </w:pPr>
    </w:p>
    <w:p w14:paraId="3509691A" w14:textId="77777777" w:rsidR="008F16FC" w:rsidRPr="008F16FC" w:rsidRDefault="008F16FC" w:rsidP="008F16FC">
      <w:pPr>
        <w:jc w:val="both"/>
        <w:rPr>
          <w:rFonts w:cs="Arial"/>
          <w:iCs/>
          <w:color w:val="000000"/>
          <w:sz w:val="20"/>
          <w:lang w:val="es-ES"/>
        </w:rPr>
      </w:pPr>
      <w:r w:rsidRPr="008F16FC">
        <w:rPr>
          <w:rFonts w:cs="Arial"/>
          <w:iCs/>
          <w:color w:val="000000"/>
          <w:sz w:val="20"/>
          <w:lang w:val="es-ES"/>
        </w:rPr>
        <w:t>Los pasivos financieros no corrientes en moneda nacional se incrementaron $ 58 millones.</w:t>
      </w:r>
    </w:p>
    <w:p w14:paraId="4511E3C3" w14:textId="77777777" w:rsidR="008F16FC" w:rsidRPr="00BA304B" w:rsidRDefault="008F16FC" w:rsidP="008F16FC">
      <w:pPr>
        <w:jc w:val="both"/>
        <w:rPr>
          <w:color w:val="000000"/>
          <w:sz w:val="20"/>
          <w:lang w:val="es-ES"/>
        </w:rPr>
      </w:pPr>
    </w:p>
    <w:p w14:paraId="5A5B7718" w14:textId="77777777" w:rsidR="008F16FC" w:rsidRPr="008F16FC" w:rsidRDefault="008F16FC" w:rsidP="008F16FC">
      <w:pPr>
        <w:jc w:val="both"/>
        <w:rPr>
          <w:rFonts w:cs="Arial"/>
          <w:b/>
          <w:color w:val="000000"/>
          <w:sz w:val="20"/>
          <w:lang w:val="es-ES"/>
        </w:rPr>
      </w:pPr>
      <w:r w:rsidRPr="008F16FC">
        <w:rPr>
          <w:rFonts w:cs="Arial"/>
          <w:b/>
          <w:color w:val="000000"/>
          <w:sz w:val="20"/>
          <w:lang w:val="es-ES"/>
        </w:rPr>
        <w:t>Pasivo Corriente y No Corriente comparando septiembre 2019 con junio 2019</w:t>
      </w:r>
    </w:p>
    <w:p w14:paraId="01F4C9F6" w14:textId="77777777" w:rsidR="008F16FC" w:rsidRPr="008F16FC" w:rsidRDefault="008F16FC" w:rsidP="008F16FC">
      <w:pPr>
        <w:jc w:val="both"/>
        <w:rPr>
          <w:rFonts w:cs="Arial"/>
          <w:b/>
          <w:color w:val="000000"/>
          <w:sz w:val="20"/>
          <w:lang w:val="es-ES"/>
        </w:rPr>
      </w:pPr>
    </w:p>
    <w:p w14:paraId="26F4879C"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Acreedores Comerciales (7)</w:t>
      </w:r>
    </w:p>
    <w:p w14:paraId="0E0329B8" w14:textId="77777777" w:rsidR="008F16FC" w:rsidRPr="00BA304B" w:rsidRDefault="008F16FC" w:rsidP="008F16FC">
      <w:pPr>
        <w:jc w:val="both"/>
        <w:rPr>
          <w:color w:val="000000"/>
          <w:sz w:val="16"/>
          <w:lang w:val="es-AR"/>
        </w:rPr>
      </w:pPr>
    </w:p>
    <w:p w14:paraId="2A642B3F" w14:textId="77777777" w:rsidR="008F16FC" w:rsidRPr="008F16FC" w:rsidRDefault="008F16FC" w:rsidP="008F16FC">
      <w:pPr>
        <w:jc w:val="both"/>
        <w:rPr>
          <w:rFonts w:cs="Arial"/>
          <w:b/>
          <w:color w:val="000000"/>
          <w:sz w:val="20"/>
          <w:lang w:val="es-ES"/>
        </w:rPr>
      </w:pPr>
      <w:r w:rsidRPr="00BA304B">
        <w:rPr>
          <w:color w:val="000000"/>
          <w:sz w:val="20"/>
          <w:lang w:val="es-ES"/>
        </w:rPr>
        <w:t>Los</w:t>
      </w:r>
      <w:r w:rsidRPr="008F16FC">
        <w:rPr>
          <w:rFonts w:cs="Arial"/>
          <w:iCs/>
          <w:color w:val="000000"/>
          <w:sz w:val="20"/>
          <w:lang w:val="es-ES"/>
        </w:rPr>
        <w:t xml:space="preserve"> Acreedores comerciales se incrementaron $468 millones, de los cuales $122 millones son en moneda nacional y $346 millones en moneda extranjera.</w:t>
      </w:r>
    </w:p>
    <w:p w14:paraId="5FDBDA97" w14:textId="77777777" w:rsidR="008F16FC" w:rsidRPr="008F16FC" w:rsidRDefault="008F16FC" w:rsidP="008F16FC">
      <w:pPr>
        <w:jc w:val="both"/>
        <w:rPr>
          <w:rFonts w:cs="Arial"/>
          <w:b/>
          <w:color w:val="000000"/>
          <w:sz w:val="20"/>
          <w:lang w:val="es-ES"/>
        </w:rPr>
      </w:pPr>
    </w:p>
    <w:p w14:paraId="105DB05F"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Pasivos por Contratos de construcción (8)</w:t>
      </w:r>
    </w:p>
    <w:p w14:paraId="7543D3FF" w14:textId="77777777" w:rsidR="008F16FC" w:rsidRPr="00BA304B" w:rsidRDefault="008F16FC" w:rsidP="00BA304B">
      <w:pPr>
        <w:jc w:val="both"/>
        <w:rPr>
          <w:i/>
          <w:color w:val="000000"/>
          <w:sz w:val="20"/>
          <w:lang w:val="es-ES"/>
        </w:rPr>
      </w:pPr>
    </w:p>
    <w:p w14:paraId="4628D346" w14:textId="77777777" w:rsidR="008F16FC" w:rsidRPr="008F16FC" w:rsidRDefault="008F16FC" w:rsidP="008F16FC">
      <w:pPr>
        <w:jc w:val="both"/>
        <w:rPr>
          <w:rFonts w:cs="Arial"/>
          <w:iCs/>
          <w:color w:val="000000"/>
          <w:sz w:val="20"/>
          <w:lang w:val="es-ES"/>
        </w:rPr>
      </w:pPr>
      <w:r w:rsidRPr="00BA304B">
        <w:rPr>
          <w:color w:val="000000"/>
          <w:sz w:val="20"/>
          <w:lang w:val="es-ES"/>
        </w:rPr>
        <w:t xml:space="preserve">En </w:t>
      </w:r>
      <w:r w:rsidRPr="008F16FC">
        <w:rPr>
          <w:rFonts w:cs="Arial"/>
          <w:iCs/>
          <w:color w:val="000000"/>
          <w:sz w:val="20"/>
          <w:lang w:val="es-ES"/>
        </w:rPr>
        <w:t>el mismo sentido de lo mencionado en el rubro Activos por Contratos de construcción, la disminución de $838 millones deriva principalmente del cambio en la normativa contable donde a partir del cierre de los estados Financieros a junio 2019 se establece que el saldo estará conformado por los anticipos de clientes netos de la facturación futura de la producción en proceso.</w:t>
      </w:r>
    </w:p>
    <w:p w14:paraId="1158E2D8"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Pasivos Financieros (9)</w:t>
      </w:r>
    </w:p>
    <w:p w14:paraId="1A032FFE" w14:textId="77777777" w:rsidR="008F16FC" w:rsidRPr="008F16FC" w:rsidRDefault="008F16FC" w:rsidP="008F16FC">
      <w:pPr>
        <w:jc w:val="both"/>
        <w:rPr>
          <w:color w:val="000000"/>
          <w:sz w:val="16"/>
          <w:szCs w:val="16"/>
          <w:lang w:val="es-AR"/>
        </w:rPr>
      </w:pPr>
    </w:p>
    <w:p w14:paraId="0754ED9B" w14:textId="77777777" w:rsidR="008F16FC" w:rsidRPr="008F16FC" w:rsidRDefault="008F16FC" w:rsidP="008F16FC">
      <w:pPr>
        <w:jc w:val="both"/>
        <w:rPr>
          <w:rFonts w:cs="Arial"/>
          <w:iCs/>
          <w:color w:val="000000"/>
          <w:sz w:val="20"/>
          <w:lang w:val="es-ES"/>
        </w:rPr>
      </w:pPr>
      <w:r w:rsidRPr="008F16FC">
        <w:rPr>
          <w:rFonts w:cs="Arial"/>
          <w:iCs/>
          <w:color w:val="000000"/>
          <w:sz w:val="20"/>
          <w:lang w:val="es-ES"/>
        </w:rPr>
        <w:t>Los pasivos financieros corrientes en moneda nacional se incrementaron $55 millones mientras que aquellos en moneda extranjera se redujeron en $141 millones.</w:t>
      </w:r>
    </w:p>
    <w:p w14:paraId="602C0DFA" w14:textId="77777777" w:rsidR="008F16FC" w:rsidRPr="008F16FC" w:rsidRDefault="008F16FC" w:rsidP="008F16FC">
      <w:pPr>
        <w:jc w:val="both"/>
        <w:rPr>
          <w:rFonts w:cs="Arial"/>
          <w:iCs/>
          <w:color w:val="000000"/>
          <w:sz w:val="20"/>
          <w:lang w:val="es-ES"/>
        </w:rPr>
      </w:pPr>
    </w:p>
    <w:p w14:paraId="15211247"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Beneficios al personal (10)</w:t>
      </w:r>
    </w:p>
    <w:p w14:paraId="30C6FB32" w14:textId="77777777" w:rsidR="008F16FC" w:rsidRPr="008F16FC" w:rsidRDefault="008F16FC" w:rsidP="008F16FC">
      <w:pPr>
        <w:jc w:val="both"/>
        <w:rPr>
          <w:color w:val="000000"/>
          <w:sz w:val="16"/>
          <w:szCs w:val="16"/>
          <w:lang w:val="es-AR"/>
        </w:rPr>
      </w:pPr>
    </w:p>
    <w:p w14:paraId="5C9F78FD" w14:textId="77777777" w:rsidR="008F16FC" w:rsidRPr="008F16FC" w:rsidRDefault="008F16FC" w:rsidP="008F16FC">
      <w:pPr>
        <w:jc w:val="both"/>
        <w:rPr>
          <w:rFonts w:cs="Arial"/>
          <w:iCs/>
          <w:color w:val="000000"/>
          <w:sz w:val="20"/>
          <w:lang w:val="es-ES"/>
        </w:rPr>
      </w:pPr>
      <w:r w:rsidRPr="008F16FC">
        <w:rPr>
          <w:rFonts w:cs="Arial"/>
          <w:iCs/>
          <w:color w:val="000000"/>
          <w:sz w:val="20"/>
          <w:lang w:val="es-ES"/>
        </w:rPr>
        <w:t xml:space="preserve">Los Beneficios al personal se redujeron en un total de $2 millones por reducción de las deudas previsionales. </w:t>
      </w:r>
    </w:p>
    <w:p w14:paraId="6CF17B37" w14:textId="77777777" w:rsidR="008F16FC" w:rsidRPr="008F16FC" w:rsidRDefault="008F16FC" w:rsidP="008F16FC">
      <w:pPr>
        <w:jc w:val="both"/>
        <w:rPr>
          <w:rFonts w:cs="Arial"/>
          <w:i/>
          <w:color w:val="000000"/>
          <w:sz w:val="20"/>
          <w:lang w:val="es-ES"/>
        </w:rPr>
      </w:pPr>
    </w:p>
    <w:p w14:paraId="0710F01C"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Provisiones (11)</w:t>
      </w:r>
    </w:p>
    <w:p w14:paraId="2FD810DB" w14:textId="77777777" w:rsidR="008F16FC" w:rsidRPr="008F16FC" w:rsidRDefault="008F16FC" w:rsidP="008F16FC">
      <w:pPr>
        <w:jc w:val="both"/>
        <w:rPr>
          <w:color w:val="000000"/>
          <w:sz w:val="16"/>
          <w:szCs w:val="16"/>
          <w:lang w:val="es-AR"/>
        </w:rPr>
      </w:pPr>
    </w:p>
    <w:p w14:paraId="0F0B5B42" w14:textId="77777777" w:rsidR="008F16FC" w:rsidRPr="008F16FC" w:rsidRDefault="008F16FC" w:rsidP="008F16FC">
      <w:pPr>
        <w:jc w:val="both"/>
        <w:rPr>
          <w:rFonts w:cs="Arial"/>
          <w:iCs/>
          <w:color w:val="000000"/>
          <w:sz w:val="20"/>
          <w:lang w:val="es-AR"/>
        </w:rPr>
      </w:pPr>
      <w:r w:rsidRPr="008F16FC">
        <w:rPr>
          <w:rFonts w:cs="Arial"/>
          <w:iCs/>
          <w:color w:val="000000"/>
          <w:sz w:val="20"/>
          <w:lang w:val="es-ES"/>
        </w:rPr>
        <w:t>El monto total de las provisiones en moneda nacional se incrementó en $5 millones, por deudas comerciales y otras deudas sociales.</w:t>
      </w:r>
    </w:p>
    <w:p w14:paraId="41B8A135" w14:textId="77777777" w:rsidR="008F16FC" w:rsidRPr="008F16FC" w:rsidRDefault="008F16FC" w:rsidP="008F16FC">
      <w:pPr>
        <w:jc w:val="both"/>
        <w:rPr>
          <w:rFonts w:cs="Arial"/>
          <w:iCs/>
          <w:color w:val="000000"/>
          <w:sz w:val="20"/>
          <w:lang w:val="es-ES"/>
        </w:rPr>
      </w:pPr>
    </w:p>
    <w:p w14:paraId="630D4ADD"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Pasivos Financieros (12)</w:t>
      </w:r>
    </w:p>
    <w:p w14:paraId="0FFDED9C" w14:textId="77777777" w:rsidR="008F16FC" w:rsidRPr="008F16FC" w:rsidRDefault="008F16FC" w:rsidP="008F16FC">
      <w:pPr>
        <w:jc w:val="both"/>
        <w:rPr>
          <w:color w:val="000000"/>
          <w:sz w:val="16"/>
          <w:szCs w:val="16"/>
          <w:lang w:val="es-AR"/>
        </w:rPr>
      </w:pPr>
    </w:p>
    <w:p w14:paraId="1B912DAD" w14:textId="77777777" w:rsidR="008F16FC" w:rsidRPr="008F16FC" w:rsidRDefault="008F16FC" w:rsidP="008F16FC">
      <w:pPr>
        <w:jc w:val="both"/>
        <w:rPr>
          <w:rFonts w:cs="Arial"/>
          <w:iCs/>
          <w:color w:val="000000"/>
          <w:sz w:val="20"/>
          <w:lang w:val="es-ES"/>
        </w:rPr>
      </w:pPr>
      <w:r w:rsidRPr="008F16FC">
        <w:rPr>
          <w:rFonts w:cs="Arial"/>
          <w:iCs/>
          <w:color w:val="000000"/>
          <w:sz w:val="20"/>
          <w:lang w:val="es-ES"/>
        </w:rPr>
        <w:t>Los pasivos financieros no corrientes en moneda nacional disminuyeron $3 millones.</w:t>
      </w:r>
    </w:p>
    <w:p w14:paraId="1A6CF2F2" w14:textId="77777777" w:rsidR="008F16FC" w:rsidRPr="00512442" w:rsidRDefault="008F16FC" w:rsidP="008F16FC">
      <w:pPr>
        <w:jc w:val="both"/>
        <w:rPr>
          <w:color w:val="000000"/>
          <w:sz w:val="16"/>
          <w:lang w:val="es-ES"/>
        </w:rPr>
      </w:pPr>
    </w:p>
    <w:p w14:paraId="60B0FEC3" w14:textId="34EA11E9" w:rsidR="008F16FC" w:rsidRPr="008F16FC" w:rsidRDefault="008F16FC" w:rsidP="008F16FC">
      <w:pPr>
        <w:spacing w:after="200"/>
        <w:rPr>
          <w:rFonts w:cs="Arial"/>
          <w:b/>
          <w:color w:val="000000"/>
          <w:sz w:val="20"/>
          <w:lang w:val="es-ES"/>
        </w:rPr>
      </w:pPr>
      <w:r w:rsidRPr="008F16FC">
        <w:rPr>
          <w:rFonts w:cs="Arial"/>
          <w:b/>
          <w:color w:val="000000"/>
          <w:sz w:val="20"/>
          <w:lang w:val="es-ES"/>
        </w:rPr>
        <w:t>3) Patrimonio Neto comparando junio 2019 con junio 2018</w:t>
      </w:r>
    </w:p>
    <w:p w14:paraId="012A584F"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PATRIMONIO NETO (13)</w:t>
      </w:r>
    </w:p>
    <w:p w14:paraId="508A7D87" w14:textId="77777777" w:rsidR="008F16FC" w:rsidRPr="008F16FC" w:rsidRDefault="008F16FC" w:rsidP="008F16FC">
      <w:pPr>
        <w:jc w:val="both"/>
        <w:rPr>
          <w:rFonts w:cs="Arial"/>
          <w:b/>
          <w:color w:val="000000"/>
          <w:sz w:val="20"/>
          <w:highlight w:val="yellow"/>
          <w:lang w:val="es-ES"/>
        </w:rPr>
      </w:pPr>
    </w:p>
    <w:p w14:paraId="6BFE9209" w14:textId="77777777" w:rsidR="008F16FC" w:rsidRPr="008F16FC" w:rsidRDefault="008F16FC" w:rsidP="008F16FC">
      <w:pPr>
        <w:jc w:val="both"/>
        <w:rPr>
          <w:rFonts w:cs="Arial"/>
          <w:color w:val="000000"/>
          <w:sz w:val="20"/>
          <w:lang w:val="es-ES"/>
        </w:rPr>
      </w:pPr>
      <w:r w:rsidRPr="008F16FC">
        <w:rPr>
          <w:rFonts w:cs="Arial"/>
          <w:color w:val="000000"/>
          <w:sz w:val="20"/>
          <w:lang w:val="es-ES"/>
        </w:rPr>
        <w:t xml:space="preserve">El Patrimonio Neto varió positivamente en $ 62 millones, dicha variación se origina en $ 157 millones que corresponden al déficit de revaluación por la actualización de los valores de los inmuebles a valores razonables. El resultado negativo se debe a que en el 2019 el efecto del ajuste por inflación superó al efecto del superávit en el revalúo técnico. </w:t>
      </w:r>
    </w:p>
    <w:p w14:paraId="20356173" w14:textId="77777777" w:rsidR="008F16FC" w:rsidRPr="008F16FC" w:rsidRDefault="008F16FC" w:rsidP="008F16FC">
      <w:pPr>
        <w:jc w:val="both"/>
        <w:rPr>
          <w:rFonts w:cs="Arial"/>
          <w:color w:val="000000"/>
          <w:sz w:val="20"/>
          <w:lang w:val="es-ES"/>
        </w:rPr>
      </w:pPr>
      <w:r w:rsidRPr="008F16FC">
        <w:rPr>
          <w:rFonts w:cs="Arial"/>
          <w:color w:val="000000"/>
          <w:sz w:val="20"/>
          <w:lang w:val="es-ES"/>
        </w:rPr>
        <w:t>Por otro lado, con $ 215 millones de Resultado del Ejercicio, la constitución de Reserva Legal $ 3 millones y Reservas Facultativas de $ 53 millones, el rubro de Resultados no asignados tiene una variación de $ 215 millones.</w:t>
      </w:r>
    </w:p>
    <w:p w14:paraId="3AE84E1F" w14:textId="77777777" w:rsidR="008F16FC" w:rsidRPr="008F16FC" w:rsidRDefault="008F16FC" w:rsidP="008F16FC">
      <w:pPr>
        <w:jc w:val="both"/>
        <w:rPr>
          <w:rFonts w:eastAsia="Calibri"/>
          <w:sz w:val="20"/>
          <w:szCs w:val="20"/>
          <w:lang w:val="es-ES"/>
        </w:rPr>
      </w:pPr>
    </w:p>
    <w:p w14:paraId="7D09D0D4" w14:textId="7F88346D" w:rsidR="008F16FC" w:rsidRPr="008F16FC" w:rsidRDefault="008F16FC" w:rsidP="008F16FC">
      <w:pPr>
        <w:jc w:val="both"/>
        <w:rPr>
          <w:rFonts w:eastAsia="Calibri"/>
          <w:sz w:val="20"/>
          <w:szCs w:val="20"/>
          <w:lang w:val="es-MX"/>
        </w:rPr>
      </w:pPr>
      <w:r w:rsidRPr="008F16FC">
        <w:rPr>
          <w:rFonts w:eastAsia="Calibri"/>
          <w:sz w:val="20"/>
          <w:szCs w:val="20"/>
          <w:lang w:val="es-MX"/>
        </w:rPr>
        <w:t>El siguiente cuadro muestra los Resultados para los ejercicios económicos anuales finalizados el 30 de junio de 2019 y 2018 expresados en miles de Pesos, salvo indicación en contrario:</w:t>
      </w:r>
    </w:p>
    <w:p w14:paraId="7C9D3F7C" w14:textId="77777777" w:rsidR="008F16FC" w:rsidRPr="008F16FC" w:rsidRDefault="008F16FC" w:rsidP="008F16FC">
      <w:pPr>
        <w:jc w:val="both"/>
        <w:rPr>
          <w:rFonts w:eastAsia="Calibri"/>
          <w:sz w:val="20"/>
          <w:szCs w:val="20"/>
          <w:lang w:val="es-MX"/>
        </w:rPr>
      </w:pPr>
    </w:p>
    <w:tbl>
      <w:tblPr>
        <w:tblW w:w="7288" w:type="dxa"/>
        <w:tblInd w:w="70" w:type="dxa"/>
        <w:tblCellMar>
          <w:left w:w="70" w:type="dxa"/>
          <w:right w:w="70" w:type="dxa"/>
        </w:tblCellMar>
        <w:tblLook w:val="04A0" w:firstRow="1" w:lastRow="0" w:firstColumn="1" w:lastColumn="0" w:noHBand="0" w:noVBand="1"/>
      </w:tblPr>
      <w:tblGrid>
        <w:gridCol w:w="4576"/>
        <w:gridCol w:w="1356"/>
        <w:gridCol w:w="1356"/>
      </w:tblGrid>
      <w:tr w:rsidR="008F16FC" w:rsidRPr="008F16FC" w14:paraId="1C6F2A81" w14:textId="77777777" w:rsidTr="00BA304B">
        <w:trPr>
          <w:trHeight w:val="255"/>
        </w:trPr>
        <w:tc>
          <w:tcPr>
            <w:tcW w:w="4576" w:type="dxa"/>
            <w:tcBorders>
              <w:top w:val="nil"/>
              <w:left w:val="nil"/>
              <w:bottom w:val="nil"/>
              <w:right w:val="nil"/>
            </w:tcBorders>
            <w:shd w:val="clear" w:color="auto" w:fill="auto"/>
            <w:noWrap/>
            <w:vAlign w:val="bottom"/>
            <w:hideMark/>
          </w:tcPr>
          <w:p w14:paraId="37997C99" w14:textId="77777777" w:rsidR="008F16FC" w:rsidRPr="008F16FC" w:rsidRDefault="008F16FC" w:rsidP="008F16FC">
            <w:pPr>
              <w:rPr>
                <w:color w:val="000000"/>
                <w:sz w:val="20"/>
                <w:lang w:val="es-ES"/>
              </w:rPr>
            </w:pPr>
          </w:p>
        </w:tc>
        <w:tc>
          <w:tcPr>
            <w:tcW w:w="1356" w:type="dxa"/>
            <w:tcBorders>
              <w:top w:val="nil"/>
              <w:left w:val="nil"/>
              <w:bottom w:val="nil"/>
              <w:right w:val="nil"/>
            </w:tcBorders>
            <w:shd w:val="clear" w:color="auto" w:fill="auto"/>
            <w:noWrap/>
            <w:vAlign w:val="bottom"/>
            <w:hideMark/>
          </w:tcPr>
          <w:p w14:paraId="164DB980" w14:textId="77777777" w:rsidR="008F16FC" w:rsidRPr="008F16FC" w:rsidRDefault="008F16FC" w:rsidP="008F16FC">
            <w:pPr>
              <w:jc w:val="right"/>
              <w:rPr>
                <w:b/>
                <w:color w:val="000000"/>
                <w:sz w:val="20"/>
              </w:rPr>
            </w:pPr>
            <w:r w:rsidRPr="008F16FC">
              <w:rPr>
                <w:b/>
                <w:color w:val="000000"/>
                <w:sz w:val="20"/>
              </w:rPr>
              <w:t>30/06/2019</w:t>
            </w:r>
          </w:p>
        </w:tc>
        <w:tc>
          <w:tcPr>
            <w:tcW w:w="1356" w:type="dxa"/>
            <w:tcBorders>
              <w:top w:val="nil"/>
              <w:left w:val="nil"/>
              <w:bottom w:val="nil"/>
              <w:right w:val="nil"/>
            </w:tcBorders>
            <w:shd w:val="clear" w:color="auto" w:fill="auto"/>
            <w:noWrap/>
            <w:vAlign w:val="bottom"/>
            <w:hideMark/>
          </w:tcPr>
          <w:p w14:paraId="3ED214A7" w14:textId="77777777" w:rsidR="008F16FC" w:rsidRPr="008F16FC" w:rsidRDefault="008F16FC" w:rsidP="008F16FC">
            <w:pPr>
              <w:jc w:val="right"/>
              <w:rPr>
                <w:b/>
                <w:color w:val="000000"/>
                <w:sz w:val="20"/>
              </w:rPr>
            </w:pPr>
            <w:r w:rsidRPr="008F16FC">
              <w:rPr>
                <w:b/>
                <w:color w:val="000000"/>
                <w:sz w:val="20"/>
              </w:rPr>
              <w:t>30/06/2018</w:t>
            </w:r>
          </w:p>
        </w:tc>
      </w:tr>
      <w:tr w:rsidR="008F16FC" w:rsidRPr="008F16FC" w14:paraId="2247984C" w14:textId="77777777" w:rsidTr="00BA304B">
        <w:trPr>
          <w:trHeight w:val="255"/>
        </w:trPr>
        <w:tc>
          <w:tcPr>
            <w:tcW w:w="4576" w:type="dxa"/>
            <w:tcBorders>
              <w:top w:val="nil"/>
              <w:left w:val="nil"/>
              <w:bottom w:val="nil"/>
              <w:right w:val="nil"/>
            </w:tcBorders>
            <w:shd w:val="clear" w:color="auto" w:fill="auto"/>
            <w:noWrap/>
            <w:vAlign w:val="bottom"/>
            <w:hideMark/>
          </w:tcPr>
          <w:p w14:paraId="6FBE568D" w14:textId="77777777" w:rsidR="008F16FC" w:rsidRPr="008F16FC" w:rsidRDefault="008F16FC" w:rsidP="008F16FC">
            <w:pPr>
              <w:rPr>
                <w:color w:val="000000"/>
                <w:sz w:val="20"/>
                <w:lang w:val="es-ES"/>
              </w:rPr>
            </w:pPr>
            <w:r w:rsidRPr="008F16FC">
              <w:rPr>
                <w:color w:val="000000"/>
                <w:sz w:val="20"/>
                <w:lang w:val="es-ES"/>
              </w:rPr>
              <w:t>Ingresos por contratos de construcción</w:t>
            </w:r>
          </w:p>
        </w:tc>
        <w:tc>
          <w:tcPr>
            <w:tcW w:w="1356" w:type="dxa"/>
            <w:tcBorders>
              <w:top w:val="nil"/>
              <w:left w:val="nil"/>
              <w:bottom w:val="nil"/>
              <w:right w:val="nil"/>
            </w:tcBorders>
            <w:shd w:val="clear" w:color="auto" w:fill="auto"/>
            <w:noWrap/>
            <w:vAlign w:val="bottom"/>
            <w:hideMark/>
          </w:tcPr>
          <w:p w14:paraId="740B4832" w14:textId="77777777" w:rsidR="008F16FC" w:rsidRPr="008F16FC" w:rsidRDefault="008F16FC" w:rsidP="008F16FC">
            <w:pPr>
              <w:jc w:val="right"/>
              <w:rPr>
                <w:color w:val="000000"/>
                <w:sz w:val="20"/>
              </w:rPr>
            </w:pPr>
            <w:r w:rsidRPr="008F16FC">
              <w:rPr>
                <w:color w:val="000000"/>
                <w:sz w:val="20"/>
              </w:rPr>
              <w:t>7.553.565</w:t>
            </w:r>
          </w:p>
        </w:tc>
        <w:tc>
          <w:tcPr>
            <w:tcW w:w="1356" w:type="dxa"/>
            <w:tcBorders>
              <w:top w:val="nil"/>
              <w:left w:val="nil"/>
              <w:bottom w:val="nil"/>
              <w:right w:val="nil"/>
            </w:tcBorders>
            <w:shd w:val="clear" w:color="auto" w:fill="auto"/>
            <w:noWrap/>
            <w:vAlign w:val="bottom"/>
            <w:hideMark/>
          </w:tcPr>
          <w:p w14:paraId="6FDD926F" w14:textId="77777777" w:rsidR="008F16FC" w:rsidRPr="008F16FC" w:rsidRDefault="008F16FC" w:rsidP="008F16FC">
            <w:pPr>
              <w:jc w:val="right"/>
              <w:rPr>
                <w:color w:val="000000"/>
                <w:sz w:val="20"/>
              </w:rPr>
            </w:pPr>
            <w:r w:rsidRPr="008F16FC">
              <w:rPr>
                <w:color w:val="000000"/>
                <w:sz w:val="20"/>
              </w:rPr>
              <w:t>6.474.004</w:t>
            </w:r>
          </w:p>
        </w:tc>
      </w:tr>
      <w:tr w:rsidR="008F16FC" w:rsidRPr="008F16FC" w14:paraId="754BA47C" w14:textId="77777777" w:rsidTr="00BA304B">
        <w:trPr>
          <w:trHeight w:val="255"/>
        </w:trPr>
        <w:tc>
          <w:tcPr>
            <w:tcW w:w="4576" w:type="dxa"/>
            <w:tcBorders>
              <w:top w:val="nil"/>
              <w:left w:val="nil"/>
              <w:bottom w:val="nil"/>
              <w:right w:val="nil"/>
            </w:tcBorders>
            <w:shd w:val="clear" w:color="auto" w:fill="auto"/>
            <w:noWrap/>
            <w:vAlign w:val="bottom"/>
            <w:hideMark/>
          </w:tcPr>
          <w:p w14:paraId="2FAA6BB6" w14:textId="77777777" w:rsidR="008F16FC" w:rsidRPr="008F16FC" w:rsidRDefault="008F16FC" w:rsidP="008F16FC">
            <w:pPr>
              <w:rPr>
                <w:color w:val="000000"/>
                <w:sz w:val="20"/>
                <w:lang w:val="es-ES"/>
              </w:rPr>
            </w:pPr>
            <w:r w:rsidRPr="008F16FC">
              <w:rPr>
                <w:color w:val="000000"/>
                <w:sz w:val="20"/>
                <w:lang w:val="es-ES"/>
              </w:rPr>
              <w:t>Costo de ejecución de los contratos</w:t>
            </w:r>
          </w:p>
        </w:tc>
        <w:tc>
          <w:tcPr>
            <w:tcW w:w="1356" w:type="dxa"/>
            <w:tcBorders>
              <w:top w:val="nil"/>
              <w:left w:val="nil"/>
              <w:bottom w:val="nil"/>
              <w:right w:val="nil"/>
            </w:tcBorders>
            <w:shd w:val="clear" w:color="auto" w:fill="auto"/>
            <w:noWrap/>
            <w:vAlign w:val="bottom"/>
            <w:hideMark/>
          </w:tcPr>
          <w:p w14:paraId="37F2DF43" w14:textId="77777777" w:rsidR="008F16FC" w:rsidRPr="008F16FC" w:rsidRDefault="008F16FC" w:rsidP="008F16FC">
            <w:pPr>
              <w:jc w:val="right"/>
              <w:rPr>
                <w:color w:val="000000"/>
                <w:sz w:val="20"/>
              </w:rPr>
            </w:pPr>
            <w:r w:rsidRPr="008F16FC">
              <w:rPr>
                <w:color w:val="000000"/>
                <w:sz w:val="20"/>
              </w:rPr>
              <w:t>(5.654.938)</w:t>
            </w:r>
          </w:p>
        </w:tc>
        <w:tc>
          <w:tcPr>
            <w:tcW w:w="1356" w:type="dxa"/>
            <w:tcBorders>
              <w:top w:val="nil"/>
              <w:left w:val="nil"/>
              <w:bottom w:val="nil"/>
              <w:right w:val="nil"/>
            </w:tcBorders>
            <w:shd w:val="clear" w:color="auto" w:fill="auto"/>
            <w:noWrap/>
            <w:vAlign w:val="bottom"/>
            <w:hideMark/>
          </w:tcPr>
          <w:p w14:paraId="7B6BE561" w14:textId="77777777" w:rsidR="008F16FC" w:rsidRPr="008F16FC" w:rsidRDefault="008F16FC" w:rsidP="008F16FC">
            <w:pPr>
              <w:jc w:val="right"/>
              <w:rPr>
                <w:color w:val="000000"/>
                <w:sz w:val="20"/>
              </w:rPr>
            </w:pPr>
            <w:r w:rsidRPr="008F16FC">
              <w:rPr>
                <w:color w:val="000000"/>
                <w:sz w:val="20"/>
              </w:rPr>
              <w:t>(5.585.442)</w:t>
            </w:r>
          </w:p>
        </w:tc>
      </w:tr>
      <w:tr w:rsidR="008F16FC" w:rsidRPr="008F16FC" w14:paraId="58966714" w14:textId="77777777" w:rsidTr="00BA304B">
        <w:trPr>
          <w:trHeight w:val="255"/>
        </w:trPr>
        <w:tc>
          <w:tcPr>
            <w:tcW w:w="4576" w:type="dxa"/>
            <w:tcBorders>
              <w:top w:val="nil"/>
              <w:left w:val="nil"/>
              <w:bottom w:val="nil"/>
              <w:right w:val="nil"/>
            </w:tcBorders>
            <w:shd w:val="clear" w:color="000000" w:fill="D9D9D9"/>
            <w:noWrap/>
            <w:vAlign w:val="bottom"/>
            <w:hideMark/>
          </w:tcPr>
          <w:p w14:paraId="71F218C3" w14:textId="77777777" w:rsidR="008F16FC" w:rsidRPr="008F16FC" w:rsidRDefault="008F16FC" w:rsidP="008F16FC">
            <w:pPr>
              <w:rPr>
                <w:b/>
                <w:color w:val="000000"/>
                <w:sz w:val="20"/>
              </w:rPr>
            </w:pPr>
            <w:r w:rsidRPr="008F16FC">
              <w:rPr>
                <w:b/>
                <w:color w:val="000000"/>
                <w:sz w:val="20"/>
              </w:rPr>
              <w:t>Ganancia Bruta</w:t>
            </w:r>
          </w:p>
        </w:tc>
        <w:tc>
          <w:tcPr>
            <w:tcW w:w="1356" w:type="dxa"/>
            <w:tcBorders>
              <w:top w:val="nil"/>
              <w:left w:val="nil"/>
              <w:bottom w:val="nil"/>
              <w:right w:val="nil"/>
            </w:tcBorders>
            <w:shd w:val="clear" w:color="000000" w:fill="D9D9D9"/>
            <w:noWrap/>
            <w:vAlign w:val="bottom"/>
            <w:hideMark/>
          </w:tcPr>
          <w:p w14:paraId="6FACEA72" w14:textId="77777777" w:rsidR="008F16FC" w:rsidRPr="008F16FC" w:rsidRDefault="008F16FC" w:rsidP="008F16FC">
            <w:pPr>
              <w:jc w:val="right"/>
              <w:rPr>
                <w:b/>
                <w:color w:val="000000"/>
                <w:sz w:val="20"/>
              </w:rPr>
            </w:pPr>
            <w:r w:rsidRPr="008F16FC">
              <w:rPr>
                <w:b/>
                <w:color w:val="000000"/>
                <w:sz w:val="20"/>
              </w:rPr>
              <w:t>1.898.628</w:t>
            </w:r>
          </w:p>
        </w:tc>
        <w:tc>
          <w:tcPr>
            <w:tcW w:w="1356" w:type="dxa"/>
            <w:tcBorders>
              <w:top w:val="nil"/>
              <w:left w:val="nil"/>
              <w:bottom w:val="nil"/>
              <w:right w:val="nil"/>
            </w:tcBorders>
            <w:shd w:val="clear" w:color="000000" w:fill="D9D9D9"/>
            <w:noWrap/>
            <w:vAlign w:val="bottom"/>
            <w:hideMark/>
          </w:tcPr>
          <w:p w14:paraId="57AB101F" w14:textId="77777777" w:rsidR="008F16FC" w:rsidRPr="008F16FC" w:rsidRDefault="008F16FC" w:rsidP="008F16FC">
            <w:pPr>
              <w:jc w:val="right"/>
              <w:rPr>
                <w:b/>
                <w:color w:val="000000"/>
                <w:sz w:val="20"/>
              </w:rPr>
            </w:pPr>
            <w:r w:rsidRPr="008F16FC">
              <w:rPr>
                <w:b/>
                <w:color w:val="000000"/>
                <w:sz w:val="20"/>
              </w:rPr>
              <w:t>888.562</w:t>
            </w:r>
          </w:p>
        </w:tc>
      </w:tr>
      <w:tr w:rsidR="008F16FC" w:rsidRPr="008F16FC" w14:paraId="162B8F02" w14:textId="77777777" w:rsidTr="00BA304B">
        <w:trPr>
          <w:trHeight w:val="255"/>
        </w:trPr>
        <w:tc>
          <w:tcPr>
            <w:tcW w:w="4576" w:type="dxa"/>
            <w:tcBorders>
              <w:top w:val="nil"/>
              <w:left w:val="nil"/>
              <w:bottom w:val="nil"/>
              <w:right w:val="nil"/>
            </w:tcBorders>
            <w:shd w:val="clear" w:color="auto" w:fill="auto"/>
            <w:noWrap/>
            <w:vAlign w:val="bottom"/>
            <w:hideMark/>
          </w:tcPr>
          <w:p w14:paraId="1CFD40BC" w14:textId="77777777" w:rsidR="008F16FC" w:rsidRPr="008F16FC" w:rsidRDefault="008F16FC" w:rsidP="008F16FC">
            <w:pPr>
              <w:rPr>
                <w:color w:val="000000"/>
                <w:sz w:val="20"/>
              </w:rPr>
            </w:pPr>
          </w:p>
        </w:tc>
        <w:tc>
          <w:tcPr>
            <w:tcW w:w="1356" w:type="dxa"/>
            <w:tcBorders>
              <w:top w:val="nil"/>
              <w:left w:val="nil"/>
              <w:bottom w:val="nil"/>
              <w:right w:val="nil"/>
            </w:tcBorders>
            <w:shd w:val="clear" w:color="auto" w:fill="auto"/>
            <w:noWrap/>
            <w:vAlign w:val="bottom"/>
            <w:hideMark/>
          </w:tcPr>
          <w:p w14:paraId="3AA9374D" w14:textId="77777777" w:rsidR="008F16FC" w:rsidRPr="008F16FC" w:rsidRDefault="008F16FC" w:rsidP="008F16FC">
            <w:pPr>
              <w:rPr>
                <w:color w:val="000000"/>
                <w:sz w:val="20"/>
              </w:rPr>
            </w:pPr>
          </w:p>
        </w:tc>
        <w:tc>
          <w:tcPr>
            <w:tcW w:w="1356" w:type="dxa"/>
            <w:tcBorders>
              <w:top w:val="nil"/>
              <w:left w:val="nil"/>
              <w:bottom w:val="nil"/>
              <w:right w:val="nil"/>
            </w:tcBorders>
            <w:shd w:val="clear" w:color="auto" w:fill="auto"/>
            <w:noWrap/>
            <w:vAlign w:val="bottom"/>
            <w:hideMark/>
          </w:tcPr>
          <w:p w14:paraId="08BB57FF" w14:textId="77777777" w:rsidR="008F16FC" w:rsidRPr="008F16FC" w:rsidRDefault="008F16FC" w:rsidP="008F16FC">
            <w:pPr>
              <w:rPr>
                <w:color w:val="000000"/>
                <w:sz w:val="20"/>
              </w:rPr>
            </w:pPr>
          </w:p>
        </w:tc>
      </w:tr>
      <w:tr w:rsidR="008F16FC" w:rsidRPr="008F16FC" w14:paraId="1179B316" w14:textId="77777777" w:rsidTr="00BA304B">
        <w:trPr>
          <w:trHeight w:val="255"/>
        </w:trPr>
        <w:tc>
          <w:tcPr>
            <w:tcW w:w="4576" w:type="dxa"/>
            <w:tcBorders>
              <w:top w:val="nil"/>
              <w:left w:val="nil"/>
              <w:bottom w:val="nil"/>
              <w:right w:val="nil"/>
            </w:tcBorders>
            <w:shd w:val="clear" w:color="auto" w:fill="auto"/>
            <w:noWrap/>
            <w:vAlign w:val="bottom"/>
            <w:hideMark/>
          </w:tcPr>
          <w:p w14:paraId="2019EA23" w14:textId="77777777" w:rsidR="008F16FC" w:rsidRPr="008F16FC" w:rsidRDefault="008F16FC" w:rsidP="008F16FC">
            <w:pPr>
              <w:rPr>
                <w:color w:val="000000"/>
                <w:sz w:val="20"/>
              </w:rPr>
            </w:pPr>
            <w:r w:rsidRPr="008F16FC">
              <w:rPr>
                <w:color w:val="000000"/>
                <w:sz w:val="20"/>
              </w:rPr>
              <w:t>Gastos de administración</w:t>
            </w:r>
          </w:p>
        </w:tc>
        <w:tc>
          <w:tcPr>
            <w:tcW w:w="1356" w:type="dxa"/>
            <w:tcBorders>
              <w:top w:val="nil"/>
              <w:left w:val="nil"/>
              <w:bottom w:val="nil"/>
              <w:right w:val="nil"/>
            </w:tcBorders>
            <w:shd w:val="clear" w:color="auto" w:fill="auto"/>
            <w:noWrap/>
            <w:vAlign w:val="bottom"/>
            <w:hideMark/>
          </w:tcPr>
          <w:p w14:paraId="1D381337" w14:textId="77777777" w:rsidR="008F16FC" w:rsidRPr="008F16FC" w:rsidRDefault="008F16FC" w:rsidP="008F16FC">
            <w:pPr>
              <w:jc w:val="right"/>
              <w:rPr>
                <w:color w:val="000000"/>
                <w:sz w:val="20"/>
              </w:rPr>
            </w:pPr>
            <w:r w:rsidRPr="008F16FC">
              <w:rPr>
                <w:color w:val="000000"/>
                <w:sz w:val="20"/>
              </w:rPr>
              <w:t>(605.189)</w:t>
            </w:r>
          </w:p>
        </w:tc>
        <w:tc>
          <w:tcPr>
            <w:tcW w:w="1356" w:type="dxa"/>
            <w:tcBorders>
              <w:top w:val="nil"/>
              <w:left w:val="nil"/>
              <w:bottom w:val="nil"/>
              <w:right w:val="nil"/>
            </w:tcBorders>
            <w:shd w:val="clear" w:color="auto" w:fill="auto"/>
            <w:noWrap/>
            <w:vAlign w:val="bottom"/>
            <w:hideMark/>
          </w:tcPr>
          <w:p w14:paraId="0B45D7EF" w14:textId="77777777" w:rsidR="008F16FC" w:rsidRPr="008F16FC" w:rsidRDefault="008F16FC" w:rsidP="008F16FC">
            <w:pPr>
              <w:jc w:val="right"/>
              <w:rPr>
                <w:color w:val="000000"/>
                <w:sz w:val="20"/>
              </w:rPr>
            </w:pPr>
            <w:r w:rsidRPr="008F16FC">
              <w:rPr>
                <w:color w:val="000000"/>
                <w:sz w:val="20"/>
              </w:rPr>
              <w:t>(441.324)</w:t>
            </w:r>
          </w:p>
        </w:tc>
      </w:tr>
      <w:tr w:rsidR="008F16FC" w:rsidRPr="008F16FC" w14:paraId="71B570F9" w14:textId="77777777" w:rsidTr="00BA304B">
        <w:trPr>
          <w:trHeight w:val="255"/>
        </w:trPr>
        <w:tc>
          <w:tcPr>
            <w:tcW w:w="4576" w:type="dxa"/>
            <w:tcBorders>
              <w:top w:val="nil"/>
              <w:left w:val="nil"/>
              <w:bottom w:val="nil"/>
              <w:right w:val="nil"/>
            </w:tcBorders>
            <w:shd w:val="clear" w:color="auto" w:fill="auto"/>
            <w:noWrap/>
            <w:vAlign w:val="bottom"/>
            <w:hideMark/>
          </w:tcPr>
          <w:p w14:paraId="04D7FC82" w14:textId="77777777" w:rsidR="008F16FC" w:rsidRPr="008F16FC" w:rsidRDefault="008F16FC" w:rsidP="008F16FC">
            <w:pPr>
              <w:rPr>
                <w:color w:val="000000"/>
                <w:sz w:val="20"/>
              </w:rPr>
            </w:pPr>
            <w:r w:rsidRPr="008F16FC">
              <w:rPr>
                <w:color w:val="000000"/>
                <w:sz w:val="20"/>
              </w:rPr>
              <w:t>Gastos de comercialización</w:t>
            </w:r>
          </w:p>
        </w:tc>
        <w:tc>
          <w:tcPr>
            <w:tcW w:w="1356" w:type="dxa"/>
            <w:tcBorders>
              <w:top w:val="nil"/>
              <w:left w:val="nil"/>
              <w:bottom w:val="nil"/>
              <w:right w:val="nil"/>
            </w:tcBorders>
            <w:shd w:val="clear" w:color="auto" w:fill="auto"/>
            <w:noWrap/>
            <w:vAlign w:val="bottom"/>
            <w:hideMark/>
          </w:tcPr>
          <w:p w14:paraId="6CFEAC77" w14:textId="77777777" w:rsidR="008F16FC" w:rsidRPr="008F16FC" w:rsidRDefault="008F16FC" w:rsidP="008F16FC">
            <w:pPr>
              <w:jc w:val="right"/>
              <w:rPr>
                <w:color w:val="000000"/>
                <w:sz w:val="20"/>
              </w:rPr>
            </w:pPr>
            <w:r w:rsidRPr="008F16FC">
              <w:rPr>
                <w:color w:val="000000"/>
                <w:sz w:val="20"/>
              </w:rPr>
              <w:t>(138.688)</w:t>
            </w:r>
          </w:p>
        </w:tc>
        <w:tc>
          <w:tcPr>
            <w:tcW w:w="1356" w:type="dxa"/>
            <w:tcBorders>
              <w:top w:val="nil"/>
              <w:left w:val="nil"/>
              <w:bottom w:val="nil"/>
              <w:right w:val="nil"/>
            </w:tcBorders>
            <w:shd w:val="clear" w:color="auto" w:fill="auto"/>
            <w:noWrap/>
            <w:vAlign w:val="bottom"/>
            <w:hideMark/>
          </w:tcPr>
          <w:p w14:paraId="012B35A3" w14:textId="77777777" w:rsidR="008F16FC" w:rsidRPr="008F16FC" w:rsidRDefault="008F16FC" w:rsidP="008F16FC">
            <w:pPr>
              <w:jc w:val="right"/>
              <w:rPr>
                <w:color w:val="000000"/>
                <w:sz w:val="20"/>
              </w:rPr>
            </w:pPr>
            <w:r w:rsidRPr="008F16FC">
              <w:rPr>
                <w:color w:val="000000"/>
                <w:sz w:val="20"/>
              </w:rPr>
              <w:t>(151.546)</w:t>
            </w:r>
          </w:p>
        </w:tc>
      </w:tr>
      <w:tr w:rsidR="008F16FC" w:rsidRPr="008F16FC" w14:paraId="34DE99A4" w14:textId="77777777" w:rsidTr="00BA304B">
        <w:trPr>
          <w:trHeight w:val="255"/>
        </w:trPr>
        <w:tc>
          <w:tcPr>
            <w:tcW w:w="4576" w:type="dxa"/>
            <w:tcBorders>
              <w:top w:val="nil"/>
              <w:left w:val="nil"/>
              <w:bottom w:val="nil"/>
              <w:right w:val="nil"/>
            </w:tcBorders>
            <w:shd w:val="clear" w:color="auto" w:fill="auto"/>
            <w:noWrap/>
            <w:vAlign w:val="bottom"/>
            <w:hideMark/>
          </w:tcPr>
          <w:p w14:paraId="58BBFA97" w14:textId="77777777" w:rsidR="008F16FC" w:rsidRPr="008F16FC" w:rsidRDefault="008F16FC" w:rsidP="008F16FC">
            <w:pPr>
              <w:rPr>
                <w:color w:val="000000"/>
                <w:sz w:val="20"/>
              </w:rPr>
            </w:pPr>
            <w:r w:rsidRPr="008F16FC">
              <w:rPr>
                <w:color w:val="000000"/>
                <w:sz w:val="20"/>
              </w:rPr>
              <w:t>Otros ingresos</w:t>
            </w:r>
          </w:p>
        </w:tc>
        <w:tc>
          <w:tcPr>
            <w:tcW w:w="1356" w:type="dxa"/>
            <w:tcBorders>
              <w:top w:val="nil"/>
              <w:left w:val="nil"/>
              <w:bottom w:val="nil"/>
              <w:right w:val="nil"/>
            </w:tcBorders>
            <w:shd w:val="clear" w:color="auto" w:fill="auto"/>
            <w:noWrap/>
            <w:vAlign w:val="bottom"/>
            <w:hideMark/>
          </w:tcPr>
          <w:p w14:paraId="3E895B15" w14:textId="77777777" w:rsidR="008F16FC" w:rsidRPr="008F16FC" w:rsidRDefault="008F16FC" w:rsidP="008F16FC">
            <w:pPr>
              <w:jc w:val="right"/>
              <w:rPr>
                <w:color w:val="000000"/>
                <w:sz w:val="20"/>
              </w:rPr>
            </w:pPr>
            <w:r w:rsidRPr="008F16FC">
              <w:rPr>
                <w:color w:val="000000"/>
                <w:sz w:val="20"/>
              </w:rPr>
              <w:t>27.977</w:t>
            </w:r>
          </w:p>
        </w:tc>
        <w:tc>
          <w:tcPr>
            <w:tcW w:w="1356" w:type="dxa"/>
            <w:tcBorders>
              <w:top w:val="nil"/>
              <w:left w:val="nil"/>
              <w:bottom w:val="nil"/>
              <w:right w:val="nil"/>
            </w:tcBorders>
            <w:shd w:val="clear" w:color="auto" w:fill="auto"/>
            <w:noWrap/>
            <w:vAlign w:val="bottom"/>
            <w:hideMark/>
          </w:tcPr>
          <w:p w14:paraId="36780182" w14:textId="77777777" w:rsidR="008F16FC" w:rsidRPr="008F16FC" w:rsidRDefault="008F16FC" w:rsidP="008F16FC">
            <w:pPr>
              <w:jc w:val="right"/>
              <w:rPr>
                <w:color w:val="000000"/>
                <w:sz w:val="20"/>
              </w:rPr>
            </w:pPr>
            <w:r w:rsidRPr="008F16FC">
              <w:rPr>
                <w:color w:val="000000"/>
                <w:sz w:val="20"/>
              </w:rPr>
              <w:t>24.918</w:t>
            </w:r>
          </w:p>
        </w:tc>
      </w:tr>
      <w:tr w:rsidR="008F16FC" w:rsidRPr="008F16FC" w14:paraId="55964348" w14:textId="77777777" w:rsidTr="00BA304B">
        <w:trPr>
          <w:trHeight w:val="255"/>
        </w:trPr>
        <w:tc>
          <w:tcPr>
            <w:tcW w:w="4576" w:type="dxa"/>
            <w:tcBorders>
              <w:top w:val="nil"/>
              <w:left w:val="nil"/>
              <w:bottom w:val="nil"/>
              <w:right w:val="nil"/>
            </w:tcBorders>
            <w:shd w:val="clear" w:color="auto" w:fill="auto"/>
            <w:noWrap/>
            <w:vAlign w:val="bottom"/>
            <w:hideMark/>
          </w:tcPr>
          <w:p w14:paraId="5AB8F202" w14:textId="77777777" w:rsidR="008F16FC" w:rsidRPr="008F16FC" w:rsidRDefault="008F16FC" w:rsidP="008F16FC">
            <w:pPr>
              <w:rPr>
                <w:color w:val="000000"/>
                <w:sz w:val="20"/>
              </w:rPr>
            </w:pPr>
            <w:r w:rsidRPr="008F16FC">
              <w:rPr>
                <w:color w:val="000000"/>
                <w:sz w:val="20"/>
              </w:rPr>
              <w:t>Otros gastos</w:t>
            </w:r>
          </w:p>
        </w:tc>
        <w:tc>
          <w:tcPr>
            <w:tcW w:w="1356" w:type="dxa"/>
            <w:tcBorders>
              <w:top w:val="nil"/>
              <w:left w:val="nil"/>
              <w:bottom w:val="nil"/>
              <w:right w:val="nil"/>
            </w:tcBorders>
            <w:shd w:val="clear" w:color="auto" w:fill="auto"/>
            <w:noWrap/>
            <w:vAlign w:val="bottom"/>
            <w:hideMark/>
          </w:tcPr>
          <w:p w14:paraId="042910DF" w14:textId="77777777" w:rsidR="008F16FC" w:rsidRPr="008F16FC" w:rsidRDefault="008F16FC" w:rsidP="008F16FC">
            <w:pPr>
              <w:jc w:val="right"/>
              <w:rPr>
                <w:color w:val="000000"/>
                <w:sz w:val="20"/>
              </w:rPr>
            </w:pPr>
            <w:r w:rsidRPr="008F16FC">
              <w:rPr>
                <w:color w:val="000000"/>
                <w:sz w:val="20"/>
              </w:rPr>
              <w:t>(66.280)</w:t>
            </w:r>
          </w:p>
        </w:tc>
        <w:tc>
          <w:tcPr>
            <w:tcW w:w="1356" w:type="dxa"/>
            <w:tcBorders>
              <w:top w:val="nil"/>
              <w:left w:val="nil"/>
              <w:bottom w:val="nil"/>
              <w:right w:val="nil"/>
            </w:tcBorders>
            <w:shd w:val="clear" w:color="auto" w:fill="auto"/>
            <w:noWrap/>
            <w:vAlign w:val="bottom"/>
            <w:hideMark/>
          </w:tcPr>
          <w:p w14:paraId="3678DBD5" w14:textId="77777777" w:rsidR="008F16FC" w:rsidRPr="008F16FC" w:rsidRDefault="008F16FC" w:rsidP="008F16FC">
            <w:pPr>
              <w:jc w:val="right"/>
              <w:rPr>
                <w:color w:val="000000"/>
                <w:sz w:val="20"/>
              </w:rPr>
            </w:pPr>
            <w:r w:rsidRPr="008F16FC">
              <w:rPr>
                <w:color w:val="000000"/>
                <w:sz w:val="20"/>
              </w:rPr>
              <w:t>(30.632)</w:t>
            </w:r>
          </w:p>
        </w:tc>
      </w:tr>
      <w:tr w:rsidR="008F16FC" w:rsidRPr="008F16FC" w14:paraId="04F38287" w14:textId="77777777" w:rsidTr="00BA304B">
        <w:trPr>
          <w:trHeight w:val="255"/>
        </w:trPr>
        <w:tc>
          <w:tcPr>
            <w:tcW w:w="4576" w:type="dxa"/>
            <w:tcBorders>
              <w:top w:val="nil"/>
              <w:left w:val="nil"/>
              <w:bottom w:val="nil"/>
              <w:right w:val="nil"/>
            </w:tcBorders>
            <w:shd w:val="clear" w:color="000000" w:fill="D9D9D9"/>
            <w:noWrap/>
            <w:vAlign w:val="bottom"/>
            <w:hideMark/>
          </w:tcPr>
          <w:p w14:paraId="00A0173F" w14:textId="77777777" w:rsidR="008F16FC" w:rsidRPr="008F16FC" w:rsidRDefault="008F16FC" w:rsidP="008F16FC">
            <w:pPr>
              <w:rPr>
                <w:b/>
                <w:color w:val="000000"/>
                <w:sz w:val="20"/>
              </w:rPr>
            </w:pPr>
            <w:r w:rsidRPr="008F16FC">
              <w:rPr>
                <w:b/>
                <w:color w:val="000000"/>
                <w:sz w:val="20"/>
              </w:rPr>
              <w:t>Ganancia Operativa</w:t>
            </w:r>
          </w:p>
        </w:tc>
        <w:tc>
          <w:tcPr>
            <w:tcW w:w="1356" w:type="dxa"/>
            <w:tcBorders>
              <w:top w:val="nil"/>
              <w:left w:val="nil"/>
              <w:bottom w:val="nil"/>
              <w:right w:val="nil"/>
            </w:tcBorders>
            <w:shd w:val="clear" w:color="000000" w:fill="D9D9D9"/>
            <w:noWrap/>
            <w:vAlign w:val="bottom"/>
            <w:hideMark/>
          </w:tcPr>
          <w:p w14:paraId="18A8898E" w14:textId="77777777" w:rsidR="008F16FC" w:rsidRPr="008F16FC" w:rsidRDefault="008F16FC" w:rsidP="008F16FC">
            <w:pPr>
              <w:jc w:val="right"/>
              <w:rPr>
                <w:b/>
                <w:color w:val="000000"/>
                <w:sz w:val="20"/>
              </w:rPr>
            </w:pPr>
            <w:r w:rsidRPr="008F16FC">
              <w:rPr>
                <w:b/>
                <w:color w:val="000000"/>
                <w:sz w:val="20"/>
              </w:rPr>
              <w:t>1.116.448</w:t>
            </w:r>
          </w:p>
        </w:tc>
        <w:tc>
          <w:tcPr>
            <w:tcW w:w="1356" w:type="dxa"/>
            <w:tcBorders>
              <w:top w:val="nil"/>
              <w:left w:val="nil"/>
              <w:bottom w:val="nil"/>
              <w:right w:val="nil"/>
            </w:tcBorders>
            <w:shd w:val="clear" w:color="000000" w:fill="D9D9D9"/>
            <w:noWrap/>
            <w:vAlign w:val="bottom"/>
            <w:hideMark/>
          </w:tcPr>
          <w:p w14:paraId="14B1D2DF" w14:textId="77777777" w:rsidR="008F16FC" w:rsidRPr="008F16FC" w:rsidRDefault="008F16FC" w:rsidP="008F16FC">
            <w:pPr>
              <w:jc w:val="right"/>
              <w:rPr>
                <w:b/>
                <w:color w:val="000000"/>
                <w:sz w:val="20"/>
              </w:rPr>
            </w:pPr>
            <w:r w:rsidRPr="008F16FC">
              <w:rPr>
                <w:b/>
                <w:color w:val="000000"/>
                <w:sz w:val="20"/>
              </w:rPr>
              <w:t>289.978</w:t>
            </w:r>
          </w:p>
        </w:tc>
      </w:tr>
      <w:tr w:rsidR="008F16FC" w:rsidRPr="008F16FC" w14:paraId="1F8B407A" w14:textId="77777777" w:rsidTr="00BA304B">
        <w:trPr>
          <w:trHeight w:val="255"/>
        </w:trPr>
        <w:tc>
          <w:tcPr>
            <w:tcW w:w="4576" w:type="dxa"/>
            <w:tcBorders>
              <w:top w:val="nil"/>
              <w:left w:val="nil"/>
              <w:bottom w:val="nil"/>
              <w:right w:val="nil"/>
            </w:tcBorders>
            <w:shd w:val="clear" w:color="auto" w:fill="auto"/>
            <w:noWrap/>
            <w:vAlign w:val="bottom"/>
            <w:hideMark/>
          </w:tcPr>
          <w:p w14:paraId="0CE33825" w14:textId="77777777" w:rsidR="008F16FC" w:rsidRPr="008F16FC" w:rsidRDefault="008F16FC" w:rsidP="008F16FC">
            <w:pPr>
              <w:rPr>
                <w:color w:val="000000"/>
                <w:sz w:val="20"/>
              </w:rPr>
            </w:pPr>
          </w:p>
        </w:tc>
        <w:tc>
          <w:tcPr>
            <w:tcW w:w="1356" w:type="dxa"/>
            <w:tcBorders>
              <w:top w:val="nil"/>
              <w:left w:val="nil"/>
              <w:bottom w:val="nil"/>
              <w:right w:val="nil"/>
            </w:tcBorders>
            <w:shd w:val="clear" w:color="auto" w:fill="auto"/>
            <w:noWrap/>
            <w:vAlign w:val="bottom"/>
            <w:hideMark/>
          </w:tcPr>
          <w:p w14:paraId="03ED9D07" w14:textId="77777777" w:rsidR="008F16FC" w:rsidRPr="008F16FC" w:rsidRDefault="008F16FC" w:rsidP="008F16FC">
            <w:pPr>
              <w:rPr>
                <w:color w:val="000000"/>
                <w:sz w:val="20"/>
              </w:rPr>
            </w:pPr>
          </w:p>
        </w:tc>
        <w:tc>
          <w:tcPr>
            <w:tcW w:w="1356" w:type="dxa"/>
            <w:tcBorders>
              <w:top w:val="nil"/>
              <w:left w:val="nil"/>
              <w:bottom w:val="nil"/>
              <w:right w:val="nil"/>
            </w:tcBorders>
            <w:shd w:val="clear" w:color="auto" w:fill="auto"/>
            <w:noWrap/>
            <w:vAlign w:val="bottom"/>
            <w:hideMark/>
          </w:tcPr>
          <w:p w14:paraId="4DADCC81" w14:textId="77777777" w:rsidR="008F16FC" w:rsidRPr="008F16FC" w:rsidRDefault="008F16FC" w:rsidP="008F16FC">
            <w:pPr>
              <w:rPr>
                <w:color w:val="000000"/>
                <w:sz w:val="20"/>
              </w:rPr>
            </w:pPr>
          </w:p>
        </w:tc>
      </w:tr>
      <w:tr w:rsidR="008F16FC" w:rsidRPr="008F16FC" w14:paraId="357E09E3" w14:textId="77777777" w:rsidTr="00BA304B">
        <w:trPr>
          <w:trHeight w:val="255"/>
        </w:trPr>
        <w:tc>
          <w:tcPr>
            <w:tcW w:w="4576" w:type="dxa"/>
            <w:tcBorders>
              <w:top w:val="nil"/>
              <w:left w:val="nil"/>
              <w:bottom w:val="nil"/>
              <w:right w:val="nil"/>
            </w:tcBorders>
            <w:shd w:val="clear" w:color="auto" w:fill="auto"/>
            <w:noWrap/>
            <w:vAlign w:val="bottom"/>
            <w:hideMark/>
          </w:tcPr>
          <w:p w14:paraId="3C354EC1" w14:textId="77777777" w:rsidR="008F16FC" w:rsidRPr="008F16FC" w:rsidRDefault="008F16FC" w:rsidP="008F16FC">
            <w:pPr>
              <w:rPr>
                <w:color w:val="000000"/>
                <w:sz w:val="20"/>
                <w:lang w:val="es-ES"/>
              </w:rPr>
            </w:pPr>
            <w:r w:rsidRPr="008F16FC">
              <w:rPr>
                <w:color w:val="000000"/>
                <w:sz w:val="20"/>
                <w:lang w:val="es-ES"/>
              </w:rPr>
              <w:t>Resultados de Inversiones en Asociadas</w:t>
            </w:r>
          </w:p>
        </w:tc>
        <w:tc>
          <w:tcPr>
            <w:tcW w:w="1356" w:type="dxa"/>
            <w:tcBorders>
              <w:top w:val="nil"/>
              <w:left w:val="nil"/>
              <w:bottom w:val="nil"/>
              <w:right w:val="nil"/>
            </w:tcBorders>
            <w:shd w:val="clear" w:color="auto" w:fill="auto"/>
            <w:noWrap/>
            <w:vAlign w:val="bottom"/>
            <w:hideMark/>
          </w:tcPr>
          <w:p w14:paraId="641B120F" w14:textId="77777777" w:rsidR="008F16FC" w:rsidRPr="008F16FC" w:rsidRDefault="008F16FC" w:rsidP="008F16FC">
            <w:pPr>
              <w:jc w:val="right"/>
              <w:rPr>
                <w:color w:val="000000"/>
                <w:sz w:val="20"/>
              </w:rPr>
            </w:pPr>
            <w:r w:rsidRPr="008F16FC">
              <w:rPr>
                <w:color w:val="000000"/>
                <w:sz w:val="20"/>
              </w:rPr>
              <w:t>3.750</w:t>
            </w:r>
          </w:p>
        </w:tc>
        <w:tc>
          <w:tcPr>
            <w:tcW w:w="1356" w:type="dxa"/>
            <w:tcBorders>
              <w:top w:val="nil"/>
              <w:left w:val="nil"/>
              <w:bottom w:val="nil"/>
              <w:right w:val="nil"/>
            </w:tcBorders>
            <w:shd w:val="clear" w:color="auto" w:fill="auto"/>
            <w:noWrap/>
            <w:vAlign w:val="bottom"/>
            <w:hideMark/>
          </w:tcPr>
          <w:p w14:paraId="7D90C261" w14:textId="77777777" w:rsidR="008F16FC" w:rsidRPr="008F16FC" w:rsidRDefault="008F16FC" w:rsidP="008F16FC">
            <w:pPr>
              <w:jc w:val="right"/>
              <w:rPr>
                <w:color w:val="000000"/>
                <w:sz w:val="20"/>
              </w:rPr>
            </w:pPr>
            <w:r w:rsidRPr="008F16FC">
              <w:rPr>
                <w:color w:val="000000"/>
                <w:sz w:val="20"/>
              </w:rPr>
              <w:t>(18.248)</w:t>
            </w:r>
          </w:p>
        </w:tc>
      </w:tr>
      <w:tr w:rsidR="008F16FC" w:rsidRPr="008F16FC" w14:paraId="7B8C3EE3" w14:textId="77777777" w:rsidTr="00BA304B">
        <w:trPr>
          <w:trHeight w:val="255"/>
        </w:trPr>
        <w:tc>
          <w:tcPr>
            <w:tcW w:w="4576" w:type="dxa"/>
            <w:tcBorders>
              <w:top w:val="nil"/>
              <w:left w:val="nil"/>
              <w:bottom w:val="nil"/>
              <w:right w:val="nil"/>
            </w:tcBorders>
            <w:shd w:val="clear" w:color="auto" w:fill="auto"/>
            <w:noWrap/>
            <w:vAlign w:val="bottom"/>
            <w:hideMark/>
          </w:tcPr>
          <w:p w14:paraId="3F4E0CAD" w14:textId="77777777" w:rsidR="008F16FC" w:rsidRPr="008F16FC" w:rsidRDefault="008F16FC" w:rsidP="008F16FC">
            <w:pPr>
              <w:rPr>
                <w:color w:val="000000"/>
                <w:sz w:val="20"/>
              </w:rPr>
            </w:pPr>
            <w:r w:rsidRPr="008F16FC">
              <w:rPr>
                <w:color w:val="000000"/>
                <w:sz w:val="20"/>
              </w:rPr>
              <w:t>Resultados Financieros</w:t>
            </w:r>
          </w:p>
        </w:tc>
        <w:tc>
          <w:tcPr>
            <w:tcW w:w="1356" w:type="dxa"/>
            <w:tcBorders>
              <w:top w:val="nil"/>
              <w:left w:val="nil"/>
              <w:bottom w:val="nil"/>
              <w:right w:val="nil"/>
            </w:tcBorders>
            <w:shd w:val="clear" w:color="auto" w:fill="auto"/>
            <w:noWrap/>
            <w:vAlign w:val="bottom"/>
            <w:hideMark/>
          </w:tcPr>
          <w:p w14:paraId="30492011" w14:textId="77777777" w:rsidR="008F16FC" w:rsidRPr="008F16FC" w:rsidRDefault="008F16FC" w:rsidP="008F16FC">
            <w:pPr>
              <w:jc w:val="right"/>
              <w:rPr>
                <w:color w:val="000000"/>
                <w:sz w:val="20"/>
              </w:rPr>
            </w:pPr>
            <w:r w:rsidRPr="008F16FC">
              <w:rPr>
                <w:color w:val="000000"/>
                <w:sz w:val="20"/>
              </w:rPr>
              <w:t>20.477</w:t>
            </w:r>
          </w:p>
        </w:tc>
        <w:tc>
          <w:tcPr>
            <w:tcW w:w="1356" w:type="dxa"/>
            <w:tcBorders>
              <w:top w:val="nil"/>
              <w:left w:val="nil"/>
              <w:bottom w:val="nil"/>
              <w:right w:val="nil"/>
            </w:tcBorders>
            <w:shd w:val="clear" w:color="auto" w:fill="auto"/>
            <w:noWrap/>
            <w:vAlign w:val="bottom"/>
            <w:hideMark/>
          </w:tcPr>
          <w:p w14:paraId="005FF024" w14:textId="77777777" w:rsidR="008F16FC" w:rsidRPr="008F16FC" w:rsidRDefault="008F16FC" w:rsidP="008F16FC">
            <w:pPr>
              <w:jc w:val="right"/>
              <w:rPr>
                <w:color w:val="000000"/>
                <w:sz w:val="20"/>
              </w:rPr>
            </w:pPr>
            <w:r w:rsidRPr="008F16FC">
              <w:rPr>
                <w:color w:val="000000"/>
                <w:sz w:val="20"/>
              </w:rPr>
              <w:t>(34.956)</w:t>
            </w:r>
          </w:p>
        </w:tc>
      </w:tr>
      <w:tr w:rsidR="008F16FC" w:rsidRPr="008F16FC" w14:paraId="63D5FAEC" w14:textId="77777777" w:rsidTr="00BA304B">
        <w:trPr>
          <w:trHeight w:val="255"/>
        </w:trPr>
        <w:tc>
          <w:tcPr>
            <w:tcW w:w="4576" w:type="dxa"/>
            <w:tcBorders>
              <w:top w:val="nil"/>
              <w:left w:val="nil"/>
              <w:bottom w:val="nil"/>
              <w:right w:val="nil"/>
            </w:tcBorders>
            <w:shd w:val="clear" w:color="auto" w:fill="auto"/>
            <w:noWrap/>
            <w:vAlign w:val="bottom"/>
            <w:hideMark/>
          </w:tcPr>
          <w:p w14:paraId="4E5571F1" w14:textId="77777777" w:rsidR="008F16FC" w:rsidRPr="008F16FC" w:rsidRDefault="008F16FC" w:rsidP="008F16FC">
            <w:pPr>
              <w:rPr>
                <w:color w:val="000000"/>
                <w:sz w:val="20"/>
                <w:lang w:val="es-ES"/>
              </w:rPr>
            </w:pPr>
            <w:r w:rsidRPr="008F16FC">
              <w:rPr>
                <w:color w:val="000000"/>
                <w:sz w:val="20"/>
                <w:lang w:val="es-ES"/>
              </w:rPr>
              <w:t>Resultados de la posición monetaria neta (RECPAM)</w:t>
            </w:r>
          </w:p>
        </w:tc>
        <w:tc>
          <w:tcPr>
            <w:tcW w:w="1356" w:type="dxa"/>
            <w:tcBorders>
              <w:top w:val="nil"/>
              <w:left w:val="nil"/>
              <w:bottom w:val="nil"/>
              <w:right w:val="nil"/>
            </w:tcBorders>
            <w:shd w:val="clear" w:color="auto" w:fill="auto"/>
            <w:noWrap/>
            <w:vAlign w:val="bottom"/>
            <w:hideMark/>
          </w:tcPr>
          <w:p w14:paraId="3F010CEF" w14:textId="77777777" w:rsidR="008F16FC" w:rsidRPr="008F16FC" w:rsidRDefault="008F16FC" w:rsidP="008F16FC">
            <w:pPr>
              <w:jc w:val="right"/>
              <w:rPr>
                <w:color w:val="000000"/>
                <w:sz w:val="20"/>
              </w:rPr>
            </w:pPr>
            <w:r w:rsidRPr="008F16FC">
              <w:rPr>
                <w:color w:val="000000"/>
                <w:sz w:val="20"/>
              </w:rPr>
              <w:t>(571.785)</w:t>
            </w:r>
          </w:p>
        </w:tc>
        <w:tc>
          <w:tcPr>
            <w:tcW w:w="1356" w:type="dxa"/>
            <w:tcBorders>
              <w:top w:val="nil"/>
              <w:left w:val="nil"/>
              <w:bottom w:val="nil"/>
              <w:right w:val="nil"/>
            </w:tcBorders>
            <w:shd w:val="clear" w:color="auto" w:fill="auto"/>
            <w:noWrap/>
            <w:vAlign w:val="bottom"/>
            <w:hideMark/>
          </w:tcPr>
          <w:p w14:paraId="2659F342" w14:textId="77777777" w:rsidR="008F16FC" w:rsidRPr="008F16FC" w:rsidRDefault="008F16FC" w:rsidP="008F16FC">
            <w:pPr>
              <w:jc w:val="right"/>
              <w:rPr>
                <w:color w:val="000000"/>
                <w:sz w:val="20"/>
              </w:rPr>
            </w:pPr>
            <w:r w:rsidRPr="008F16FC">
              <w:rPr>
                <w:color w:val="000000"/>
                <w:sz w:val="20"/>
              </w:rPr>
              <w:t>(507.837)</w:t>
            </w:r>
          </w:p>
        </w:tc>
      </w:tr>
      <w:tr w:rsidR="008F16FC" w:rsidRPr="008F16FC" w14:paraId="6DAF479E" w14:textId="77777777" w:rsidTr="00BA304B">
        <w:trPr>
          <w:trHeight w:val="255"/>
        </w:trPr>
        <w:tc>
          <w:tcPr>
            <w:tcW w:w="4576" w:type="dxa"/>
            <w:tcBorders>
              <w:top w:val="nil"/>
              <w:left w:val="nil"/>
              <w:bottom w:val="nil"/>
              <w:right w:val="nil"/>
            </w:tcBorders>
            <w:shd w:val="clear" w:color="000000" w:fill="D9D9D9"/>
            <w:noWrap/>
            <w:vAlign w:val="bottom"/>
            <w:hideMark/>
          </w:tcPr>
          <w:p w14:paraId="230828AC" w14:textId="77777777" w:rsidR="008F16FC" w:rsidRPr="008F16FC" w:rsidRDefault="008F16FC" w:rsidP="008F16FC">
            <w:pPr>
              <w:rPr>
                <w:b/>
                <w:color w:val="000000"/>
                <w:sz w:val="20"/>
                <w:lang w:val="es-ES"/>
              </w:rPr>
            </w:pPr>
            <w:r w:rsidRPr="008F16FC">
              <w:rPr>
                <w:b/>
                <w:color w:val="000000"/>
                <w:sz w:val="20"/>
                <w:lang w:val="es-ES"/>
              </w:rPr>
              <w:t>Ganancia antes del impuesto a las ganancias</w:t>
            </w:r>
          </w:p>
        </w:tc>
        <w:tc>
          <w:tcPr>
            <w:tcW w:w="1356" w:type="dxa"/>
            <w:tcBorders>
              <w:top w:val="nil"/>
              <w:left w:val="nil"/>
              <w:bottom w:val="nil"/>
              <w:right w:val="nil"/>
            </w:tcBorders>
            <w:shd w:val="clear" w:color="000000" w:fill="D9D9D9"/>
            <w:noWrap/>
            <w:vAlign w:val="bottom"/>
            <w:hideMark/>
          </w:tcPr>
          <w:p w14:paraId="0B0D0868" w14:textId="77777777" w:rsidR="008F16FC" w:rsidRPr="008F16FC" w:rsidRDefault="008F16FC" w:rsidP="008F16FC">
            <w:pPr>
              <w:jc w:val="right"/>
              <w:rPr>
                <w:b/>
                <w:color w:val="000000"/>
                <w:sz w:val="20"/>
              </w:rPr>
            </w:pPr>
            <w:r w:rsidRPr="008F16FC">
              <w:rPr>
                <w:b/>
                <w:color w:val="000000"/>
                <w:sz w:val="20"/>
              </w:rPr>
              <w:t>568.891</w:t>
            </w:r>
          </w:p>
        </w:tc>
        <w:tc>
          <w:tcPr>
            <w:tcW w:w="1356" w:type="dxa"/>
            <w:tcBorders>
              <w:top w:val="nil"/>
              <w:left w:val="nil"/>
              <w:bottom w:val="nil"/>
              <w:right w:val="nil"/>
            </w:tcBorders>
            <w:shd w:val="clear" w:color="000000" w:fill="D9D9D9"/>
            <w:noWrap/>
            <w:vAlign w:val="bottom"/>
            <w:hideMark/>
          </w:tcPr>
          <w:p w14:paraId="0E0840EC" w14:textId="77777777" w:rsidR="008F16FC" w:rsidRPr="008F16FC" w:rsidRDefault="008F16FC" w:rsidP="008F16FC">
            <w:pPr>
              <w:jc w:val="right"/>
              <w:rPr>
                <w:b/>
                <w:color w:val="000000"/>
                <w:sz w:val="20"/>
              </w:rPr>
            </w:pPr>
            <w:r w:rsidRPr="008F16FC">
              <w:rPr>
                <w:b/>
                <w:color w:val="000000"/>
                <w:sz w:val="20"/>
              </w:rPr>
              <w:t>(271.064)</w:t>
            </w:r>
          </w:p>
        </w:tc>
      </w:tr>
      <w:tr w:rsidR="008F16FC" w:rsidRPr="008F16FC" w14:paraId="14065A35" w14:textId="77777777" w:rsidTr="00BA304B">
        <w:trPr>
          <w:trHeight w:val="255"/>
        </w:trPr>
        <w:tc>
          <w:tcPr>
            <w:tcW w:w="4576" w:type="dxa"/>
            <w:tcBorders>
              <w:top w:val="nil"/>
              <w:left w:val="nil"/>
              <w:bottom w:val="nil"/>
              <w:right w:val="nil"/>
            </w:tcBorders>
            <w:shd w:val="clear" w:color="auto" w:fill="auto"/>
            <w:noWrap/>
            <w:vAlign w:val="bottom"/>
            <w:hideMark/>
          </w:tcPr>
          <w:p w14:paraId="785B66D7" w14:textId="77777777" w:rsidR="008F16FC" w:rsidRPr="008F16FC" w:rsidRDefault="008F16FC" w:rsidP="008F16FC">
            <w:pPr>
              <w:rPr>
                <w:color w:val="000000"/>
                <w:sz w:val="20"/>
              </w:rPr>
            </w:pPr>
          </w:p>
        </w:tc>
        <w:tc>
          <w:tcPr>
            <w:tcW w:w="1356" w:type="dxa"/>
            <w:tcBorders>
              <w:top w:val="nil"/>
              <w:left w:val="nil"/>
              <w:bottom w:val="nil"/>
              <w:right w:val="nil"/>
            </w:tcBorders>
            <w:shd w:val="clear" w:color="auto" w:fill="auto"/>
            <w:noWrap/>
            <w:vAlign w:val="bottom"/>
            <w:hideMark/>
          </w:tcPr>
          <w:p w14:paraId="65853C6A" w14:textId="77777777" w:rsidR="008F16FC" w:rsidRPr="008F16FC" w:rsidRDefault="008F16FC" w:rsidP="008F16FC">
            <w:pPr>
              <w:rPr>
                <w:color w:val="000000"/>
                <w:sz w:val="20"/>
              </w:rPr>
            </w:pPr>
          </w:p>
        </w:tc>
        <w:tc>
          <w:tcPr>
            <w:tcW w:w="1356" w:type="dxa"/>
            <w:tcBorders>
              <w:top w:val="nil"/>
              <w:left w:val="nil"/>
              <w:bottom w:val="nil"/>
              <w:right w:val="nil"/>
            </w:tcBorders>
            <w:shd w:val="clear" w:color="auto" w:fill="auto"/>
            <w:noWrap/>
            <w:vAlign w:val="bottom"/>
            <w:hideMark/>
          </w:tcPr>
          <w:p w14:paraId="436BA784" w14:textId="77777777" w:rsidR="008F16FC" w:rsidRPr="008F16FC" w:rsidRDefault="008F16FC" w:rsidP="008F16FC">
            <w:pPr>
              <w:rPr>
                <w:color w:val="000000"/>
                <w:sz w:val="20"/>
              </w:rPr>
            </w:pPr>
          </w:p>
        </w:tc>
      </w:tr>
      <w:tr w:rsidR="008F16FC" w:rsidRPr="008F16FC" w14:paraId="2BB5447B" w14:textId="77777777" w:rsidTr="00BA304B">
        <w:trPr>
          <w:trHeight w:val="255"/>
        </w:trPr>
        <w:tc>
          <w:tcPr>
            <w:tcW w:w="4576" w:type="dxa"/>
            <w:tcBorders>
              <w:top w:val="nil"/>
              <w:left w:val="nil"/>
              <w:bottom w:val="nil"/>
              <w:right w:val="nil"/>
            </w:tcBorders>
            <w:shd w:val="clear" w:color="auto" w:fill="auto"/>
            <w:noWrap/>
            <w:vAlign w:val="bottom"/>
            <w:hideMark/>
          </w:tcPr>
          <w:p w14:paraId="52BF6245" w14:textId="77777777" w:rsidR="008F16FC" w:rsidRPr="008F16FC" w:rsidRDefault="008F16FC" w:rsidP="008F16FC">
            <w:pPr>
              <w:rPr>
                <w:color w:val="000000"/>
                <w:sz w:val="20"/>
                <w:lang w:val="es-ES"/>
              </w:rPr>
            </w:pPr>
            <w:r w:rsidRPr="008F16FC">
              <w:rPr>
                <w:color w:val="000000"/>
                <w:sz w:val="20"/>
                <w:lang w:val="es-ES"/>
              </w:rPr>
              <w:t>(Gasto) Ingreso por impuesto a las ganancias</w:t>
            </w:r>
          </w:p>
        </w:tc>
        <w:tc>
          <w:tcPr>
            <w:tcW w:w="1356" w:type="dxa"/>
            <w:tcBorders>
              <w:top w:val="nil"/>
              <w:left w:val="nil"/>
              <w:bottom w:val="nil"/>
              <w:right w:val="nil"/>
            </w:tcBorders>
            <w:shd w:val="clear" w:color="auto" w:fill="auto"/>
            <w:noWrap/>
            <w:vAlign w:val="bottom"/>
            <w:hideMark/>
          </w:tcPr>
          <w:p w14:paraId="1329C1B1" w14:textId="77777777" w:rsidR="008F16FC" w:rsidRPr="008F16FC" w:rsidRDefault="008F16FC" w:rsidP="008F16FC">
            <w:pPr>
              <w:jc w:val="right"/>
              <w:rPr>
                <w:color w:val="000000"/>
                <w:sz w:val="20"/>
              </w:rPr>
            </w:pPr>
            <w:r w:rsidRPr="008F16FC">
              <w:rPr>
                <w:color w:val="000000"/>
                <w:sz w:val="20"/>
              </w:rPr>
              <w:t>(300.655)</w:t>
            </w:r>
          </w:p>
        </w:tc>
        <w:tc>
          <w:tcPr>
            <w:tcW w:w="1356" w:type="dxa"/>
            <w:tcBorders>
              <w:top w:val="nil"/>
              <w:left w:val="nil"/>
              <w:bottom w:val="nil"/>
              <w:right w:val="nil"/>
            </w:tcBorders>
            <w:shd w:val="clear" w:color="auto" w:fill="auto"/>
            <w:noWrap/>
            <w:vAlign w:val="bottom"/>
            <w:hideMark/>
          </w:tcPr>
          <w:p w14:paraId="43F867DC" w14:textId="77777777" w:rsidR="008F16FC" w:rsidRPr="008F16FC" w:rsidRDefault="008F16FC" w:rsidP="008F16FC">
            <w:pPr>
              <w:jc w:val="right"/>
              <w:rPr>
                <w:color w:val="000000"/>
                <w:sz w:val="20"/>
              </w:rPr>
            </w:pPr>
            <w:r w:rsidRPr="008F16FC">
              <w:rPr>
                <w:color w:val="000000"/>
                <w:sz w:val="20"/>
              </w:rPr>
              <w:t>(114.978)</w:t>
            </w:r>
          </w:p>
        </w:tc>
      </w:tr>
      <w:tr w:rsidR="008F16FC" w:rsidRPr="008F16FC" w14:paraId="275405FB" w14:textId="77777777" w:rsidTr="00BA304B">
        <w:trPr>
          <w:trHeight w:val="255"/>
        </w:trPr>
        <w:tc>
          <w:tcPr>
            <w:tcW w:w="4576" w:type="dxa"/>
            <w:tcBorders>
              <w:top w:val="nil"/>
              <w:left w:val="nil"/>
              <w:bottom w:val="nil"/>
              <w:right w:val="nil"/>
            </w:tcBorders>
            <w:shd w:val="clear" w:color="000000" w:fill="A6A6A6"/>
            <w:noWrap/>
            <w:vAlign w:val="bottom"/>
            <w:hideMark/>
          </w:tcPr>
          <w:p w14:paraId="6410E930" w14:textId="77777777" w:rsidR="008F16FC" w:rsidRPr="008F16FC" w:rsidRDefault="008F16FC" w:rsidP="008F16FC">
            <w:pPr>
              <w:rPr>
                <w:b/>
                <w:color w:val="000000"/>
                <w:sz w:val="20"/>
              </w:rPr>
            </w:pPr>
            <w:r w:rsidRPr="008F16FC">
              <w:rPr>
                <w:b/>
                <w:color w:val="000000"/>
                <w:sz w:val="20"/>
              </w:rPr>
              <w:t>Ganancia del período</w:t>
            </w:r>
          </w:p>
        </w:tc>
        <w:tc>
          <w:tcPr>
            <w:tcW w:w="1356" w:type="dxa"/>
            <w:tcBorders>
              <w:top w:val="nil"/>
              <w:left w:val="nil"/>
              <w:bottom w:val="nil"/>
              <w:right w:val="nil"/>
            </w:tcBorders>
            <w:shd w:val="clear" w:color="000000" w:fill="A6A6A6"/>
            <w:noWrap/>
            <w:vAlign w:val="bottom"/>
            <w:hideMark/>
          </w:tcPr>
          <w:p w14:paraId="77CED3B7" w14:textId="77777777" w:rsidR="008F16FC" w:rsidRPr="008F16FC" w:rsidRDefault="008F16FC" w:rsidP="008F16FC">
            <w:pPr>
              <w:jc w:val="right"/>
              <w:rPr>
                <w:b/>
                <w:color w:val="000000"/>
                <w:sz w:val="20"/>
              </w:rPr>
            </w:pPr>
            <w:r w:rsidRPr="008F16FC">
              <w:rPr>
                <w:b/>
                <w:color w:val="000000"/>
                <w:sz w:val="20"/>
              </w:rPr>
              <w:t>268.236</w:t>
            </w:r>
          </w:p>
        </w:tc>
        <w:tc>
          <w:tcPr>
            <w:tcW w:w="1356" w:type="dxa"/>
            <w:tcBorders>
              <w:top w:val="nil"/>
              <w:left w:val="nil"/>
              <w:bottom w:val="nil"/>
              <w:right w:val="nil"/>
            </w:tcBorders>
            <w:shd w:val="clear" w:color="000000" w:fill="A6A6A6"/>
            <w:noWrap/>
            <w:vAlign w:val="bottom"/>
            <w:hideMark/>
          </w:tcPr>
          <w:p w14:paraId="549D084B" w14:textId="77777777" w:rsidR="008F16FC" w:rsidRPr="008F16FC" w:rsidRDefault="008F16FC" w:rsidP="008F16FC">
            <w:pPr>
              <w:jc w:val="right"/>
              <w:rPr>
                <w:b/>
                <w:color w:val="000000"/>
                <w:sz w:val="20"/>
              </w:rPr>
            </w:pPr>
            <w:r w:rsidRPr="008F16FC">
              <w:rPr>
                <w:b/>
                <w:color w:val="000000"/>
                <w:sz w:val="20"/>
              </w:rPr>
              <w:t>(386.042)</w:t>
            </w:r>
          </w:p>
        </w:tc>
      </w:tr>
      <w:tr w:rsidR="008F16FC" w:rsidRPr="008F16FC" w14:paraId="6716CF9B" w14:textId="77777777" w:rsidTr="00BA304B">
        <w:trPr>
          <w:trHeight w:val="255"/>
        </w:trPr>
        <w:tc>
          <w:tcPr>
            <w:tcW w:w="4576" w:type="dxa"/>
            <w:tcBorders>
              <w:top w:val="nil"/>
              <w:left w:val="nil"/>
              <w:bottom w:val="nil"/>
              <w:right w:val="nil"/>
            </w:tcBorders>
            <w:shd w:val="clear" w:color="auto" w:fill="auto"/>
            <w:noWrap/>
            <w:vAlign w:val="bottom"/>
            <w:hideMark/>
          </w:tcPr>
          <w:p w14:paraId="5D7634C4" w14:textId="77777777" w:rsidR="008F16FC" w:rsidRPr="008F16FC" w:rsidRDefault="008F16FC" w:rsidP="008F16FC">
            <w:pPr>
              <w:rPr>
                <w:color w:val="000000"/>
                <w:sz w:val="20"/>
              </w:rPr>
            </w:pPr>
          </w:p>
        </w:tc>
        <w:tc>
          <w:tcPr>
            <w:tcW w:w="1356" w:type="dxa"/>
            <w:tcBorders>
              <w:top w:val="nil"/>
              <w:left w:val="nil"/>
              <w:bottom w:val="nil"/>
              <w:right w:val="nil"/>
            </w:tcBorders>
            <w:shd w:val="clear" w:color="auto" w:fill="auto"/>
            <w:noWrap/>
            <w:vAlign w:val="bottom"/>
            <w:hideMark/>
          </w:tcPr>
          <w:p w14:paraId="1AD32117" w14:textId="77777777" w:rsidR="008F16FC" w:rsidRPr="008F16FC" w:rsidRDefault="008F16FC" w:rsidP="008F16FC">
            <w:pPr>
              <w:rPr>
                <w:color w:val="000000"/>
                <w:sz w:val="20"/>
              </w:rPr>
            </w:pPr>
          </w:p>
        </w:tc>
        <w:tc>
          <w:tcPr>
            <w:tcW w:w="1356" w:type="dxa"/>
            <w:tcBorders>
              <w:top w:val="nil"/>
              <w:left w:val="nil"/>
              <w:bottom w:val="nil"/>
              <w:right w:val="nil"/>
            </w:tcBorders>
            <w:shd w:val="clear" w:color="auto" w:fill="auto"/>
            <w:noWrap/>
            <w:vAlign w:val="bottom"/>
            <w:hideMark/>
          </w:tcPr>
          <w:p w14:paraId="30A939B0" w14:textId="77777777" w:rsidR="008F16FC" w:rsidRPr="008F16FC" w:rsidRDefault="008F16FC" w:rsidP="008F16FC">
            <w:pPr>
              <w:rPr>
                <w:color w:val="000000"/>
                <w:sz w:val="20"/>
              </w:rPr>
            </w:pPr>
          </w:p>
        </w:tc>
      </w:tr>
      <w:tr w:rsidR="008F16FC" w:rsidRPr="008F16FC" w14:paraId="23243689" w14:textId="77777777" w:rsidTr="00BA304B">
        <w:trPr>
          <w:trHeight w:val="255"/>
        </w:trPr>
        <w:tc>
          <w:tcPr>
            <w:tcW w:w="4576" w:type="dxa"/>
            <w:tcBorders>
              <w:top w:val="nil"/>
              <w:left w:val="nil"/>
              <w:bottom w:val="nil"/>
              <w:right w:val="nil"/>
            </w:tcBorders>
            <w:shd w:val="clear" w:color="auto" w:fill="auto"/>
            <w:noWrap/>
            <w:vAlign w:val="bottom"/>
            <w:hideMark/>
          </w:tcPr>
          <w:p w14:paraId="71274FC3" w14:textId="77777777" w:rsidR="008F16FC" w:rsidRPr="008F16FC" w:rsidRDefault="008F16FC" w:rsidP="008F16FC">
            <w:pPr>
              <w:rPr>
                <w:color w:val="000000"/>
                <w:sz w:val="20"/>
              </w:rPr>
            </w:pPr>
          </w:p>
        </w:tc>
        <w:tc>
          <w:tcPr>
            <w:tcW w:w="1356" w:type="dxa"/>
            <w:tcBorders>
              <w:top w:val="nil"/>
              <w:left w:val="nil"/>
              <w:bottom w:val="nil"/>
              <w:right w:val="nil"/>
            </w:tcBorders>
            <w:shd w:val="clear" w:color="auto" w:fill="auto"/>
            <w:noWrap/>
            <w:vAlign w:val="bottom"/>
            <w:hideMark/>
          </w:tcPr>
          <w:p w14:paraId="0C2BDF9C" w14:textId="77777777" w:rsidR="008F16FC" w:rsidRPr="008F16FC" w:rsidRDefault="008F16FC" w:rsidP="008F16FC">
            <w:pPr>
              <w:rPr>
                <w:color w:val="000000"/>
                <w:sz w:val="20"/>
              </w:rPr>
            </w:pPr>
          </w:p>
        </w:tc>
        <w:tc>
          <w:tcPr>
            <w:tcW w:w="1356" w:type="dxa"/>
            <w:tcBorders>
              <w:top w:val="nil"/>
              <w:left w:val="nil"/>
              <w:bottom w:val="nil"/>
              <w:right w:val="nil"/>
            </w:tcBorders>
            <w:shd w:val="clear" w:color="auto" w:fill="auto"/>
            <w:noWrap/>
            <w:vAlign w:val="bottom"/>
            <w:hideMark/>
          </w:tcPr>
          <w:p w14:paraId="0A2E0937" w14:textId="77777777" w:rsidR="008F16FC" w:rsidRPr="008F16FC" w:rsidRDefault="008F16FC" w:rsidP="008F16FC">
            <w:pPr>
              <w:rPr>
                <w:color w:val="000000"/>
                <w:sz w:val="20"/>
              </w:rPr>
            </w:pPr>
          </w:p>
        </w:tc>
      </w:tr>
      <w:tr w:rsidR="008F16FC" w:rsidRPr="00512442" w14:paraId="6A8EAE96" w14:textId="77777777" w:rsidTr="00BA304B">
        <w:trPr>
          <w:trHeight w:val="255"/>
        </w:trPr>
        <w:tc>
          <w:tcPr>
            <w:tcW w:w="4576" w:type="dxa"/>
            <w:tcBorders>
              <w:top w:val="nil"/>
              <w:left w:val="nil"/>
              <w:bottom w:val="nil"/>
              <w:right w:val="nil"/>
            </w:tcBorders>
            <w:shd w:val="clear" w:color="auto" w:fill="auto"/>
            <w:noWrap/>
            <w:vAlign w:val="bottom"/>
            <w:hideMark/>
          </w:tcPr>
          <w:p w14:paraId="3F4CD80C" w14:textId="77777777" w:rsidR="008F16FC" w:rsidRPr="008F16FC" w:rsidRDefault="008F16FC" w:rsidP="008F16FC">
            <w:pPr>
              <w:rPr>
                <w:b/>
                <w:color w:val="000000"/>
                <w:sz w:val="20"/>
                <w:lang w:val="es-ES"/>
              </w:rPr>
            </w:pPr>
            <w:r w:rsidRPr="008F16FC">
              <w:rPr>
                <w:b/>
                <w:color w:val="000000"/>
                <w:sz w:val="20"/>
                <w:lang w:val="es-ES"/>
              </w:rPr>
              <w:t>OTRO RESULTADO INTEGRAL DEL PERIODO</w:t>
            </w:r>
          </w:p>
        </w:tc>
        <w:tc>
          <w:tcPr>
            <w:tcW w:w="1356" w:type="dxa"/>
            <w:tcBorders>
              <w:top w:val="nil"/>
              <w:left w:val="nil"/>
              <w:bottom w:val="nil"/>
              <w:right w:val="nil"/>
            </w:tcBorders>
            <w:shd w:val="clear" w:color="auto" w:fill="auto"/>
            <w:noWrap/>
            <w:vAlign w:val="bottom"/>
            <w:hideMark/>
          </w:tcPr>
          <w:p w14:paraId="020919A2" w14:textId="77777777" w:rsidR="008F16FC" w:rsidRPr="008F16FC" w:rsidRDefault="008F16FC" w:rsidP="008F16FC">
            <w:pPr>
              <w:rPr>
                <w:b/>
                <w:color w:val="000000"/>
                <w:sz w:val="20"/>
                <w:lang w:val="es-ES"/>
              </w:rPr>
            </w:pPr>
          </w:p>
        </w:tc>
        <w:tc>
          <w:tcPr>
            <w:tcW w:w="1356" w:type="dxa"/>
            <w:tcBorders>
              <w:top w:val="nil"/>
              <w:left w:val="nil"/>
              <w:bottom w:val="nil"/>
              <w:right w:val="nil"/>
            </w:tcBorders>
            <w:shd w:val="clear" w:color="auto" w:fill="auto"/>
            <w:noWrap/>
            <w:vAlign w:val="bottom"/>
            <w:hideMark/>
          </w:tcPr>
          <w:p w14:paraId="32290417" w14:textId="77777777" w:rsidR="008F16FC" w:rsidRPr="008F16FC" w:rsidRDefault="008F16FC" w:rsidP="008F16FC">
            <w:pPr>
              <w:rPr>
                <w:b/>
                <w:color w:val="000000"/>
                <w:sz w:val="20"/>
                <w:lang w:val="es-ES"/>
              </w:rPr>
            </w:pPr>
          </w:p>
        </w:tc>
      </w:tr>
      <w:tr w:rsidR="008F16FC" w:rsidRPr="00512442" w14:paraId="3C54AFED" w14:textId="77777777" w:rsidTr="00BA304B">
        <w:trPr>
          <w:trHeight w:val="255"/>
        </w:trPr>
        <w:tc>
          <w:tcPr>
            <w:tcW w:w="4576" w:type="dxa"/>
            <w:tcBorders>
              <w:top w:val="nil"/>
              <w:left w:val="nil"/>
              <w:bottom w:val="nil"/>
              <w:right w:val="nil"/>
            </w:tcBorders>
            <w:shd w:val="clear" w:color="auto" w:fill="auto"/>
            <w:noWrap/>
            <w:vAlign w:val="bottom"/>
            <w:hideMark/>
          </w:tcPr>
          <w:p w14:paraId="7ECCA53A" w14:textId="77777777" w:rsidR="008F16FC" w:rsidRPr="008F16FC" w:rsidRDefault="008F16FC" w:rsidP="008F16FC">
            <w:pPr>
              <w:rPr>
                <w:b/>
                <w:color w:val="000000"/>
                <w:sz w:val="20"/>
                <w:lang w:val="es-ES"/>
              </w:rPr>
            </w:pPr>
            <w:r w:rsidRPr="008F16FC">
              <w:rPr>
                <w:b/>
                <w:color w:val="000000"/>
                <w:sz w:val="20"/>
                <w:lang w:val="es-ES"/>
              </w:rPr>
              <w:t>Que se clasificará en resultados</w:t>
            </w:r>
          </w:p>
        </w:tc>
        <w:tc>
          <w:tcPr>
            <w:tcW w:w="1356" w:type="dxa"/>
            <w:tcBorders>
              <w:top w:val="nil"/>
              <w:left w:val="nil"/>
              <w:bottom w:val="nil"/>
              <w:right w:val="nil"/>
            </w:tcBorders>
            <w:shd w:val="clear" w:color="auto" w:fill="auto"/>
            <w:noWrap/>
            <w:vAlign w:val="bottom"/>
            <w:hideMark/>
          </w:tcPr>
          <w:p w14:paraId="0BEBA220" w14:textId="77777777" w:rsidR="008F16FC" w:rsidRPr="008F16FC" w:rsidRDefault="008F16FC" w:rsidP="008F16FC">
            <w:pPr>
              <w:rPr>
                <w:b/>
                <w:color w:val="000000"/>
                <w:sz w:val="20"/>
                <w:lang w:val="es-ES"/>
              </w:rPr>
            </w:pPr>
          </w:p>
        </w:tc>
        <w:tc>
          <w:tcPr>
            <w:tcW w:w="1356" w:type="dxa"/>
            <w:tcBorders>
              <w:top w:val="nil"/>
              <w:left w:val="nil"/>
              <w:bottom w:val="nil"/>
              <w:right w:val="nil"/>
            </w:tcBorders>
            <w:shd w:val="clear" w:color="auto" w:fill="auto"/>
            <w:noWrap/>
            <w:vAlign w:val="bottom"/>
            <w:hideMark/>
          </w:tcPr>
          <w:p w14:paraId="69B7696F" w14:textId="77777777" w:rsidR="008F16FC" w:rsidRPr="008F16FC" w:rsidRDefault="008F16FC" w:rsidP="008F16FC">
            <w:pPr>
              <w:rPr>
                <w:b/>
                <w:color w:val="000000"/>
                <w:sz w:val="20"/>
                <w:lang w:val="es-ES"/>
              </w:rPr>
            </w:pPr>
          </w:p>
        </w:tc>
      </w:tr>
      <w:tr w:rsidR="008F16FC" w:rsidRPr="008F16FC" w14:paraId="324983AE" w14:textId="77777777" w:rsidTr="00BA304B">
        <w:trPr>
          <w:trHeight w:val="255"/>
        </w:trPr>
        <w:tc>
          <w:tcPr>
            <w:tcW w:w="4576" w:type="dxa"/>
            <w:tcBorders>
              <w:top w:val="nil"/>
              <w:left w:val="nil"/>
              <w:bottom w:val="nil"/>
              <w:right w:val="nil"/>
            </w:tcBorders>
            <w:shd w:val="clear" w:color="auto" w:fill="auto"/>
            <w:noWrap/>
            <w:vAlign w:val="bottom"/>
            <w:hideMark/>
          </w:tcPr>
          <w:p w14:paraId="17EDE075" w14:textId="77777777" w:rsidR="008F16FC" w:rsidRPr="008F16FC" w:rsidRDefault="008F16FC" w:rsidP="008F16FC">
            <w:pPr>
              <w:rPr>
                <w:color w:val="000000"/>
                <w:sz w:val="20"/>
              </w:rPr>
            </w:pPr>
            <w:r w:rsidRPr="008F16FC">
              <w:rPr>
                <w:color w:val="000000"/>
                <w:sz w:val="20"/>
              </w:rPr>
              <w:t>Diferencias de conversión</w:t>
            </w:r>
          </w:p>
        </w:tc>
        <w:tc>
          <w:tcPr>
            <w:tcW w:w="1356" w:type="dxa"/>
            <w:tcBorders>
              <w:top w:val="nil"/>
              <w:left w:val="nil"/>
              <w:bottom w:val="nil"/>
              <w:right w:val="nil"/>
            </w:tcBorders>
            <w:shd w:val="clear" w:color="auto" w:fill="auto"/>
            <w:noWrap/>
            <w:vAlign w:val="bottom"/>
            <w:hideMark/>
          </w:tcPr>
          <w:p w14:paraId="1BC89550" w14:textId="77777777" w:rsidR="008F16FC" w:rsidRPr="008F16FC" w:rsidRDefault="008F16FC" w:rsidP="008F16FC">
            <w:pPr>
              <w:jc w:val="right"/>
              <w:rPr>
                <w:color w:val="000000"/>
                <w:sz w:val="20"/>
              </w:rPr>
            </w:pPr>
            <w:r w:rsidRPr="008F16FC">
              <w:rPr>
                <w:color w:val="000000"/>
                <w:sz w:val="20"/>
              </w:rPr>
              <w:t>(49.042)</w:t>
            </w:r>
          </w:p>
        </w:tc>
        <w:tc>
          <w:tcPr>
            <w:tcW w:w="1356" w:type="dxa"/>
            <w:tcBorders>
              <w:top w:val="nil"/>
              <w:left w:val="nil"/>
              <w:bottom w:val="nil"/>
              <w:right w:val="nil"/>
            </w:tcBorders>
            <w:shd w:val="clear" w:color="auto" w:fill="auto"/>
            <w:noWrap/>
            <w:vAlign w:val="bottom"/>
            <w:hideMark/>
          </w:tcPr>
          <w:p w14:paraId="7914E95D" w14:textId="77777777" w:rsidR="008F16FC" w:rsidRPr="008F16FC" w:rsidRDefault="008F16FC" w:rsidP="008F16FC">
            <w:pPr>
              <w:jc w:val="right"/>
              <w:rPr>
                <w:color w:val="000000"/>
                <w:sz w:val="20"/>
              </w:rPr>
            </w:pPr>
            <w:r w:rsidRPr="008F16FC">
              <w:rPr>
                <w:color w:val="000000"/>
                <w:sz w:val="20"/>
              </w:rPr>
              <w:t>(29.025)</w:t>
            </w:r>
          </w:p>
        </w:tc>
      </w:tr>
      <w:tr w:rsidR="008F16FC" w:rsidRPr="008F16FC" w14:paraId="24566603" w14:textId="77777777" w:rsidTr="00BA304B">
        <w:trPr>
          <w:trHeight w:val="255"/>
        </w:trPr>
        <w:tc>
          <w:tcPr>
            <w:tcW w:w="4576" w:type="dxa"/>
            <w:tcBorders>
              <w:top w:val="nil"/>
              <w:left w:val="nil"/>
              <w:bottom w:val="nil"/>
              <w:right w:val="nil"/>
            </w:tcBorders>
            <w:shd w:val="clear" w:color="auto" w:fill="auto"/>
            <w:noWrap/>
            <w:vAlign w:val="bottom"/>
            <w:hideMark/>
          </w:tcPr>
          <w:p w14:paraId="494D7D75" w14:textId="77777777" w:rsidR="008F16FC" w:rsidRPr="008F16FC" w:rsidRDefault="008F16FC" w:rsidP="008F16FC">
            <w:pPr>
              <w:rPr>
                <w:color w:val="000000"/>
                <w:sz w:val="20"/>
              </w:rPr>
            </w:pPr>
            <w:r w:rsidRPr="008F16FC">
              <w:rPr>
                <w:color w:val="000000"/>
                <w:sz w:val="20"/>
              </w:rPr>
              <w:t>Superávit de revaluación</w:t>
            </w:r>
          </w:p>
        </w:tc>
        <w:tc>
          <w:tcPr>
            <w:tcW w:w="1356" w:type="dxa"/>
            <w:tcBorders>
              <w:top w:val="nil"/>
              <w:left w:val="nil"/>
              <w:bottom w:val="nil"/>
              <w:right w:val="nil"/>
            </w:tcBorders>
            <w:shd w:val="clear" w:color="auto" w:fill="auto"/>
            <w:noWrap/>
            <w:vAlign w:val="bottom"/>
            <w:hideMark/>
          </w:tcPr>
          <w:p w14:paraId="3CD2C3C7" w14:textId="77777777" w:rsidR="008F16FC" w:rsidRPr="008F16FC" w:rsidRDefault="008F16FC" w:rsidP="008F16FC">
            <w:pPr>
              <w:jc w:val="right"/>
              <w:rPr>
                <w:color w:val="000000"/>
                <w:sz w:val="20"/>
              </w:rPr>
            </w:pPr>
            <w:r w:rsidRPr="008F16FC">
              <w:rPr>
                <w:color w:val="000000"/>
                <w:sz w:val="20"/>
              </w:rPr>
              <w:t>(157.097)</w:t>
            </w:r>
          </w:p>
        </w:tc>
        <w:tc>
          <w:tcPr>
            <w:tcW w:w="1356" w:type="dxa"/>
            <w:tcBorders>
              <w:top w:val="nil"/>
              <w:left w:val="nil"/>
              <w:bottom w:val="nil"/>
              <w:right w:val="nil"/>
            </w:tcBorders>
            <w:shd w:val="clear" w:color="auto" w:fill="auto"/>
            <w:noWrap/>
            <w:vAlign w:val="bottom"/>
            <w:hideMark/>
          </w:tcPr>
          <w:p w14:paraId="7CAD6DB3" w14:textId="77777777" w:rsidR="008F16FC" w:rsidRPr="008F16FC" w:rsidRDefault="008F16FC" w:rsidP="008F16FC">
            <w:pPr>
              <w:jc w:val="right"/>
              <w:rPr>
                <w:color w:val="000000"/>
                <w:sz w:val="20"/>
              </w:rPr>
            </w:pPr>
            <w:r w:rsidRPr="008F16FC">
              <w:rPr>
                <w:color w:val="000000"/>
                <w:sz w:val="20"/>
              </w:rPr>
              <w:t>436.358</w:t>
            </w:r>
          </w:p>
        </w:tc>
      </w:tr>
      <w:tr w:rsidR="008F16FC" w:rsidRPr="008F16FC" w14:paraId="1728943E" w14:textId="77777777" w:rsidTr="00BA304B">
        <w:trPr>
          <w:trHeight w:val="91"/>
        </w:trPr>
        <w:tc>
          <w:tcPr>
            <w:tcW w:w="4576" w:type="dxa"/>
            <w:tcBorders>
              <w:top w:val="nil"/>
              <w:left w:val="nil"/>
              <w:bottom w:val="nil"/>
              <w:right w:val="nil"/>
            </w:tcBorders>
            <w:shd w:val="clear" w:color="000000" w:fill="A6A6A6"/>
            <w:noWrap/>
            <w:vAlign w:val="bottom"/>
            <w:hideMark/>
          </w:tcPr>
          <w:p w14:paraId="21944FD7" w14:textId="77777777" w:rsidR="008F16FC" w:rsidRPr="008F16FC" w:rsidRDefault="008F16FC" w:rsidP="008F16FC">
            <w:pPr>
              <w:rPr>
                <w:b/>
                <w:color w:val="000000"/>
                <w:sz w:val="20"/>
              </w:rPr>
            </w:pPr>
            <w:r w:rsidRPr="008F16FC">
              <w:rPr>
                <w:b/>
                <w:color w:val="000000"/>
                <w:sz w:val="20"/>
              </w:rPr>
              <w:t>Total</w:t>
            </w:r>
          </w:p>
        </w:tc>
        <w:tc>
          <w:tcPr>
            <w:tcW w:w="1356" w:type="dxa"/>
            <w:tcBorders>
              <w:top w:val="nil"/>
              <w:left w:val="nil"/>
              <w:bottom w:val="nil"/>
              <w:right w:val="nil"/>
            </w:tcBorders>
            <w:shd w:val="clear" w:color="000000" w:fill="A6A6A6"/>
            <w:noWrap/>
            <w:vAlign w:val="bottom"/>
            <w:hideMark/>
          </w:tcPr>
          <w:p w14:paraId="51C7C146" w14:textId="77777777" w:rsidR="008F16FC" w:rsidRPr="008F16FC" w:rsidRDefault="008F16FC" w:rsidP="008F16FC">
            <w:pPr>
              <w:jc w:val="right"/>
              <w:rPr>
                <w:b/>
                <w:color w:val="000000"/>
                <w:sz w:val="20"/>
              </w:rPr>
            </w:pPr>
            <w:r w:rsidRPr="008F16FC">
              <w:rPr>
                <w:b/>
                <w:color w:val="000000"/>
                <w:sz w:val="20"/>
              </w:rPr>
              <w:t>(206.139)</w:t>
            </w:r>
          </w:p>
        </w:tc>
        <w:tc>
          <w:tcPr>
            <w:tcW w:w="1356" w:type="dxa"/>
            <w:tcBorders>
              <w:top w:val="nil"/>
              <w:left w:val="nil"/>
              <w:bottom w:val="nil"/>
              <w:right w:val="nil"/>
            </w:tcBorders>
            <w:shd w:val="clear" w:color="000000" w:fill="A6A6A6"/>
            <w:noWrap/>
            <w:vAlign w:val="bottom"/>
            <w:hideMark/>
          </w:tcPr>
          <w:p w14:paraId="774E6FEB" w14:textId="77777777" w:rsidR="008F16FC" w:rsidRPr="008F16FC" w:rsidRDefault="008F16FC" w:rsidP="008F16FC">
            <w:pPr>
              <w:jc w:val="right"/>
              <w:rPr>
                <w:b/>
                <w:color w:val="000000"/>
                <w:sz w:val="20"/>
              </w:rPr>
            </w:pPr>
            <w:r w:rsidRPr="008F16FC">
              <w:rPr>
                <w:b/>
                <w:color w:val="000000"/>
                <w:sz w:val="20"/>
              </w:rPr>
              <w:t>407.332</w:t>
            </w:r>
          </w:p>
        </w:tc>
      </w:tr>
      <w:tr w:rsidR="008F16FC" w:rsidRPr="008F16FC" w14:paraId="131B1C50" w14:textId="77777777" w:rsidTr="00BA304B">
        <w:trPr>
          <w:trHeight w:val="255"/>
        </w:trPr>
        <w:tc>
          <w:tcPr>
            <w:tcW w:w="4576" w:type="dxa"/>
            <w:tcBorders>
              <w:top w:val="nil"/>
              <w:left w:val="nil"/>
              <w:bottom w:val="nil"/>
              <w:right w:val="nil"/>
            </w:tcBorders>
            <w:shd w:val="clear" w:color="000000" w:fill="A6A6A6"/>
            <w:noWrap/>
            <w:vAlign w:val="bottom"/>
            <w:hideMark/>
          </w:tcPr>
          <w:p w14:paraId="0ACBCA65" w14:textId="77777777" w:rsidR="008F16FC" w:rsidRPr="008F16FC" w:rsidRDefault="008F16FC" w:rsidP="008F16FC">
            <w:pPr>
              <w:rPr>
                <w:b/>
                <w:color w:val="000000"/>
                <w:sz w:val="20"/>
                <w:lang w:val="es-ES"/>
              </w:rPr>
            </w:pPr>
            <w:r w:rsidRPr="008F16FC">
              <w:rPr>
                <w:b/>
                <w:color w:val="000000"/>
                <w:sz w:val="20"/>
                <w:lang w:val="es-ES"/>
              </w:rPr>
              <w:t>Resultado integral total del período</w:t>
            </w:r>
          </w:p>
        </w:tc>
        <w:tc>
          <w:tcPr>
            <w:tcW w:w="1356" w:type="dxa"/>
            <w:tcBorders>
              <w:top w:val="nil"/>
              <w:left w:val="nil"/>
              <w:bottom w:val="nil"/>
              <w:right w:val="nil"/>
            </w:tcBorders>
            <w:shd w:val="clear" w:color="000000" w:fill="A6A6A6"/>
            <w:noWrap/>
            <w:vAlign w:val="bottom"/>
            <w:hideMark/>
          </w:tcPr>
          <w:p w14:paraId="47203D30" w14:textId="77777777" w:rsidR="008F16FC" w:rsidRPr="008F16FC" w:rsidRDefault="008F16FC" w:rsidP="008F16FC">
            <w:pPr>
              <w:jc w:val="right"/>
              <w:rPr>
                <w:b/>
                <w:color w:val="000000"/>
                <w:sz w:val="20"/>
              </w:rPr>
            </w:pPr>
            <w:r w:rsidRPr="008F16FC">
              <w:rPr>
                <w:b/>
                <w:color w:val="000000"/>
                <w:sz w:val="20"/>
              </w:rPr>
              <w:t>62.097</w:t>
            </w:r>
          </w:p>
        </w:tc>
        <w:tc>
          <w:tcPr>
            <w:tcW w:w="1356" w:type="dxa"/>
            <w:tcBorders>
              <w:top w:val="nil"/>
              <w:left w:val="nil"/>
              <w:bottom w:val="nil"/>
              <w:right w:val="nil"/>
            </w:tcBorders>
            <w:shd w:val="clear" w:color="000000" w:fill="A6A6A6"/>
            <w:noWrap/>
            <w:vAlign w:val="bottom"/>
            <w:hideMark/>
          </w:tcPr>
          <w:p w14:paraId="3AD832A1" w14:textId="77777777" w:rsidR="008F16FC" w:rsidRPr="008F16FC" w:rsidRDefault="008F16FC" w:rsidP="008F16FC">
            <w:pPr>
              <w:jc w:val="right"/>
              <w:rPr>
                <w:b/>
                <w:color w:val="000000"/>
                <w:sz w:val="20"/>
              </w:rPr>
            </w:pPr>
            <w:r w:rsidRPr="008F16FC">
              <w:rPr>
                <w:b/>
                <w:color w:val="000000"/>
                <w:sz w:val="20"/>
              </w:rPr>
              <w:t>21.290</w:t>
            </w:r>
          </w:p>
        </w:tc>
      </w:tr>
    </w:tbl>
    <w:p w14:paraId="1219EA07" w14:textId="77777777" w:rsidR="008F16FC" w:rsidRPr="008F16FC" w:rsidRDefault="008F16FC" w:rsidP="008F16FC">
      <w:pPr>
        <w:rPr>
          <w:rFonts w:eastAsia="Calibri"/>
          <w:b/>
          <w:sz w:val="20"/>
          <w:lang w:val="es-MX"/>
        </w:rPr>
      </w:pPr>
    </w:p>
    <w:p w14:paraId="7460BECA" w14:textId="77777777" w:rsidR="008F16FC" w:rsidRPr="008F16FC" w:rsidRDefault="008F16FC" w:rsidP="008F16FC">
      <w:pPr>
        <w:jc w:val="both"/>
        <w:rPr>
          <w:rFonts w:eastAsia="Calibri"/>
          <w:sz w:val="20"/>
          <w:szCs w:val="20"/>
          <w:lang w:val="es-MX"/>
        </w:rPr>
      </w:pPr>
      <w:r w:rsidRPr="008F16FC">
        <w:rPr>
          <w:rFonts w:eastAsia="Calibri"/>
          <w:sz w:val="20"/>
          <w:szCs w:val="20"/>
          <w:lang w:val="es-MX"/>
        </w:rPr>
        <w:t>El siguiente cuadro muestra los Resultados para el ejercicio económico anual finalizado el 30 de junio de 2017 expresados en miles de Pesos, salvo indicación en contrario:</w:t>
      </w:r>
    </w:p>
    <w:p w14:paraId="74F583FE" w14:textId="77777777" w:rsidR="008F16FC" w:rsidRPr="008F16FC" w:rsidRDefault="008F16FC" w:rsidP="008F16FC">
      <w:pPr>
        <w:widowControl w:val="0"/>
        <w:jc w:val="both"/>
        <w:rPr>
          <w:rFonts w:eastAsia="Calibri"/>
          <w:sz w:val="20"/>
          <w:szCs w:val="20"/>
          <w:lang w:val="es-MX"/>
        </w:rPr>
      </w:pPr>
    </w:p>
    <w:tbl>
      <w:tblPr>
        <w:tblW w:w="5924" w:type="dxa"/>
        <w:tblInd w:w="70" w:type="dxa"/>
        <w:tblCellMar>
          <w:left w:w="70" w:type="dxa"/>
          <w:right w:w="70" w:type="dxa"/>
        </w:tblCellMar>
        <w:tblLook w:val="04A0" w:firstRow="1" w:lastRow="0" w:firstColumn="1" w:lastColumn="0" w:noHBand="0" w:noVBand="1"/>
      </w:tblPr>
      <w:tblGrid>
        <w:gridCol w:w="4568"/>
        <w:gridCol w:w="1356"/>
      </w:tblGrid>
      <w:tr w:rsidR="008F16FC" w:rsidRPr="008F16FC" w14:paraId="29008AC5" w14:textId="77777777" w:rsidTr="00BA304B">
        <w:trPr>
          <w:trHeight w:val="255"/>
        </w:trPr>
        <w:tc>
          <w:tcPr>
            <w:tcW w:w="4568" w:type="dxa"/>
            <w:tcBorders>
              <w:top w:val="nil"/>
              <w:left w:val="nil"/>
              <w:bottom w:val="nil"/>
              <w:right w:val="nil"/>
            </w:tcBorders>
            <w:shd w:val="clear" w:color="auto" w:fill="auto"/>
            <w:noWrap/>
            <w:vAlign w:val="bottom"/>
            <w:hideMark/>
          </w:tcPr>
          <w:p w14:paraId="09D5AD66" w14:textId="77777777" w:rsidR="008F16FC" w:rsidRPr="008F16FC" w:rsidRDefault="008F16FC" w:rsidP="008F16FC">
            <w:pPr>
              <w:rPr>
                <w:rFonts w:ascii="Arial" w:hAnsi="Arial" w:cs="Arial"/>
                <w:color w:val="000000"/>
                <w:sz w:val="18"/>
                <w:szCs w:val="18"/>
                <w:lang w:val="es-ES"/>
              </w:rPr>
            </w:pPr>
          </w:p>
        </w:tc>
        <w:tc>
          <w:tcPr>
            <w:tcW w:w="1356" w:type="dxa"/>
            <w:tcBorders>
              <w:top w:val="nil"/>
              <w:left w:val="nil"/>
              <w:bottom w:val="nil"/>
              <w:right w:val="nil"/>
            </w:tcBorders>
            <w:shd w:val="clear" w:color="auto" w:fill="auto"/>
            <w:noWrap/>
            <w:vAlign w:val="bottom"/>
            <w:hideMark/>
          </w:tcPr>
          <w:p w14:paraId="6569DAEC" w14:textId="77777777" w:rsidR="008F16FC" w:rsidRPr="008F16FC" w:rsidRDefault="008F16FC" w:rsidP="008F16FC">
            <w:pPr>
              <w:jc w:val="right"/>
              <w:rPr>
                <w:b/>
                <w:color w:val="000000"/>
                <w:sz w:val="20"/>
              </w:rPr>
            </w:pPr>
            <w:r w:rsidRPr="008F16FC">
              <w:rPr>
                <w:b/>
                <w:color w:val="000000"/>
                <w:sz w:val="20"/>
              </w:rPr>
              <w:t>30/06/2017</w:t>
            </w:r>
          </w:p>
        </w:tc>
      </w:tr>
      <w:tr w:rsidR="008F16FC" w:rsidRPr="008F16FC" w14:paraId="12E1ED4D" w14:textId="77777777" w:rsidTr="00BA304B">
        <w:trPr>
          <w:trHeight w:val="255"/>
        </w:trPr>
        <w:tc>
          <w:tcPr>
            <w:tcW w:w="4568" w:type="dxa"/>
            <w:tcBorders>
              <w:top w:val="nil"/>
              <w:left w:val="nil"/>
              <w:bottom w:val="nil"/>
              <w:right w:val="nil"/>
            </w:tcBorders>
            <w:shd w:val="clear" w:color="auto" w:fill="auto"/>
            <w:noWrap/>
            <w:vAlign w:val="bottom"/>
            <w:hideMark/>
          </w:tcPr>
          <w:p w14:paraId="14D864C9" w14:textId="77777777" w:rsidR="008F16FC" w:rsidRPr="008F16FC" w:rsidRDefault="008F16FC" w:rsidP="008F16FC">
            <w:pPr>
              <w:rPr>
                <w:color w:val="000000"/>
                <w:sz w:val="20"/>
                <w:lang w:val="es-ES"/>
              </w:rPr>
            </w:pPr>
            <w:r w:rsidRPr="008F16FC">
              <w:rPr>
                <w:color w:val="000000"/>
                <w:sz w:val="20"/>
                <w:lang w:val="es-ES"/>
              </w:rPr>
              <w:t>Ingresos por contratos de construcción</w:t>
            </w:r>
          </w:p>
        </w:tc>
        <w:tc>
          <w:tcPr>
            <w:tcW w:w="1356" w:type="dxa"/>
            <w:tcBorders>
              <w:top w:val="nil"/>
              <w:left w:val="nil"/>
              <w:bottom w:val="nil"/>
              <w:right w:val="nil"/>
            </w:tcBorders>
            <w:shd w:val="clear" w:color="auto" w:fill="auto"/>
            <w:noWrap/>
            <w:vAlign w:val="bottom"/>
            <w:hideMark/>
          </w:tcPr>
          <w:p w14:paraId="4C9F35DB" w14:textId="77777777" w:rsidR="008F16FC" w:rsidRPr="008F16FC" w:rsidRDefault="008F16FC" w:rsidP="008F16FC">
            <w:pPr>
              <w:jc w:val="right"/>
              <w:rPr>
                <w:color w:val="000000"/>
                <w:sz w:val="20"/>
              </w:rPr>
            </w:pPr>
            <w:r w:rsidRPr="008F16FC">
              <w:rPr>
                <w:color w:val="000000"/>
                <w:sz w:val="20"/>
              </w:rPr>
              <w:t>3.260.920</w:t>
            </w:r>
          </w:p>
        </w:tc>
      </w:tr>
      <w:tr w:rsidR="008F16FC" w:rsidRPr="008F16FC" w14:paraId="7CEC4C06" w14:textId="77777777" w:rsidTr="00BA304B">
        <w:trPr>
          <w:trHeight w:val="255"/>
        </w:trPr>
        <w:tc>
          <w:tcPr>
            <w:tcW w:w="4568" w:type="dxa"/>
            <w:tcBorders>
              <w:top w:val="nil"/>
              <w:left w:val="nil"/>
              <w:bottom w:val="nil"/>
              <w:right w:val="nil"/>
            </w:tcBorders>
            <w:shd w:val="clear" w:color="auto" w:fill="auto"/>
            <w:noWrap/>
            <w:vAlign w:val="bottom"/>
            <w:hideMark/>
          </w:tcPr>
          <w:p w14:paraId="0059552E" w14:textId="77777777" w:rsidR="008F16FC" w:rsidRPr="008F16FC" w:rsidRDefault="008F16FC" w:rsidP="008F16FC">
            <w:pPr>
              <w:rPr>
                <w:color w:val="000000"/>
                <w:sz w:val="20"/>
                <w:lang w:val="es-ES"/>
              </w:rPr>
            </w:pPr>
            <w:r w:rsidRPr="008F16FC">
              <w:rPr>
                <w:color w:val="000000"/>
                <w:sz w:val="20"/>
                <w:lang w:val="es-ES"/>
              </w:rPr>
              <w:t>Costo de ejecución de los contratos</w:t>
            </w:r>
          </w:p>
        </w:tc>
        <w:tc>
          <w:tcPr>
            <w:tcW w:w="1356" w:type="dxa"/>
            <w:tcBorders>
              <w:top w:val="nil"/>
              <w:left w:val="nil"/>
              <w:bottom w:val="nil"/>
              <w:right w:val="nil"/>
            </w:tcBorders>
            <w:shd w:val="clear" w:color="auto" w:fill="auto"/>
            <w:noWrap/>
            <w:vAlign w:val="bottom"/>
            <w:hideMark/>
          </w:tcPr>
          <w:p w14:paraId="7E256DA5" w14:textId="77777777" w:rsidR="008F16FC" w:rsidRPr="008F16FC" w:rsidRDefault="008F16FC" w:rsidP="008F16FC">
            <w:pPr>
              <w:jc w:val="right"/>
              <w:rPr>
                <w:color w:val="000000"/>
                <w:sz w:val="20"/>
              </w:rPr>
            </w:pPr>
            <w:r w:rsidRPr="008F16FC">
              <w:rPr>
                <w:color w:val="000000"/>
                <w:sz w:val="20"/>
              </w:rPr>
              <w:t>(2.869.909)</w:t>
            </w:r>
          </w:p>
        </w:tc>
      </w:tr>
      <w:tr w:rsidR="008F16FC" w:rsidRPr="008F16FC" w14:paraId="26BF4AF1" w14:textId="77777777" w:rsidTr="00BA304B">
        <w:trPr>
          <w:trHeight w:val="255"/>
        </w:trPr>
        <w:tc>
          <w:tcPr>
            <w:tcW w:w="4568" w:type="dxa"/>
            <w:tcBorders>
              <w:top w:val="nil"/>
              <w:left w:val="nil"/>
              <w:bottom w:val="nil"/>
              <w:right w:val="nil"/>
            </w:tcBorders>
            <w:shd w:val="clear" w:color="000000" w:fill="D9D9D9"/>
            <w:noWrap/>
            <w:vAlign w:val="bottom"/>
            <w:hideMark/>
          </w:tcPr>
          <w:p w14:paraId="102D7ECA" w14:textId="77777777" w:rsidR="008F16FC" w:rsidRPr="008F16FC" w:rsidRDefault="008F16FC" w:rsidP="008F16FC">
            <w:pPr>
              <w:rPr>
                <w:b/>
                <w:color w:val="000000"/>
                <w:sz w:val="20"/>
              </w:rPr>
            </w:pPr>
            <w:r w:rsidRPr="008F16FC">
              <w:rPr>
                <w:b/>
                <w:color w:val="000000"/>
                <w:sz w:val="20"/>
              </w:rPr>
              <w:t>Ganancia Bruta</w:t>
            </w:r>
          </w:p>
        </w:tc>
        <w:tc>
          <w:tcPr>
            <w:tcW w:w="1356" w:type="dxa"/>
            <w:tcBorders>
              <w:top w:val="nil"/>
              <w:left w:val="nil"/>
              <w:bottom w:val="nil"/>
              <w:right w:val="nil"/>
            </w:tcBorders>
            <w:shd w:val="clear" w:color="000000" w:fill="D9D9D9"/>
            <w:noWrap/>
            <w:vAlign w:val="bottom"/>
            <w:hideMark/>
          </w:tcPr>
          <w:p w14:paraId="3C65C18E" w14:textId="77777777" w:rsidR="008F16FC" w:rsidRPr="008F16FC" w:rsidRDefault="008F16FC" w:rsidP="008F16FC">
            <w:pPr>
              <w:jc w:val="right"/>
              <w:rPr>
                <w:b/>
                <w:color w:val="000000"/>
                <w:sz w:val="20"/>
              </w:rPr>
            </w:pPr>
            <w:r w:rsidRPr="008F16FC">
              <w:rPr>
                <w:b/>
                <w:color w:val="000000"/>
                <w:sz w:val="20"/>
              </w:rPr>
              <w:t>391.011</w:t>
            </w:r>
          </w:p>
        </w:tc>
      </w:tr>
      <w:tr w:rsidR="008F16FC" w:rsidRPr="008F16FC" w14:paraId="374DED98" w14:textId="77777777" w:rsidTr="00BA304B">
        <w:trPr>
          <w:trHeight w:val="255"/>
        </w:trPr>
        <w:tc>
          <w:tcPr>
            <w:tcW w:w="4568" w:type="dxa"/>
            <w:tcBorders>
              <w:top w:val="nil"/>
              <w:left w:val="nil"/>
              <w:bottom w:val="nil"/>
              <w:right w:val="nil"/>
            </w:tcBorders>
            <w:shd w:val="clear" w:color="auto" w:fill="auto"/>
            <w:noWrap/>
            <w:vAlign w:val="bottom"/>
            <w:hideMark/>
          </w:tcPr>
          <w:p w14:paraId="13AAB7AD" w14:textId="77777777" w:rsidR="008F16FC" w:rsidRPr="008F16FC" w:rsidRDefault="008F16FC" w:rsidP="008F16FC">
            <w:pPr>
              <w:rPr>
                <w:color w:val="000000"/>
                <w:sz w:val="20"/>
              </w:rPr>
            </w:pPr>
          </w:p>
        </w:tc>
        <w:tc>
          <w:tcPr>
            <w:tcW w:w="1356" w:type="dxa"/>
            <w:tcBorders>
              <w:top w:val="nil"/>
              <w:left w:val="nil"/>
              <w:bottom w:val="nil"/>
              <w:right w:val="nil"/>
            </w:tcBorders>
            <w:shd w:val="clear" w:color="auto" w:fill="auto"/>
            <w:noWrap/>
            <w:vAlign w:val="bottom"/>
            <w:hideMark/>
          </w:tcPr>
          <w:p w14:paraId="17551D33" w14:textId="77777777" w:rsidR="008F16FC" w:rsidRPr="008F16FC" w:rsidRDefault="008F16FC" w:rsidP="008F16FC">
            <w:pPr>
              <w:rPr>
                <w:color w:val="000000"/>
                <w:sz w:val="20"/>
              </w:rPr>
            </w:pPr>
          </w:p>
        </w:tc>
      </w:tr>
      <w:tr w:rsidR="008F16FC" w:rsidRPr="008F16FC" w14:paraId="6C630AAF" w14:textId="77777777" w:rsidTr="00BA304B">
        <w:trPr>
          <w:trHeight w:val="255"/>
        </w:trPr>
        <w:tc>
          <w:tcPr>
            <w:tcW w:w="4568" w:type="dxa"/>
            <w:tcBorders>
              <w:top w:val="nil"/>
              <w:left w:val="nil"/>
              <w:bottom w:val="nil"/>
              <w:right w:val="nil"/>
            </w:tcBorders>
            <w:shd w:val="clear" w:color="auto" w:fill="auto"/>
            <w:noWrap/>
            <w:vAlign w:val="bottom"/>
            <w:hideMark/>
          </w:tcPr>
          <w:p w14:paraId="43A09F4F" w14:textId="77777777" w:rsidR="008F16FC" w:rsidRPr="008F16FC" w:rsidRDefault="008F16FC" w:rsidP="008F16FC">
            <w:pPr>
              <w:rPr>
                <w:color w:val="000000"/>
                <w:sz w:val="20"/>
              </w:rPr>
            </w:pPr>
            <w:r w:rsidRPr="008F16FC">
              <w:rPr>
                <w:color w:val="000000"/>
                <w:sz w:val="20"/>
              </w:rPr>
              <w:t>Gastos de administración</w:t>
            </w:r>
          </w:p>
        </w:tc>
        <w:tc>
          <w:tcPr>
            <w:tcW w:w="1356" w:type="dxa"/>
            <w:tcBorders>
              <w:top w:val="nil"/>
              <w:left w:val="nil"/>
              <w:bottom w:val="nil"/>
              <w:right w:val="nil"/>
            </w:tcBorders>
            <w:shd w:val="clear" w:color="auto" w:fill="auto"/>
            <w:noWrap/>
            <w:vAlign w:val="bottom"/>
            <w:hideMark/>
          </w:tcPr>
          <w:p w14:paraId="040C714B" w14:textId="77777777" w:rsidR="008F16FC" w:rsidRPr="008F16FC" w:rsidRDefault="008F16FC" w:rsidP="008F16FC">
            <w:pPr>
              <w:jc w:val="right"/>
              <w:rPr>
                <w:color w:val="000000"/>
                <w:sz w:val="20"/>
              </w:rPr>
            </w:pPr>
            <w:r w:rsidRPr="008F16FC">
              <w:rPr>
                <w:color w:val="000000"/>
                <w:sz w:val="20"/>
              </w:rPr>
              <w:t>(215.299)</w:t>
            </w:r>
          </w:p>
        </w:tc>
      </w:tr>
      <w:tr w:rsidR="008F16FC" w:rsidRPr="008F16FC" w14:paraId="5064CB29" w14:textId="77777777" w:rsidTr="00BA304B">
        <w:trPr>
          <w:trHeight w:val="255"/>
        </w:trPr>
        <w:tc>
          <w:tcPr>
            <w:tcW w:w="4568" w:type="dxa"/>
            <w:tcBorders>
              <w:top w:val="nil"/>
              <w:left w:val="nil"/>
              <w:bottom w:val="nil"/>
              <w:right w:val="nil"/>
            </w:tcBorders>
            <w:shd w:val="clear" w:color="auto" w:fill="auto"/>
            <w:noWrap/>
            <w:vAlign w:val="bottom"/>
            <w:hideMark/>
          </w:tcPr>
          <w:p w14:paraId="2E9DBD82" w14:textId="77777777" w:rsidR="008F16FC" w:rsidRPr="008F16FC" w:rsidRDefault="008F16FC" w:rsidP="008F16FC">
            <w:pPr>
              <w:rPr>
                <w:color w:val="000000"/>
                <w:sz w:val="20"/>
              </w:rPr>
            </w:pPr>
            <w:r w:rsidRPr="008F16FC">
              <w:rPr>
                <w:color w:val="000000"/>
                <w:sz w:val="20"/>
              </w:rPr>
              <w:t>Gastos de comercialización</w:t>
            </w:r>
          </w:p>
        </w:tc>
        <w:tc>
          <w:tcPr>
            <w:tcW w:w="1356" w:type="dxa"/>
            <w:tcBorders>
              <w:top w:val="nil"/>
              <w:left w:val="nil"/>
              <w:bottom w:val="nil"/>
              <w:right w:val="nil"/>
            </w:tcBorders>
            <w:shd w:val="clear" w:color="auto" w:fill="auto"/>
            <w:noWrap/>
            <w:vAlign w:val="bottom"/>
            <w:hideMark/>
          </w:tcPr>
          <w:p w14:paraId="747BE749" w14:textId="77777777" w:rsidR="008F16FC" w:rsidRPr="008F16FC" w:rsidRDefault="008F16FC" w:rsidP="008F16FC">
            <w:pPr>
              <w:jc w:val="right"/>
              <w:rPr>
                <w:color w:val="000000"/>
                <w:sz w:val="20"/>
              </w:rPr>
            </w:pPr>
            <w:r w:rsidRPr="008F16FC">
              <w:rPr>
                <w:color w:val="000000"/>
                <w:sz w:val="20"/>
              </w:rPr>
              <w:t>(84.898)</w:t>
            </w:r>
          </w:p>
        </w:tc>
      </w:tr>
      <w:tr w:rsidR="008F16FC" w:rsidRPr="008F16FC" w14:paraId="7CF4A52E" w14:textId="77777777" w:rsidTr="00BA304B">
        <w:trPr>
          <w:trHeight w:val="255"/>
        </w:trPr>
        <w:tc>
          <w:tcPr>
            <w:tcW w:w="4568" w:type="dxa"/>
            <w:tcBorders>
              <w:top w:val="nil"/>
              <w:left w:val="nil"/>
              <w:bottom w:val="nil"/>
              <w:right w:val="nil"/>
            </w:tcBorders>
            <w:shd w:val="clear" w:color="auto" w:fill="auto"/>
            <w:noWrap/>
            <w:vAlign w:val="bottom"/>
            <w:hideMark/>
          </w:tcPr>
          <w:p w14:paraId="45D2D69C" w14:textId="77777777" w:rsidR="008F16FC" w:rsidRPr="008F16FC" w:rsidRDefault="008F16FC" w:rsidP="008F16FC">
            <w:pPr>
              <w:rPr>
                <w:color w:val="000000"/>
                <w:sz w:val="20"/>
              </w:rPr>
            </w:pPr>
            <w:r w:rsidRPr="008F16FC">
              <w:rPr>
                <w:color w:val="000000"/>
                <w:sz w:val="20"/>
              </w:rPr>
              <w:t>Otros ingresos</w:t>
            </w:r>
          </w:p>
        </w:tc>
        <w:tc>
          <w:tcPr>
            <w:tcW w:w="1356" w:type="dxa"/>
            <w:tcBorders>
              <w:top w:val="nil"/>
              <w:left w:val="nil"/>
              <w:bottom w:val="nil"/>
              <w:right w:val="nil"/>
            </w:tcBorders>
            <w:shd w:val="clear" w:color="auto" w:fill="auto"/>
            <w:noWrap/>
            <w:vAlign w:val="bottom"/>
            <w:hideMark/>
          </w:tcPr>
          <w:p w14:paraId="447FFC08" w14:textId="77777777" w:rsidR="008F16FC" w:rsidRPr="008F16FC" w:rsidRDefault="008F16FC" w:rsidP="008F16FC">
            <w:pPr>
              <w:jc w:val="right"/>
              <w:rPr>
                <w:color w:val="000000"/>
                <w:sz w:val="20"/>
              </w:rPr>
            </w:pPr>
            <w:r w:rsidRPr="008F16FC">
              <w:rPr>
                <w:color w:val="000000"/>
                <w:sz w:val="20"/>
              </w:rPr>
              <w:t>18.580</w:t>
            </w:r>
          </w:p>
        </w:tc>
      </w:tr>
      <w:tr w:rsidR="008F16FC" w:rsidRPr="008F16FC" w14:paraId="5B3270FD" w14:textId="77777777" w:rsidTr="00BA304B">
        <w:trPr>
          <w:trHeight w:val="255"/>
        </w:trPr>
        <w:tc>
          <w:tcPr>
            <w:tcW w:w="4568" w:type="dxa"/>
            <w:tcBorders>
              <w:top w:val="nil"/>
              <w:left w:val="nil"/>
              <w:bottom w:val="nil"/>
              <w:right w:val="nil"/>
            </w:tcBorders>
            <w:shd w:val="clear" w:color="auto" w:fill="auto"/>
            <w:noWrap/>
            <w:vAlign w:val="bottom"/>
            <w:hideMark/>
          </w:tcPr>
          <w:p w14:paraId="5071D397" w14:textId="77777777" w:rsidR="008F16FC" w:rsidRPr="008F16FC" w:rsidRDefault="008F16FC" w:rsidP="008F16FC">
            <w:pPr>
              <w:rPr>
                <w:color w:val="000000"/>
                <w:sz w:val="20"/>
              </w:rPr>
            </w:pPr>
            <w:r w:rsidRPr="008F16FC">
              <w:rPr>
                <w:color w:val="000000"/>
                <w:sz w:val="20"/>
              </w:rPr>
              <w:t>Otros gastos</w:t>
            </w:r>
          </w:p>
        </w:tc>
        <w:tc>
          <w:tcPr>
            <w:tcW w:w="1356" w:type="dxa"/>
            <w:tcBorders>
              <w:top w:val="nil"/>
              <w:left w:val="nil"/>
              <w:bottom w:val="nil"/>
              <w:right w:val="nil"/>
            </w:tcBorders>
            <w:shd w:val="clear" w:color="auto" w:fill="auto"/>
            <w:noWrap/>
            <w:vAlign w:val="bottom"/>
            <w:hideMark/>
          </w:tcPr>
          <w:p w14:paraId="39CF27B1" w14:textId="77777777" w:rsidR="008F16FC" w:rsidRPr="008F16FC" w:rsidRDefault="008F16FC" w:rsidP="008F16FC">
            <w:pPr>
              <w:jc w:val="right"/>
              <w:rPr>
                <w:color w:val="000000"/>
                <w:sz w:val="20"/>
              </w:rPr>
            </w:pPr>
            <w:r w:rsidRPr="008F16FC">
              <w:rPr>
                <w:color w:val="000000"/>
                <w:sz w:val="20"/>
              </w:rPr>
              <w:t>(5.100)</w:t>
            </w:r>
          </w:p>
        </w:tc>
      </w:tr>
      <w:tr w:rsidR="008F16FC" w:rsidRPr="008F16FC" w14:paraId="7A80BC89" w14:textId="77777777" w:rsidTr="00BA304B">
        <w:trPr>
          <w:trHeight w:val="255"/>
        </w:trPr>
        <w:tc>
          <w:tcPr>
            <w:tcW w:w="4568" w:type="dxa"/>
            <w:tcBorders>
              <w:top w:val="nil"/>
              <w:left w:val="nil"/>
              <w:bottom w:val="nil"/>
              <w:right w:val="nil"/>
            </w:tcBorders>
            <w:shd w:val="clear" w:color="000000" w:fill="D9D9D9"/>
            <w:noWrap/>
            <w:vAlign w:val="bottom"/>
            <w:hideMark/>
          </w:tcPr>
          <w:p w14:paraId="392582E3" w14:textId="77777777" w:rsidR="008F16FC" w:rsidRPr="008F16FC" w:rsidRDefault="008F16FC" w:rsidP="008F16FC">
            <w:pPr>
              <w:rPr>
                <w:b/>
                <w:color w:val="000000"/>
                <w:sz w:val="20"/>
              </w:rPr>
            </w:pPr>
            <w:r w:rsidRPr="008F16FC">
              <w:rPr>
                <w:b/>
                <w:color w:val="000000"/>
                <w:sz w:val="20"/>
              </w:rPr>
              <w:t>Ganancia Operativa</w:t>
            </w:r>
          </w:p>
        </w:tc>
        <w:tc>
          <w:tcPr>
            <w:tcW w:w="1356" w:type="dxa"/>
            <w:tcBorders>
              <w:top w:val="nil"/>
              <w:left w:val="nil"/>
              <w:bottom w:val="nil"/>
              <w:right w:val="nil"/>
            </w:tcBorders>
            <w:shd w:val="clear" w:color="000000" w:fill="D9D9D9"/>
            <w:noWrap/>
            <w:vAlign w:val="bottom"/>
            <w:hideMark/>
          </w:tcPr>
          <w:p w14:paraId="6F1B044C" w14:textId="77777777" w:rsidR="008F16FC" w:rsidRPr="008F16FC" w:rsidRDefault="008F16FC" w:rsidP="008F16FC">
            <w:pPr>
              <w:jc w:val="right"/>
              <w:rPr>
                <w:b/>
                <w:color w:val="000000"/>
                <w:sz w:val="20"/>
              </w:rPr>
            </w:pPr>
            <w:r w:rsidRPr="008F16FC">
              <w:rPr>
                <w:b/>
                <w:color w:val="000000"/>
                <w:sz w:val="20"/>
              </w:rPr>
              <w:t>104.293</w:t>
            </w:r>
          </w:p>
        </w:tc>
      </w:tr>
      <w:tr w:rsidR="008F16FC" w:rsidRPr="008F16FC" w14:paraId="4183329E" w14:textId="77777777" w:rsidTr="00BA304B">
        <w:trPr>
          <w:trHeight w:val="255"/>
        </w:trPr>
        <w:tc>
          <w:tcPr>
            <w:tcW w:w="4568" w:type="dxa"/>
            <w:tcBorders>
              <w:top w:val="nil"/>
              <w:left w:val="nil"/>
              <w:bottom w:val="nil"/>
              <w:right w:val="nil"/>
            </w:tcBorders>
            <w:shd w:val="clear" w:color="auto" w:fill="auto"/>
            <w:noWrap/>
            <w:vAlign w:val="bottom"/>
            <w:hideMark/>
          </w:tcPr>
          <w:p w14:paraId="37CDC762" w14:textId="77777777" w:rsidR="008F16FC" w:rsidRPr="008F16FC" w:rsidRDefault="008F16FC" w:rsidP="008F16FC">
            <w:pPr>
              <w:rPr>
                <w:color w:val="000000"/>
                <w:sz w:val="20"/>
              </w:rPr>
            </w:pPr>
          </w:p>
        </w:tc>
        <w:tc>
          <w:tcPr>
            <w:tcW w:w="1356" w:type="dxa"/>
            <w:tcBorders>
              <w:top w:val="nil"/>
              <w:left w:val="nil"/>
              <w:bottom w:val="nil"/>
              <w:right w:val="nil"/>
            </w:tcBorders>
            <w:shd w:val="clear" w:color="auto" w:fill="auto"/>
            <w:noWrap/>
            <w:vAlign w:val="bottom"/>
            <w:hideMark/>
          </w:tcPr>
          <w:p w14:paraId="6C66DEEE" w14:textId="77777777" w:rsidR="008F16FC" w:rsidRPr="008F16FC" w:rsidRDefault="008F16FC" w:rsidP="008F16FC">
            <w:pPr>
              <w:rPr>
                <w:color w:val="000000"/>
                <w:sz w:val="20"/>
              </w:rPr>
            </w:pPr>
          </w:p>
        </w:tc>
      </w:tr>
      <w:tr w:rsidR="008F16FC" w:rsidRPr="008F16FC" w14:paraId="5AE3D164" w14:textId="77777777" w:rsidTr="00BA304B">
        <w:trPr>
          <w:trHeight w:val="255"/>
        </w:trPr>
        <w:tc>
          <w:tcPr>
            <w:tcW w:w="4568" w:type="dxa"/>
            <w:tcBorders>
              <w:top w:val="nil"/>
              <w:left w:val="nil"/>
              <w:bottom w:val="nil"/>
              <w:right w:val="nil"/>
            </w:tcBorders>
            <w:shd w:val="clear" w:color="auto" w:fill="auto"/>
            <w:noWrap/>
            <w:vAlign w:val="bottom"/>
            <w:hideMark/>
          </w:tcPr>
          <w:p w14:paraId="6139AF70" w14:textId="77777777" w:rsidR="008F16FC" w:rsidRPr="008F16FC" w:rsidRDefault="008F16FC" w:rsidP="008F16FC">
            <w:pPr>
              <w:rPr>
                <w:color w:val="000000"/>
                <w:sz w:val="20"/>
                <w:lang w:val="es-ES"/>
              </w:rPr>
            </w:pPr>
            <w:r w:rsidRPr="008F16FC">
              <w:rPr>
                <w:color w:val="000000"/>
                <w:sz w:val="20"/>
                <w:lang w:val="es-ES"/>
              </w:rPr>
              <w:t>Resultados de Inversiones en Asociadas</w:t>
            </w:r>
          </w:p>
        </w:tc>
        <w:tc>
          <w:tcPr>
            <w:tcW w:w="1356" w:type="dxa"/>
            <w:tcBorders>
              <w:top w:val="nil"/>
              <w:left w:val="nil"/>
              <w:bottom w:val="nil"/>
              <w:right w:val="nil"/>
            </w:tcBorders>
            <w:shd w:val="clear" w:color="auto" w:fill="auto"/>
            <w:noWrap/>
            <w:vAlign w:val="bottom"/>
            <w:hideMark/>
          </w:tcPr>
          <w:p w14:paraId="7D0C45EF" w14:textId="77777777" w:rsidR="008F16FC" w:rsidRPr="008F16FC" w:rsidRDefault="008F16FC" w:rsidP="008F16FC">
            <w:pPr>
              <w:jc w:val="right"/>
              <w:rPr>
                <w:color w:val="000000"/>
                <w:sz w:val="20"/>
              </w:rPr>
            </w:pPr>
            <w:r w:rsidRPr="008F16FC">
              <w:rPr>
                <w:color w:val="000000"/>
                <w:sz w:val="20"/>
              </w:rPr>
              <w:t>7.857</w:t>
            </w:r>
          </w:p>
        </w:tc>
      </w:tr>
      <w:tr w:rsidR="008F16FC" w:rsidRPr="008F16FC" w14:paraId="5713FA9D" w14:textId="77777777" w:rsidTr="00BA304B">
        <w:trPr>
          <w:trHeight w:val="255"/>
        </w:trPr>
        <w:tc>
          <w:tcPr>
            <w:tcW w:w="4568" w:type="dxa"/>
            <w:tcBorders>
              <w:top w:val="nil"/>
              <w:left w:val="nil"/>
              <w:bottom w:val="nil"/>
              <w:right w:val="nil"/>
            </w:tcBorders>
            <w:shd w:val="clear" w:color="auto" w:fill="auto"/>
            <w:noWrap/>
            <w:vAlign w:val="bottom"/>
            <w:hideMark/>
          </w:tcPr>
          <w:p w14:paraId="70E4D4FF" w14:textId="77777777" w:rsidR="008F16FC" w:rsidRPr="008F16FC" w:rsidRDefault="008F16FC" w:rsidP="008F16FC">
            <w:pPr>
              <w:rPr>
                <w:color w:val="000000"/>
                <w:sz w:val="20"/>
              </w:rPr>
            </w:pPr>
            <w:r w:rsidRPr="008F16FC">
              <w:rPr>
                <w:color w:val="000000"/>
                <w:sz w:val="20"/>
              </w:rPr>
              <w:t>Resultados Financieros</w:t>
            </w:r>
          </w:p>
        </w:tc>
        <w:tc>
          <w:tcPr>
            <w:tcW w:w="1356" w:type="dxa"/>
            <w:tcBorders>
              <w:top w:val="nil"/>
              <w:left w:val="nil"/>
              <w:bottom w:val="nil"/>
              <w:right w:val="nil"/>
            </w:tcBorders>
            <w:shd w:val="clear" w:color="auto" w:fill="auto"/>
            <w:noWrap/>
            <w:vAlign w:val="bottom"/>
            <w:hideMark/>
          </w:tcPr>
          <w:p w14:paraId="15CC3B84" w14:textId="77777777" w:rsidR="008F16FC" w:rsidRPr="008F16FC" w:rsidRDefault="008F16FC" w:rsidP="008F16FC">
            <w:pPr>
              <w:jc w:val="right"/>
              <w:rPr>
                <w:color w:val="000000"/>
                <w:sz w:val="20"/>
              </w:rPr>
            </w:pPr>
            <w:r w:rsidRPr="008F16FC">
              <w:rPr>
                <w:color w:val="000000"/>
                <w:sz w:val="20"/>
              </w:rPr>
              <w:t>(79.896)</w:t>
            </w:r>
          </w:p>
        </w:tc>
      </w:tr>
      <w:tr w:rsidR="008F16FC" w:rsidRPr="008F16FC" w14:paraId="41C46B8C" w14:textId="77777777" w:rsidTr="00BA304B">
        <w:trPr>
          <w:trHeight w:val="255"/>
        </w:trPr>
        <w:tc>
          <w:tcPr>
            <w:tcW w:w="4568" w:type="dxa"/>
            <w:tcBorders>
              <w:top w:val="nil"/>
              <w:left w:val="nil"/>
              <w:bottom w:val="nil"/>
              <w:right w:val="nil"/>
            </w:tcBorders>
            <w:shd w:val="clear" w:color="auto" w:fill="auto"/>
            <w:noWrap/>
            <w:vAlign w:val="bottom"/>
            <w:hideMark/>
          </w:tcPr>
          <w:p w14:paraId="348233B3" w14:textId="77777777" w:rsidR="008F16FC" w:rsidRPr="008F16FC" w:rsidRDefault="008F16FC" w:rsidP="008F16FC">
            <w:pPr>
              <w:rPr>
                <w:color w:val="000000"/>
                <w:sz w:val="20"/>
                <w:lang w:val="es-ES"/>
              </w:rPr>
            </w:pPr>
            <w:r w:rsidRPr="008F16FC">
              <w:rPr>
                <w:color w:val="000000"/>
                <w:sz w:val="20"/>
                <w:lang w:val="es-ES"/>
              </w:rPr>
              <w:t>Resultados de la posición monetaria neta (RECPAM)</w:t>
            </w:r>
          </w:p>
        </w:tc>
        <w:tc>
          <w:tcPr>
            <w:tcW w:w="1356" w:type="dxa"/>
            <w:tcBorders>
              <w:top w:val="nil"/>
              <w:left w:val="nil"/>
              <w:bottom w:val="nil"/>
              <w:right w:val="nil"/>
            </w:tcBorders>
            <w:shd w:val="clear" w:color="auto" w:fill="auto"/>
            <w:noWrap/>
            <w:vAlign w:val="bottom"/>
            <w:hideMark/>
          </w:tcPr>
          <w:p w14:paraId="02062BA1" w14:textId="77777777" w:rsidR="008F16FC" w:rsidRPr="008F16FC" w:rsidRDefault="008F16FC" w:rsidP="008F16FC">
            <w:pPr>
              <w:jc w:val="right"/>
              <w:rPr>
                <w:color w:val="000000"/>
                <w:sz w:val="20"/>
              </w:rPr>
            </w:pPr>
            <w:r w:rsidRPr="008F16FC">
              <w:rPr>
                <w:color w:val="000000"/>
                <w:sz w:val="20"/>
              </w:rPr>
              <w:t>0</w:t>
            </w:r>
          </w:p>
        </w:tc>
      </w:tr>
      <w:tr w:rsidR="008F16FC" w:rsidRPr="008F16FC" w14:paraId="2B58E6A6" w14:textId="77777777" w:rsidTr="00BA304B">
        <w:trPr>
          <w:trHeight w:val="255"/>
        </w:trPr>
        <w:tc>
          <w:tcPr>
            <w:tcW w:w="4568" w:type="dxa"/>
            <w:tcBorders>
              <w:top w:val="nil"/>
              <w:left w:val="nil"/>
              <w:bottom w:val="nil"/>
              <w:right w:val="nil"/>
            </w:tcBorders>
            <w:shd w:val="clear" w:color="000000" w:fill="D9D9D9"/>
            <w:noWrap/>
            <w:vAlign w:val="bottom"/>
            <w:hideMark/>
          </w:tcPr>
          <w:p w14:paraId="275EAC36" w14:textId="77777777" w:rsidR="008F16FC" w:rsidRPr="008F16FC" w:rsidRDefault="008F16FC" w:rsidP="008F16FC">
            <w:pPr>
              <w:rPr>
                <w:b/>
                <w:color w:val="000000"/>
                <w:sz w:val="20"/>
                <w:lang w:val="es-ES"/>
              </w:rPr>
            </w:pPr>
            <w:r w:rsidRPr="008F16FC">
              <w:rPr>
                <w:b/>
                <w:color w:val="000000"/>
                <w:sz w:val="20"/>
                <w:lang w:val="es-ES"/>
              </w:rPr>
              <w:t>Ganancia antes del impuesto a las ganancias</w:t>
            </w:r>
          </w:p>
        </w:tc>
        <w:tc>
          <w:tcPr>
            <w:tcW w:w="1356" w:type="dxa"/>
            <w:tcBorders>
              <w:top w:val="nil"/>
              <w:left w:val="nil"/>
              <w:bottom w:val="nil"/>
              <w:right w:val="nil"/>
            </w:tcBorders>
            <w:shd w:val="clear" w:color="000000" w:fill="D9D9D9"/>
            <w:noWrap/>
            <w:vAlign w:val="bottom"/>
            <w:hideMark/>
          </w:tcPr>
          <w:p w14:paraId="76014FA2" w14:textId="77777777" w:rsidR="008F16FC" w:rsidRPr="008F16FC" w:rsidRDefault="008F16FC" w:rsidP="008F16FC">
            <w:pPr>
              <w:jc w:val="right"/>
              <w:rPr>
                <w:b/>
                <w:color w:val="000000"/>
                <w:sz w:val="20"/>
              </w:rPr>
            </w:pPr>
            <w:r w:rsidRPr="008F16FC">
              <w:rPr>
                <w:b/>
                <w:color w:val="000000"/>
                <w:sz w:val="20"/>
              </w:rPr>
              <w:t>32.255</w:t>
            </w:r>
          </w:p>
        </w:tc>
      </w:tr>
      <w:tr w:rsidR="008F16FC" w:rsidRPr="008F16FC" w14:paraId="1D99E95C" w14:textId="77777777" w:rsidTr="00BA304B">
        <w:trPr>
          <w:trHeight w:val="255"/>
        </w:trPr>
        <w:tc>
          <w:tcPr>
            <w:tcW w:w="4568" w:type="dxa"/>
            <w:tcBorders>
              <w:top w:val="nil"/>
              <w:left w:val="nil"/>
              <w:bottom w:val="nil"/>
              <w:right w:val="nil"/>
            </w:tcBorders>
            <w:shd w:val="clear" w:color="auto" w:fill="auto"/>
            <w:noWrap/>
            <w:vAlign w:val="bottom"/>
            <w:hideMark/>
          </w:tcPr>
          <w:p w14:paraId="0C953E42" w14:textId="77777777" w:rsidR="008F16FC" w:rsidRPr="008F16FC" w:rsidRDefault="008F16FC" w:rsidP="008F16FC">
            <w:pPr>
              <w:rPr>
                <w:color w:val="000000"/>
                <w:sz w:val="20"/>
              </w:rPr>
            </w:pPr>
          </w:p>
        </w:tc>
        <w:tc>
          <w:tcPr>
            <w:tcW w:w="1356" w:type="dxa"/>
            <w:tcBorders>
              <w:top w:val="nil"/>
              <w:left w:val="nil"/>
              <w:bottom w:val="nil"/>
              <w:right w:val="nil"/>
            </w:tcBorders>
            <w:shd w:val="clear" w:color="auto" w:fill="auto"/>
            <w:noWrap/>
            <w:vAlign w:val="bottom"/>
            <w:hideMark/>
          </w:tcPr>
          <w:p w14:paraId="5482162F" w14:textId="77777777" w:rsidR="008F16FC" w:rsidRPr="008F16FC" w:rsidRDefault="008F16FC" w:rsidP="008F16FC">
            <w:pPr>
              <w:rPr>
                <w:color w:val="000000"/>
                <w:sz w:val="20"/>
              </w:rPr>
            </w:pPr>
          </w:p>
        </w:tc>
      </w:tr>
      <w:tr w:rsidR="008F16FC" w:rsidRPr="008F16FC" w14:paraId="3DF66B9C" w14:textId="77777777" w:rsidTr="00BA304B">
        <w:trPr>
          <w:trHeight w:val="255"/>
        </w:trPr>
        <w:tc>
          <w:tcPr>
            <w:tcW w:w="4568" w:type="dxa"/>
            <w:tcBorders>
              <w:top w:val="nil"/>
              <w:left w:val="nil"/>
              <w:bottom w:val="nil"/>
              <w:right w:val="nil"/>
            </w:tcBorders>
            <w:shd w:val="clear" w:color="auto" w:fill="auto"/>
            <w:noWrap/>
            <w:vAlign w:val="bottom"/>
            <w:hideMark/>
          </w:tcPr>
          <w:p w14:paraId="349A318F" w14:textId="77777777" w:rsidR="008F16FC" w:rsidRPr="008F16FC" w:rsidRDefault="008F16FC" w:rsidP="008F16FC">
            <w:pPr>
              <w:rPr>
                <w:color w:val="000000"/>
                <w:sz w:val="20"/>
                <w:lang w:val="es-ES"/>
              </w:rPr>
            </w:pPr>
            <w:r w:rsidRPr="008F16FC">
              <w:rPr>
                <w:color w:val="000000"/>
                <w:sz w:val="20"/>
                <w:lang w:val="es-ES"/>
              </w:rPr>
              <w:t>(Gasto) Ingreso por impuesto a las ganancias</w:t>
            </w:r>
          </w:p>
        </w:tc>
        <w:tc>
          <w:tcPr>
            <w:tcW w:w="1356" w:type="dxa"/>
            <w:tcBorders>
              <w:top w:val="nil"/>
              <w:left w:val="nil"/>
              <w:bottom w:val="nil"/>
              <w:right w:val="nil"/>
            </w:tcBorders>
            <w:shd w:val="clear" w:color="auto" w:fill="auto"/>
            <w:noWrap/>
            <w:vAlign w:val="bottom"/>
            <w:hideMark/>
          </w:tcPr>
          <w:p w14:paraId="1A6C0B33" w14:textId="77777777" w:rsidR="008F16FC" w:rsidRPr="008F16FC" w:rsidRDefault="008F16FC" w:rsidP="008F16FC">
            <w:pPr>
              <w:jc w:val="right"/>
              <w:rPr>
                <w:color w:val="000000"/>
                <w:sz w:val="20"/>
              </w:rPr>
            </w:pPr>
            <w:r w:rsidRPr="008F16FC">
              <w:rPr>
                <w:color w:val="000000"/>
                <w:sz w:val="20"/>
              </w:rPr>
              <w:t>(7.217)</w:t>
            </w:r>
          </w:p>
        </w:tc>
      </w:tr>
      <w:tr w:rsidR="008F16FC" w:rsidRPr="008F16FC" w14:paraId="4CC2DE61" w14:textId="77777777" w:rsidTr="00BA304B">
        <w:trPr>
          <w:trHeight w:val="255"/>
        </w:trPr>
        <w:tc>
          <w:tcPr>
            <w:tcW w:w="4568" w:type="dxa"/>
            <w:tcBorders>
              <w:top w:val="nil"/>
              <w:left w:val="nil"/>
              <w:bottom w:val="nil"/>
              <w:right w:val="nil"/>
            </w:tcBorders>
            <w:shd w:val="clear" w:color="000000" w:fill="A6A6A6"/>
            <w:noWrap/>
            <w:vAlign w:val="bottom"/>
            <w:hideMark/>
          </w:tcPr>
          <w:p w14:paraId="318B0F79" w14:textId="77777777" w:rsidR="008F16FC" w:rsidRPr="008F16FC" w:rsidRDefault="008F16FC" w:rsidP="008F16FC">
            <w:pPr>
              <w:rPr>
                <w:b/>
                <w:color w:val="000000"/>
                <w:sz w:val="20"/>
              </w:rPr>
            </w:pPr>
            <w:r w:rsidRPr="008F16FC">
              <w:rPr>
                <w:b/>
                <w:color w:val="000000"/>
                <w:sz w:val="20"/>
              </w:rPr>
              <w:t>Ganancia del período</w:t>
            </w:r>
          </w:p>
        </w:tc>
        <w:tc>
          <w:tcPr>
            <w:tcW w:w="1356" w:type="dxa"/>
            <w:tcBorders>
              <w:top w:val="nil"/>
              <w:left w:val="nil"/>
              <w:bottom w:val="nil"/>
              <w:right w:val="nil"/>
            </w:tcBorders>
            <w:shd w:val="clear" w:color="000000" w:fill="A6A6A6"/>
            <w:noWrap/>
            <w:vAlign w:val="bottom"/>
            <w:hideMark/>
          </w:tcPr>
          <w:p w14:paraId="3EDD5997" w14:textId="77777777" w:rsidR="008F16FC" w:rsidRPr="008F16FC" w:rsidRDefault="008F16FC" w:rsidP="008F16FC">
            <w:pPr>
              <w:jc w:val="right"/>
              <w:rPr>
                <w:b/>
                <w:color w:val="000000"/>
                <w:sz w:val="20"/>
              </w:rPr>
            </w:pPr>
            <w:r w:rsidRPr="008F16FC">
              <w:rPr>
                <w:b/>
                <w:color w:val="000000"/>
                <w:sz w:val="20"/>
              </w:rPr>
              <w:t>25.038</w:t>
            </w:r>
          </w:p>
        </w:tc>
      </w:tr>
      <w:tr w:rsidR="008F16FC" w:rsidRPr="008F16FC" w14:paraId="1661C1E6" w14:textId="77777777" w:rsidTr="00BA304B">
        <w:trPr>
          <w:trHeight w:val="255"/>
        </w:trPr>
        <w:tc>
          <w:tcPr>
            <w:tcW w:w="4568" w:type="dxa"/>
            <w:tcBorders>
              <w:top w:val="nil"/>
              <w:left w:val="nil"/>
              <w:bottom w:val="nil"/>
              <w:right w:val="nil"/>
            </w:tcBorders>
            <w:shd w:val="clear" w:color="auto" w:fill="auto"/>
            <w:noWrap/>
            <w:vAlign w:val="bottom"/>
            <w:hideMark/>
          </w:tcPr>
          <w:p w14:paraId="6ADA17FC" w14:textId="77777777" w:rsidR="008F16FC" w:rsidRPr="008F16FC" w:rsidRDefault="008F16FC" w:rsidP="008F16FC">
            <w:pPr>
              <w:rPr>
                <w:color w:val="000000"/>
                <w:sz w:val="20"/>
              </w:rPr>
            </w:pPr>
          </w:p>
        </w:tc>
        <w:tc>
          <w:tcPr>
            <w:tcW w:w="1356" w:type="dxa"/>
            <w:tcBorders>
              <w:top w:val="nil"/>
              <w:left w:val="nil"/>
              <w:bottom w:val="nil"/>
              <w:right w:val="nil"/>
            </w:tcBorders>
            <w:shd w:val="clear" w:color="auto" w:fill="auto"/>
            <w:noWrap/>
            <w:vAlign w:val="bottom"/>
            <w:hideMark/>
          </w:tcPr>
          <w:p w14:paraId="4BD71C34" w14:textId="77777777" w:rsidR="008F16FC" w:rsidRPr="008F16FC" w:rsidRDefault="008F16FC" w:rsidP="008F16FC">
            <w:pPr>
              <w:rPr>
                <w:color w:val="000000"/>
                <w:sz w:val="20"/>
              </w:rPr>
            </w:pPr>
          </w:p>
        </w:tc>
      </w:tr>
      <w:tr w:rsidR="008F16FC" w:rsidRPr="008F16FC" w14:paraId="72435F1A" w14:textId="77777777" w:rsidTr="00BA304B">
        <w:trPr>
          <w:trHeight w:val="255"/>
        </w:trPr>
        <w:tc>
          <w:tcPr>
            <w:tcW w:w="4568" w:type="dxa"/>
            <w:tcBorders>
              <w:top w:val="nil"/>
              <w:left w:val="nil"/>
              <w:bottom w:val="nil"/>
              <w:right w:val="nil"/>
            </w:tcBorders>
            <w:shd w:val="clear" w:color="auto" w:fill="auto"/>
            <w:noWrap/>
            <w:vAlign w:val="bottom"/>
            <w:hideMark/>
          </w:tcPr>
          <w:p w14:paraId="3F584136" w14:textId="77777777" w:rsidR="008F16FC" w:rsidRPr="008F16FC" w:rsidRDefault="008F16FC" w:rsidP="008F16FC">
            <w:pPr>
              <w:rPr>
                <w:color w:val="000000"/>
                <w:sz w:val="20"/>
              </w:rPr>
            </w:pPr>
          </w:p>
        </w:tc>
        <w:tc>
          <w:tcPr>
            <w:tcW w:w="1356" w:type="dxa"/>
            <w:tcBorders>
              <w:top w:val="nil"/>
              <w:left w:val="nil"/>
              <w:bottom w:val="nil"/>
              <w:right w:val="nil"/>
            </w:tcBorders>
            <w:shd w:val="clear" w:color="auto" w:fill="auto"/>
            <w:noWrap/>
            <w:vAlign w:val="bottom"/>
            <w:hideMark/>
          </w:tcPr>
          <w:p w14:paraId="37CA9859" w14:textId="77777777" w:rsidR="008F16FC" w:rsidRPr="008F16FC" w:rsidRDefault="008F16FC" w:rsidP="008F16FC">
            <w:pPr>
              <w:rPr>
                <w:color w:val="000000"/>
                <w:sz w:val="20"/>
              </w:rPr>
            </w:pPr>
          </w:p>
        </w:tc>
      </w:tr>
      <w:tr w:rsidR="008F16FC" w:rsidRPr="00512442" w14:paraId="18159BCC" w14:textId="77777777" w:rsidTr="00BA304B">
        <w:trPr>
          <w:trHeight w:val="255"/>
        </w:trPr>
        <w:tc>
          <w:tcPr>
            <w:tcW w:w="4568" w:type="dxa"/>
            <w:tcBorders>
              <w:top w:val="nil"/>
              <w:left w:val="nil"/>
              <w:bottom w:val="nil"/>
              <w:right w:val="nil"/>
            </w:tcBorders>
            <w:shd w:val="clear" w:color="auto" w:fill="auto"/>
            <w:noWrap/>
            <w:vAlign w:val="bottom"/>
            <w:hideMark/>
          </w:tcPr>
          <w:p w14:paraId="1DA4614F" w14:textId="77777777" w:rsidR="008F16FC" w:rsidRPr="008F16FC" w:rsidRDefault="008F16FC" w:rsidP="008F16FC">
            <w:pPr>
              <w:rPr>
                <w:b/>
                <w:color w:val="000000"/>
                <w:sz w:val="20"/>
                <w:lang w:val="es-ES"/>
              </w:rPr>
            </w:pPr>
            <w:r w:rsidRPr="008F16FC">
              <w:rPr>
                <w:b/>
                <w:color w:val="000000"/>
                <w:sz w:val="20"/>
                <w:lang w:val="es-ES"/>
              </w:rPr>
              <w:t>OTRO RESULTADO INTEGRAL DEL PERIODO</w:t>
            </w:r>
          </w:p>
        </w:tc>
        <w:tc>
          <w:tcPr>
            <w:tcW w:w="1356" w:type="dxa"/>
            <w:tcBorders>
              <w:top w:val="nil"/>
              <w:left w:val="nil"/>
              <w:bottom w:val="nil"/>
              <w:right w:val="nil"/>
            </w:tcBorders>
            <w:shd w:val="clear" w:color="auto" w:fill="auto"/>
            <w:noWrap/>
            <w:vAlign w:val="bottom"/>
            <w:hideMark/>
          </w:tcPr>
          <w:p w14:paraId="4635C6BA" w14:textId="77777777" w:rsidR="008F16FC" w:rsidRPr="008F16FC" w:rsidRDefault="008F16FC" w:rsidP="008F16FC">
            <w:pPr>
              <w:rPr>
                <w:b/>
                <w:color w:val="000000"/>
                <w:sz w:val="20"/>
                <w:lang w:val="es-ES"/>
              </w:rPr>
            </w:pPr>
          </w:p>
        </w:tc>
      </w:tr>
      <w:tr w:rsidR="008F16FC" w:rsidRPr="00512442" w14:paraId="21B9F939" w14:textId="77777777" w:rsidTr="00BA304B">
        <w:trPr>
          <w:trHeight w:val="255"/>
        </w:trPr>
        <w:tc>
          <w:tcPr>
            <w:tcW w:w="4568" w:type="dxa"/>
            <w:tcBorders>
              <w:top w:val="nil"/>
              <w:left w:val="nil"/>
              <w:bottom w:val="nil"/>
              <w:right w:val="nil"/>
            </w:tcBorders>
            <w:shd w:val="clear" w:color="auto" w:fill="auto"/>
            <w:noWrap/>
            <w:vAlign w:val="bottom"/>
            <w:hideMark/>
          </w:tcPr>
          <w:p w14:paraId="1006ACDD" w14:textId="77777777" w:rsidR="008F16FC" w:rsidRPr="008F16FC" w:rsidRDefault="008F16FC" w:rsidP="008F16FC">
            <w:pPr>
              <w:rPr>
                <w:b/>
                <w:color w:val="000000"/>
                <w:sz w:val="20"/>
                <w:lang w:val="es-ES"/>
              </w:rPr>
            </w:pPr>
            <w:r w:rsidRPr="008F16FC">
              <w:rPr>
                <w:b/>
                <w:color w:val="000000"/>
                <w:sz w:val="20"/>
                <w:lang w:val="es-ES"/>
              </w:rPr>
              <w:t>Que se clasificará en resultados</w:t>
            </w:r>
          </w:p>
        </w:tc>
        <w:tc>
          <w:tcPr>
            <w:tcW w:w="1356" w:type="dxa"/>
            <w:tcBorders>
              <w:top w:val="nil"/>
              <w:left w:val="nil"/>
              <w:bottom w:val="nil"/>
              <w:right w:val="nil"/>
            </w:tcBorders>
            <w:shd w:val="clear" w:color="auto" w:fill="auto"/>
            <w:noWrap/>
            <w:vAlign w:val="bottom"/>
            <w:hideMark/>
          </w:tcPr>
          <w:p w14:paraId="6B226643" w14:textId="77777777" w:rsidR="008F16FC" w:rsidRPr="008F16FC" w:rsidRDefault="008F16FC" w:rsidP="008F16FC">
            <w:pPr>
              <w:rPr>
                <w:b/>
                <w:color w:val="000000"/>
                <w:sz w:val="20"/>
                <w:lang w:val="es-ES"/>
              </w:rPr>
            </w:pPr>
          </w:p>
        </w:tc>
      </w:tr>
      <w:tr w:rsidR="008F16FC" w:rsidRPr="008F16FC" w14:paraId="2C38C373" w14:textId="77777777" w:rsidTr="00BA304B">
        <w:trPr>
          <w:trHeight w:val="255"/>
        </w:trPr>
        <w:tc>
          <w:tcPr>
            <w:tcW w:w="4568" w:type="dxa"/>
            <w:tcBorders>
              <w:top w:val="nil"/>
              <w:left w:val="nil"/>
              <w:bottom w:val="nil"/>
              <w:right w:val="nil"/>
            </w:tcBorders>
            <w:shd w:val="clear" w:color="auto" w:fill="auto"/>
            <w:noWrap/>
            <w:vAlign w:val="bottom"/>
            <w:hideMark/>
          </w:tcPr>
          <w:p w14:paraId="769AD44C" w14:textId="77777777" w:rsidR="008F16FC" w:rsidRPr="008F16FC" w:rsidRDefault="008F16FC" w:rsidP="008F16FC">
            <w:pPr>
              <w:rPr>
                <w:color w:val="000000"/>
                <w:sz w:val="20"/>
              </w:rPr>
            </w:pPr>
            <w:r w:rsidRPr="008F16FC">
              <w:rPr>
                <w:color w:val="000000"/>
                <w:sz w:val="20"/>
              </w:rPr>
              <w:t>Diferencias de conversión</w:t>
            </w:r>
          </w:p>
        </w:tc>
        <w:tc>
          <w:tcPr>
            <w:tcW w:w="1356" w:type="dxa"/>
            <w:tcBorders>
              <w:top w:val="nil"/>
              <w:left w:val="nil"/>
              <w:bottom w:val="nil"/>
              <w:right w:val="nil"/>
            </w:tcBorders>
            <w:shd w:val="clear" w:color="auto" w:fill="auto"/>
            <w:noWrap/>
            <w:vAlign w:val="bottom"/>
            <w:hideMark/>
          </w:tcPr>
          <w:p w14:paraId="2CCF6A96" w14:textId="77777777" w:rsidR="008F16FC" w:rsidRPr="008F16FC" w:rsidRDefault="008F16FC" w:rsidP="008F16FC">
            <w:pPr>
              <w:jc w:val="right"/>
              <w:rPr>
                <w:color w:val="000000"/>
                <w:sz w:val="20"/>
              </w:rPr>
            </w:pPr>
            <w:r w:rsidRPr="008F16FC">
              <w:rPr>
                <w:color w:val="000000"/>
                <w:sz w:val="20"/>
              </w:rPr>
              <w:t>(5.297)</w:t>
            </w:r>
          </w:p>
        </w:tc>
      </w:tr>
      <w:tr w:rsidR="008F16FC" w:rsidRPr="008F16FC" w14:paraId="7FABE029" w14:textId="77777777" w:rsidTr="00BA304B">
        <w:trPr>
          <w:trHeight w:val="255"/>
        </w:trPr>
        <w:tc>
          <w:tcPr>
            <w:tcW w:w="4568" w:type="dxa"/>
            <w:tcBorders>
              <w:top w:val="nil"/>
              <w:left w:val="nil"/>
              <w:bottom w:val="nil"/>
              <w:right w:val="nil"/>
            </w:tcBorders>
            <w:shd w:val="clear" w:color="auto" w:fill="auto"/>
            <w:noWrap/>
            <w:vAlign w:val="bottom"/>
            <w:hideMark/>
          </w:tcPr>
          <w:p w14:paraId="18AEED25" w14:textId="77777777" w:rsidR="008F16FC" w:rsidRPr="008F16FC" w:rsidRDefault="008F16FC" w:rsidP="008F16FC">
            <w:pPr>
              <w:rPr>
                <w:color w:val="000000"/>
                <w:sz w:val="20"/>
              </w:rPr>
            </w:pPr>
            <w:r w:rsidRPr="008F16FC">
              <w:rPr>
                <w:color w:val="000000"/>
                <w:sz w:val="20"/>
              </w:rPr>
              <w:t>Superávit de revaluación</w:t>
            </w:r>
          </w:p>
        </w:tc>
        <w:tc>
          <w:tcPr>
            <w:tcW w:w="1356" w:type="dxa"/>
            <w:tcBorders>
              <w:top w:val="nil"/>
              <w:left w:val="nil"/>
              <w:bottom w:val="nil"/>
              <w:right w:val="nil"/>
            </w:tcBorders>
            <w:shd w:val="clear" w:color="auto" w:fill="auto"/>
            <w:noWrap/>
            <w:vAlign w:val="bottom"/>
            <w:hideMark/>
          </w:tcPr>
          <w:p w14:paraId="09CC5A2B" w14:textId="77777777" w:rsidR="008F16FC" w:rsidRPr="008F16FC" w:rsidRDefault="008F16FC" w:rsidP="008F16FC">
            <w:pPr>
              <w:jc w:val="right"/>
              <w:rPr>
                <w:color w:val="000000"/>
                <w:sz w:val="20"/>
              </w:rPr>
            </w:pPr>
            <w:r w:rsidRPr="008F16FC">
              <w:rPr>
                <w:color w:val="000000"/>
                <w:sz w:val="20"/>
              </w:rPr>
              <w:t>0</w:t>
            </w:r>
          </w:p>
        </w:tc>
      </w:tr>
      <w:tr w:rsidR="008F16FC" w:rsidRPr="008F16FC" w14:paraId="1943BF92" w14:textId="77777777" w:rsidTr="00BA304B">
        <w:trPr>
          <w:trHeight w:val="255"/>
        </w:trPr>
        <w:tc>
          <w:tcPr>
            <w:tcW w:w="4568" w:type="dxa"/>
            <w:tcBorders>
              <w:top w:val="nil"/>
              <w:left w:val="nil"/>
              <w:bottom w:val="nil"/>
              <w:right w:val="nil"/>
            </w:tcBorders>
            <w:shd w:val="clear" w:color="000000" w:fill="A6A6A6"/>
            <w:noWrap/>
            <w:vAlign w:val="bottom"/>
            <w:hideMark/>
          </w:tcPr>
          <w:p w14:paraId="7FC37C1A" w14:textId="77777777" w:rsidR="008F16FC" w:rsidRPr="008F16FC" w:rsidRDefault="008F16FC" w:rsidP="008F16FC">
            <w:pPr>
              <w:rPr>
                <w:b/>
                <w:color w:val="000000"/>
                <w:sz w:val="20"/>
              </w:rPr>
            </w:pPr>
            <w:r w:rsidRPr="008F16FC">
              <w:rPr>
                <w:b/>
                <w:color w:val="000000"/>
                <w:sz w:val="20"/>
              </w:rPr>
              <w:t>Total</w:t>
            </w:r>
          </w:p>
        </w:tc>
        <w:tc>
          <w:tcPr>
            <w:tcW w:w="1356" w:type="dxa"/>
            <w:tcBorders>
              <w:top w:val="nil"/>
              <w:left w:val="nil"/>
              <w:bottom w:val="nil"/>
              <w:right w:val="nil"/>
            </w:tcBorders>
            <w:shd w:val="clear" w:color="000000" w:fill="A6A6A6"/>
            <w:noWrap/>
            <w:vAlign w:val="bottom"/>
            <w:hideMark/>
          </w:tcPr>
          <w:p w14:paraId="097CF15A" w14:textId="77777777" w:rsidR="008F16FC" w:rsidRPr="008F16FC" w:rsidRDefault="008F16FC" w:rsidP="008F16FC">
            <w:pPr>
              <w:jc w:val="right"/>
              <w:rPr>
                <w:b/>
                <w:color w:val="000000"/>
                <w:sz w:val="20"/>
              </w:rPr>
            </w:pPr>
            <w:r w:rsidRPr="008F16FC">
              <w:rPr>
                <w:b/>
                <w:color w:val="000000"/>
                <w:sz w:val="20"/>
              </w:rPr>
              <w:t>(5.297)</w:t>
            </w:r>
          </w:p>
        </w:tc>
      </w:tr>
      <w:tr w:rsidR="008F16FC" w:rsidRPr="008F16FC" w14:paraId="251853F3" w14:textId="77777777" w:rsidTr="00BA304B">
        <w:trPr>
          <w:trHeight w:val="255"/>
        </w:trPr>
        <w:tc>
          <w:tcPr>
            <w:tcW w:w="4568" w:type="dxa"/>
            <w:tcBorders>
              <w:top w:val="nil"/>
              <w:left w:val="nil"/>
              <w:bottom w:val="nil"/>
              <w:right w:val="nil"/>
            </w:tcBorders>
            <w:shd w:val="clear" w:color="000000" w:fill="A6A6A6"/>
            <w:noWrap/>
            <w:vAlign w:val="bottom"/>
            <w:hideMark/>
          </w:tcPr>
          <w:p w14:paraId="57190E84" w14:textId="77777777" w:rsidR="008F16FC" w:rsidRPr="008F16FC" w:rsidRDefault="008F16FC" w:rsidP="008F16FC">
            <w:pPr>
              <w:rPr>
                <w:b/>
                <w:color w:val="000000"/>
                <w:sz w:val="20"/>
                <w:lang w:val="es-ES"/>
              </w:rPr>
            </w:pPr>
            <w:r w:rsidRPr="008F16FC">
              <w:rPr>
                <w:b/>
                <w:color w:val="000000"/>
                <w:sz w:val="20"/>
                <w:lang w:val="es-ES"/>
              </w:rPr>
              <w:t>Resultado integral total del período</w:t>
            </w:r>
          </w:p>
        </w:tc>
        <w:tc>
          <w:tcPr>
            <w:tcW w:w="1356" w:type="dxa"/>
            <w:tcBorders>
              <w:top w:val="nil"/>
              <w:left w:val="nil"/>
              <w:bottom w:val="nil"/>
              <w:right w:val="nil"/>
            </w:tcBorders>
            <w:shd w:val="clear" w:color="000000" w:fill="A6A6A6"/>
            <w:noWrap/>
            <w:vAlign w:val="bottom"/>
            <w:hideMark/>
          </w:tcPr>
          <w:p w14:paraId="774ECCEB" w14:textId="77777777" w:rsidR="008F16FC" w:rsidRPr="008F16FC" w:rsidRDefault="008F16FC" w:rsidP="008F16FC">
            <w:pPr>
              <w:jc w:val="right"/>
              <w:rPr>
                <w:b/>
                <w:color w:val="000000"/>
                <w:sz w:val="20"/>
              </w:rPr>
            </w:pPr>
            <w:r w:rsidRPr="008F16FC">
              <w:rPr>
                <w:b/>
                <w:color w:val="000000"/>
                <w:sz w:val="20"/>
              </w:rPr>
              <w:t>19.741</w:t>
            </w:r>
          </w:p>
        </w:tc>
      </w:tr>
    </w:tbl>
    <w:p w14:paraId="31595F6E" w14:textId="77777777" w:rsidR="008F16FC" w:rsidRPr="008F16FC" w:rsidRDefault="008F16FC" w:rsidP="008F16FC">
      <w:pPr>
        <w:widowControl w:val="0"/>
        <w:jc w:val="both"/>
        <w:rPr>
          <w:rFonts w:eastAsia="Calibri"/>
          <w:sz w:val="20"/>
          <w:szCs w:val="20"/>
          <w:lang w:val="es-MX"/>
        </w:rPr>
      </w:pPr>
    </w:p>
    <w:p w14:paraId="4CAEC3BF" w14:textId="77777777" w:rsidR="008F16FC" w:rsidRPr="008F16FC" w:rsidRDefault="008F16FC" w:rsidP="008F16FC">
      <w:pPr>
        <w:widowControl w:val="0"/>
        <w:jc w:val="both"/>
        <w:rPr>
          <w:rFonts w:eastAsia="Calibri"/>
          <w:b/>
          <w:bCs/>
          <w:sz w:val="20"/>
          <w:szCs w:val="20"/>
          <w:lang w:val="es-MX"/>
        </w:rPr>
      </w:pPr>
      <w:r w:rsidRPr="008F16FC">
        <w:rPr>
          <w:rFonts w:eastAsia="Calibri"/>
          <w:b/>
          <w:bCs/>
          <w:sz w:val="20"/>
          <w:szCs w:val="20"/>
          <w:lang w:val="es-MX"/>
        </w:rPr>
        <w:t>Patrimonio Neto comparando septiembre 2019 con junio 2019</w:t>
      </w:r>
    </w:p>
    <w:p w14:paraId="6798467C" w14:textId="77777777" w:rsidR="008F16FC" w:rsidRPr="008F16FC" w:rsidRDefault="008F16FC" w:rsidP="008F16FC">
      <w:pPr>
        <w:widowControl w:val="0"/>
        <w:jc w:val="both"/>
        <w:rPr>
          <w:rFonts w:eastAsia="Calibri"/>
          <w:b/>
          <w:bCs/>
          <w:sz w:val="20"/>
          <w:szCs w:val="20"/>
          <w:lang w:val="es-MX"/>
        </w:rPr>
      </w:pPr>
    </w:p>
    <w:p w14:paraId="57D4E38E" w14:textId="77777777" w:rsidR="008F16FC" w:rsidRPr="008F16FC" w:rsidRDefault="008F16FC" w:rsidP="008F16FC">
      <w:pPr>
        <w:jc w:val="both"/>
        <w:rPr>
          <w:rFonts w:cs="Arial"/>
          <w:i/>
          <w:color w:val="000000"/>
          <w:sz w:val="20"/>
          <w:lang w:val="es-ES"/>
        </w:rPr>
      </w:pPr>
      <w:r w:rsidRPr="008F16FC">
        <w:rPr>
          <w:rFonts w:cs="Arial"/>
          <w:i/>
          <w:color w:val="000000"/>
          <w:sz w:val="20"/>
          <w:lang w:val="es-ES"/>
        </w:rPr>
        <w:t>PATRIMONIO NETO (13)</w:t>
      </w:r>
    </w:p>
    <w:p w14:paraId="1D2A96A1" w14:textId="77777777" w:rsidR="008F16FC" w:rsidRPr="008F16FC" w:rsidRDefault="008F16FC" w:rsidP="008F16FC">
      <w:pPr>
        <w:jc w:val="both"/>
        <w:rPr>
          <w:rFonts w:cs="Arial"/>
          <w:b/>
          <w:color w:val="000000"/>
          <w:sz w:val="20"/>
          <w:lang w:val="es-ES"/>
        </w:rPr>
      </w:pPr>
    </w:p>
    <w:p w14:paraId="05E16261" w14:textId="77777777" w:rsidR="008F16FC" w:rsidRPr="008F16FC" w:rsidRDefault="008F16FC" w:rsidP="008F16FC">
      <w:pPr>
        <w:jc w:val="both"/>
        <w:rPr>
          <w:rFonts w:cs="Arial"/>
          <w:color w:val="000000"/>
          <w:sz w:val="20"/>
          <w:lang w:val="es-ES"/>
        </w:rPr>
      </w:pPr>
      <w:r w:rsidRPr="008F16FC">
        <w:rPr>
          <w:rFonts w:cs="Arial"/>
          <w:color w:val="000000"/>
          <w:sz w:val="20"/>
          <w:lang w:val="es-ES"/>
        </w:rPr>
        <w:t>El Patrimonio Neto varió positivamente en $380 millones, dicha variación se origina principalmente en $313 millones que corresponden al superávit de revaluación por la actualización de los valores de los inmuebles a valores razonables, los que fueron actualizados por la paridad del dólar estadounidense respecto de la moneda local al 30.09.2019. El resultado positivo se debe a que, en el trimestre, el efecto del ajuste por inflación no superó al efecto del superávit en el revalúo técnico así actualizado. Por otro lado, aumenta con $77 millones de Resultado del Periodo de tres meses. Con signo contrario influyen $10 millones de Diferencias de Conversión.</w:t>
      </w:r>
    </w:p>
    <w:p w14:paraId="3287C615" w14:textId="77777777" w:rsidR="008F16FC" w:rsidRPr="008F16FC" w:rsidRDefault="008F16FC" w:rsidP="008F16FC">
      <w:pPr>
        <w:widowControl w:val="0"/>
        <w:jc w:val="both"/>
        <w:rPr>
          <w:rFonts w:eastAsia="Calibri"/>
          <w:b/>
          <w:bCs/>
          <w:sz w:val="20"/>
          <w:szCs w:val="20"/>
          <w:lang w:val="es-ES"/>
        </w:rPr>
      </w:pPr>
    </w:p>
    <w:p w14:paraId="0585DAF0" w14:textId="77777777" w:rsidR="008F16FC" w:rsidRPr="008F16FC" w:rsidRDefault="008F16FC" w:rsidP="008F16FC">
      <w:pPr>
        <w:jc w:val="both"/>
        <w:rPr>
          <w:rFonts w:eastAsia="Calibri"/>
          <w:sz w:val="20"/>
          <w:szCs w:val="20"/>
          <w:lang w:val="es-MX"/>
        </w:rPr>
      </w:pPr>
      <w:r w:rsidRPr="008F16FC">
        <w:rPr>
          <w:rFonts w:eastAsia="Calibri"/>
          <w:sz w:val="20"/>
          <w:szCs w:val="20"/>
          <w:lang w:val="es-MX"/>
        </w:rPr>
        <w:t>A continuación, se exponen los resultados comparados de los ejercicios cerrados el 30 de junio de 2019 y de 2018, y sus respectivas explicaciones:</w:t>
      </w:r>
    </w:p>
    <w:p w14:paraId="7B2CE19B" w14:textId="77777777" w:rsidR="008F16FC" w:rsidRPr="008F16FC" w:rsidRDefault="008F16FC" w:rsidP="008F16FC">
      <w:pPr>
        <w:jc w:val="both"/>
        <w:rPr>
          <w:rFonts w:eastAsia="Calibri"/>
          <w:sz w:val="20"/>
          <w:szCs w:val="20"/>
          <w:lang w:val="es-MX"/>
        </w:rPr>
      </w:pPr>
    </w:p>
    <w:tbl>
      <w:tblPr>
        <w:tblW w:w="8721" w:type="dxa"/>
        <w:tblInd w:w="55" w:type="dxa"/>
        <w:tblCellMar>
          <w:left w:w="70" w:type="dxa"/>
          <w:right w:w="70" w:type="dxa"/>
        </w:tblCellMar>
        <w:tblLook w:val="04A0" w:firstRow="1" w:lastRow="0" w:firstColumn="1" w:lastColumn="0" w:noHBand="0" w:noVBand="1"/>
      </w:tblPr>
      <w:tblGrid>
        <w:gridCol w:w="4307"/>
        <w:gridCol w:w="1200"/>
        <w:gridCol w:w="1200"/>
        <w:gridCol w:w="940"/>
        <w:gridCol w:w="1074"/>
      </w:tblGrid>
      <w:tr w:rsidR="008F16FC" w:rsidRPr="008F16FC" w14:paraId="7E2D1EE9" w14:textId="77777777" w:rsidTr="00BA304B">
        <w:trPr>
          <w:trHeight w:val="300"/>
        </w:trPr>
        <w:tc>
          <w:tcPr>
            <w:tcW w:w="4307" w:type="dxa"/>
            <w:tcBorders>
              <w:top w:val="nil"/>
              <w:left w:val="nil"/>
              <w:bottom w:val="nil"/>
              <w:right w:val="nil"/>
            </w:tcBorders>
            <w:shd w:val="clear" w:color="auto" w:fill="auto"/>
            <w:noWrap/>
            <w:vAlign w:val="bottom"/>
            <w:hideMark/>
          </w:tcPr>
          <w:p w14:paraId="03D7EEE6" w14:textId="77777777" w:rsidR="008F16FC" w:rsidRPr="008F16FC" w:rsidRDefault="008F16FC" w:rsidP="008F16FC">
            <w:pPr>
              <w:rPr>
                <w:color w:val="000000"/>
                <w:sz w:val="20"/>
                <w:lang w:val="es-MX"/>
              </w:rPr>
            </w:pPr>
          </w:p>
        </w:tc>
        <w:tc>
          <w:tcPr>
            <w:tcW w:w="1200" w:type="dxa"/>
            <w:tcBorders>
              <w:top w:val="nil"/>
              <w:left w:val="nil"/>
              <w:bottom w:val="nil"/>
              <w:right w:val="nil"/>
            </w:tcBorders>
            <w:shd w:val="clear" w:color="auto" w:fill="auto"/>
            <w:noWrap/>
            <w:vAlign w:val="center"/>
            <w:hideMark/>
          </w:tcPr>
          <w:p w14:paraId="0DF49D23" w14:textId="77777777" w:rsidR="008F16FC" w:rsidRPr="008F16FC" w:rsidRDefault="008F16FC" w:rsidP="008F16FC">
            <w:pPr>
              <w:jc w:val="right"/>
              <w:rPr>
                <w:b/>
                <w:bCs/>
                <w:color w:val="000000"/>
                <w:sz w:val="20"/>
                <w:szCs w:val="20"/>
              </w:rPr>
            </w:pPr>
            <w:r w:rsidRPr="008F16FC">
              <w:rPr>
                <w:b/>
                <w:bCs/>
                <w:color w:val="000000"/>
                <w:sz w:val="20"/>
                <w:szCs w:val="20"/>
              </w:rPr>
              <w:t>30/06/2019</w:t>
            </w:r>
          </w:p>
        </w:tc>
        <w:tc>
          <w:tcPr>
            <w:tcW w:w="1200" w:type="dxa"/>
            <w:tcBorders>
              <w:top w:val="nil"/>
              <w:left w:val="nil"/>
              <w:bottom w:val="nil"/>
              <w:right w:val="nil"/>
            </w:tcBorders>
            <w:shd w:val="clear" w:color="auto" w:fill="auto"/>
            <w:noWrap/>
            <w:vAlign w:val="center"/>
            <w:hideMark/>
          </w:tcPr>
          <w:p w14:paraId="7C3D084D" w14:textId="77777777" w:rsidR="008F16FC" w:rsidRPr="008F16FC" w:rsidRDefault="008F16FC" w:rsidP="008F16FC">
            <w:pPr>
              <w:jc w:val="right"/>
              <w:rPr>
                <w:b/>
                <w:bCs/>
                <w:color w:val="000000"/>
                <w:sz w:val="20"/>
                <w:szCs w:val="20"/>
              </w:rPr>
            </w:pPr>
            <w:r w:rsidRPr="008F16FC">
              <w:rPr>
                <w:b/>
                <w:bCs/>
                <w:color w:val="000000"/>
                <w:sz w:val="20"/>
                <w:szCs w:val="20"/>
              </w:rPr>
              <w:t>30/06/2018</w:t>
            </w:r>
          </w:p>
        </w:tc>
        <w:tc>
          <w:tcPr>
            <w:tcW w:w="940" w:type="dxa"/>
            <w:tcBorders>
              <w:top w:val="nil"/>
              <w:left w:val="nil"/>
              <w:bottom w:val="nil"/>
              <w:right w:val="nil"/>
            </w:tcBorders>
            <w:shd w:val="clear" w:color="auto" w:fill="auto"/>
            <w:vAlign w:val="center"/>
            <w:hideMark/>
          </w:tcPr>
          <w:p w14:paraId="4C7461D7" w14:textId="77777777" w:rsidR="008F16FC" w:rsidRPr="008F16FC" w:rsidRDefault="008F16FC" w:rsidP="008F16FC">
            <w:pPr>
              <w:jc w:val="right"/>
              <w:rPr>
                <w:b/>
                <w:bCs/>
                <w:color w:val="000000"/>
                <w:sz w:val="20"/>
                <w:szCs w:val="20"/>
              </w:rPr>
            </w:pPr>
            <w:r w:rsidRPr="008F16FC">
              <w:rPr>
                <w:b/>
                <w:bCs/>
                <w:color w:val="000000"/>
                <w:sz w:val="20"/>
                <w:szCs w:val="20"/>
              </w:rPr>
              <w:t>Absoluta</w:t>
            </w:r>
          </w:p>
        </w:tc>
        <w:tc>
          <w:tcPr>
            <w:tcW w:w="1074" w:type="dxa"/>
            <w:tcBorders>
              <w:top w:val="nil"/>
              <w:left w:val="nil"/>
              <w:bottom w:val="nil"/>
              <w:right w:val="nil"/>
            </w:tcBorders>
            <w:shd w:val="clear" w:color="auto" w:fill="auto"/>
            <w:vAlign w:val="center"/>
            <w:hideMark/>
          </w:tcPr>
          <w:p w14:paraId="27DA564A" w14:textId="77777777" w:rsidR="008F16FC" w:rsidRPr="008F16FC" w:rsidRDefault="008F16FC" w:rsidP="008F16FC">
            <w:pPr>
              <w:jc w:val="right"/>
              <w:rPr>
                <w:b/>
                <w:bCs/>
                <w:color w:val="000000"/>
                <w:sz w:val="20"/>
                <w:szCs w:val="20"/>
              </w:rPr>
            </w:pPr>
            <w:r w:rsidRPr="008F16FC">
              <w:rPr>
                <w:b/>
                <w:bCs/>
                <w:color w:val="000000"/>
                <w:sz w:val="20"/>
                <w:szCs w:val="20"/>
              </w:rPr>
              <w:t>Porcentual</w:t>
            </w:r>
          </w:p>
        </w:tc>
      </w:tr>
      <w:tr w:rsidR="008F16FC" w:rsidRPr="008F16FC" w14:paraId="7AD65F16" w14:textId="77777777" w:rsidTr="00BA304B">
        <w:trPr>
          <w:trHeight w:val="255"/>
        </w:trPr>
        <w:tc>
          <w:tcPr>
            <w:tcW w:w="4307" w:type="dxa"/>
            <w:tcBorders>
              <w:top w:val="nil"/>
              <w:left w:val="nil"/>
              <w:bottom w:val="nil"/>
              <w:right w:val="nil"/>
            </w:tcBorders>
            <w:shd w:val="clear" w:color="auto" w:fill="auto"/>
            <w:noWrap/>
            <w:vAlign w:val="center"/>
            <w:hideMark/>
          </w:tcPr>
          <w:p w14:paraId="2407BC2B" w14:textId="77777777" w:rsidR="008F16FC" w:rsidRPr="008F16FC" w:rsidRDefault="008F16FC" w:rsidP="008F16FC">
            <w:pPr>
              <w:rPr>
                <w:color w:val="000000"/>
                <w:sz w:val="20"/>
                <w:szCs w:val="20"/>
                <w:lang w:val="es-ES"/>
              </w:rPr>
            </w:pPr>
            <w:r w:rsidRPr="008F16FC">
              <w:rPr>
                <w:color w:val="000000"/>
                <w:sz w:val="20"/>
                <w:szCs w:val="20"/>
                <w:lang w:val="es-ES"/>
              </w:rPr>
              <w:t>Ingresos por contratos de construcción</w:t>
            </w:r>
          </w:p>
        </w:tc>
        <w:tc>
          <w:tcPr>
            <w:tcW w:w="1200" w:type="dxa"/>
            <w:tcBorders>
              <w:top w:val="nil"/>
              <w:left w:val="nil"/>
              <w:bottom w:val="nil"/>
              <w:right w:val="nil"/>
            </w:tcBorders>
            <w:shd w:val="clear" w:color="auto" w:fill="auto"/>
            <w:noWrap/>
            <w:vAlign w:val="center"/>
            <w:hideMark/>
          </w:tcPr>
          <w:p w14:paraId="57CA8A46" w14:textId="77777777" w:rsidR="008F16FC" w:rsidRPr="008F16FC" w:rsidRDefault="008F16FC" w:rsidP="008F16FC">
            <w:pPr>
              <w:jc w:val="right"/>
              <w:rPr>
                <w:color w:val="000000"/>
                <w:sz w:val="20"/>
                <w:szCs w:val="20"/>
              </w:rPr>
            </w:pPr>
            <w:r w:rsidRPr="008F16FC">
              <w:rPr>
                <w:color w:val="000000"/>
                <w:sz w:val="20"/>
                <w:szCs w:val="20"/>
              </w:rPr>
              <w:t>7.553.565</w:t>
            </w:r>
          </w:p>
        </w:tc>
        <w:tc>
          <w:tcPr>
            <w:tcW w:w="1200" w:type="dxa"/>
            <w:tcBorders>
              <w:top w:val="nil"/>
              <w:left w:val="nil"/>
              <w:bottom w:val="nil"/>
              <w:right w:val="nil"/>
            </w:tcBorders>
            <w:shd w:val="clear" w:color="auto" w:fill="auto"/>
            <w:noWrap/>
            <w:vAlign w:val="center"/>
            <w:hideMark/>
          </w:tcPr>
          <w:p w14:paraId="1027724E" w14:textId="77777777" w:rsidR="008F16FC" w:rsidRPr="008F16FC" w:rsidRDefault="008F16FC" w:rsidP="008F16FC">
            <w:pPr>
              <w:jc w:val="right"/>
              <w:rPr>
                <w:color w:val="000000"/>
                <w:sz w:val="20"/>
                <w:szCs w:val="20"/>
              </w:rPr>
            </w:pPr>
            <w:r w:rsidRPr="008F16FC">
              <w:rPr>
                <w:color w:val="000000"/>
                <w:sz w:val="20"/>
                <w:szCs w:val="20"/>
              </w:rPr>
              <w:t>6.474.004</w:t>
            </w:r>
          </w:p>
        </w:tc>
        <w:tc>
          <w:tcPr>
            <w:tcW w:w="940" w:type="dxa"/>
            <w:tcBorders>
              <w:top w:val="nil"/>
              <w:left w:val="nil"/>
              <w:bottom w:val="nil"/>
              <w:right w:val="nil"/>
            </w:tcBorders>
            <w:shd w:val="clear" w:color="auto" w:fill="auto"/>
            <w:noWrap/>
            <w:vAlign w:val="center"/>
            <w:hideMark/>
          </w:tcPr>
          <w:p w14:paraId="5458C9C4" w14:textId="77777777" w:rsidR="008F16FC" w:rsidRPr="008F16FC" w:rsidRDefault="008F16FC" w:rsidP="008F16FC">
            <w:pPr>
              <w:jc w:val="right"/>
              <w:rPr>
                <w:color w:val="000000"/>
                <w:sz w:val="20"/>
                <w:szCs w:val="20"/>
              </w:rPr>
            </w:pPr>
            <w:r w:rsidRPr="008F16FC">
              <w:rPr>
                <w:color w:val="000000"/>
                <w:sz w:val="20"/>
                <w:szCs w:val="20"/>
              </w:rPr>
              <w:t>1.079.561</w:t>
            </w:r>
          </w:p>
        </w:tc>
        <w:tc>
          <w:tcPr>
            <w:tcW w:w="1074" w:type="dxa"/>
            <w:tcBorders>
              <w:top w:val="nil"/>
              <w:left w:val="nil"/>
              <w:bottom w:val="nil"/>
              <w:right w:val="nil"/>
            </w:tcBorders>
            <w:shd w:val="clear" w:color="auto" w:fill="auto"/>
            <w:vAlign w:val="center"/>
            <w:hideMark/>
          </w:tcPr>
          <w:p w14:paraId="6D413D37" w14:textId="77777777" w:rsidR="008F16FC" w:rsidRPr="008F16FC" w:rsidRDefault="008F16FC" w:rsidP="008F16FC">
            <w:pPr>
              <w:jc w:val="right"/>
              <w:rPr>
                <w:color w:val="000000"/>
                <w:sz w:val="20"/>
                <w:szCs w:val="20"/>
              </w:rPr>
            </w:pPr>
            <w:r w:rsidRPr="008F16FC">
              <w:rPr>
                <w:color w:val="000000"/>
                <w:sz w:val="20"/>
                <w:szCs w:val="20"/>
              </w:rPr>
              <w:t>17%</w:t>
            </w:r>
          </w:p>
        </w:tc>
      </w:tr>
      <w:tr w:rsidR="008F16FC" w:rsidRPr="008F16FC" w14:paraId="2CD72936" w14:textId="77777777" w:rsidTr="00BA304B">
        <w:trPr>
          <w:trHeight w:val="255"/>
        </w:trPr>
        <w:tc>
          <w:tcPr>
            <w:tcW w:w="4307" w:type="dxa"/>
            <w:tcBorders>
              <w:top w:val="nil"/>
              <w:left w:val="nil"/>
              <w:bottom w:val="nil"/>
              <w:right w:val="nil"/>
            </w:tcBorders>
            <w:shd w:val="clear" w:color="auto" w:fill="auto"/>
            <w:noWrap/>
            <w:vAlign w:val="center"/>
            <w:hideMark/>
          </w:tcPr>
          <w:p w14:paraId="0D0AD5CB" w14:textId="77777777" w:rsidR="008F16FC" w:rsidRPr="008F16FC" w:rsidRDefault="008F16FC" w:rsidP="008F16FC">
            <w:pPr>
              <w:jc w:val="both"/>
              <w:rPr>
                <w:color w:val="000000"/>
                <w:sz w:val="20"/>
                <w:szCs w:val="20"/>
                <w:lang w:val="es-ES"/>
              </w:rPr>
            </w:pPr>
            <w:r w:rsidRPr="008F16FC">
              <w:rPr>
                <w:color w:val="000000"/>
                <w:sz w:val="20"/>
                <w:szCs w:val="20"/>
                <w:lang w:val="es-ES"/>
              </w:rPr>
              <w:t>Costo de ejecución de los contratos</w:t>
            </w:r>
          </w:p>
        </w:tc>
        <w:tc>
          <w:tcPr>
            <w:tcW w:w="1200" w:type="dxa"/>
            <w:tcBorders>
              <w:top w:val="nil"/>
              <w:left w:val="nil"/>
              <w:bottom w:val="nil"/>
              <w:right w:val="nil"/>
            </w:tcBorders>
            <w:shd w:val="clear" w:color="auto" w:fill="auto"/>
            <w:noWrap/>
            <w:vAlign w:val="center"/>
            <w:hideMark/>
          </w:tcPr>
          <w:p w14:paraId="73B87787" w14:textId="77777777" w:rsidR="008F16FC" w:rsidRPr="008F16FC" w:rsidRDefault="008F16FC" w:rsidP="008F16FC">
            <w:pPr>
              <w:jc w:val="right"/>
              <w:rPr>
                <w:color w:val="000000"/>
                <w:sz w:val="20"/>
                <w:szCs w:val="20"/>
              </w:rPr>
            </w:pPr>
            <w:r w:rsidRPr="008F16FC">
              <w:rPr>
                <w:color w:val="000000"/>
                <w:sz w:val="20"/>
                <w:szCs w:val="20"/>
              </w:rPr>
              <w:t>-5.654.938</w:t>
            </w:r>
          </w:p>
        </w:tc>
        <w:tc>
          <w:tcPr>
            <w:tcW w:w="1200" w:type="dxa"/>
            <w:tcBorders>
              <w:top w:val="nil"/>
              <w:left w:val="nil"/>
              <w:bottom w:val="nil"/>
              <w:right w:val="nil"/>
            </w:tcBorders>
            <w:shd w:val="clear" w:color="auto" w:fill="auto"/>
            <w:noWrap/>
            <w:vAlign w:val="center"/>
            <w:hideMark/>
          </w:tcPr>
          <w:p w14:paraId="06CE6B62" w14:textId="77777777" w:rsidR="008F16FC" w:rsidRPr="008F16FC" w:rsidRDefault="008F16FC" w:rsidP="008F16FC">
            <w:pPr>
              <w:jc w:val="right"/>
              <w:rPr>
                <w:color w:val="000000"/>
                <w:sz w:val="20"/>
                <w:szCs w:val="20"/>
              </w:rPr>
            </w:pPr>
            <w:r w:rsidRPr="008F16FC">
              <w:rPr>
                <w:color w:val="000000"/>
                <w:sz w:val="20"/>
                <w:szCs w:val="20"/>
              </w:rPr>
              <w:t>-5.585.442</w:t>
            </w:r>
          </w:p>
        </w:tc>
        <w:tc>
          <w:tcPr>
            <w:tcW w:w="940" w:type="dxa"/>
            <w:tcBorders>
              <w:top w:val="nil"/>
              <w:left w:val="nil"/>
              <w:bottom w:val="nil"/>
              <w:right w:val="nil"/>
            </w:tcBorders>
            <w:shd w:val="clear" w:color="auto" w:fill="auto"/>
            <w:noWrap/>
            <w:vAlign w:val="center"/>
            <w:hideMark/>
          </w:tcPr>
          <w:p w14:paraId="37FA5376" w14:textId="77777777" w:rsidR="008F16FC" w:rsidRPr="008F16FC" w:rsidRDefault="008F16FC" w:rsidP="008F16FC">
            <w:pPr>
              <w:jc w:val="right"/>
              <w:rPr>
                <w:color w:val="000000"/>
                <w:sz w:val="20"/>
                <w:szCs w:val="20"/>
              </w:rPr>
            </w:pPr>
            <w:r w:rsidRPr="008F16FC">
              <w:rPr>
                <w:color w:val="000000"/>
                <w:sz w:val="20"/>
                <w:szCs w:val="20"/>
              </w:rPr>
              <w:t>-69.496</w:t>
            </w:r>
          </w:p>
        </w:tc>
        <w:tc>
          <w:tcPr>
            <w:tcW w:w="1074" w:type="dxa"/>
            <w:tcBorders>
              <w:top w:val="nil"/>
              <w:left w:val="nil"/>
              <w:bottom w:val="nil"/>
              <w:right w:val="nil"/>
            </w:tcBorders>
            <w:shd w:val="clear" w:color="auto" w:fill="auto"/>
            <w:vAlign w:val="center"/>
            <w:hideMark/>
          </w:tcPr>
          <w:p w14:paraId="1960ACF0" w14:textId="77777777" w:rsidR="008F16FC" w:rsidRPr="008F16FC" w:rsidRDefault="008F16FC" w:rsidP="008F16FC">
            <w:pPr>
              <w:jc w:val="right"/>
              <w:rPr>
                <w:color w:val="000000"/>
                <w:sz w:val="20"/>
                <w:szCs w:val="20"/>
              </w:rPr>
            </w:pPr>
            <w:r w:rsidRPr="008F16FC">
              <w:rPr>
                <w:color w:val="000000"/>
                <w:sz w:val="20"/>
                <w:szCs w:val="20"/>
              </w:rPr>
              <w:t>1%</w:t>
            </w:r>
          </w:p>
        </w:tc>
      </w:tr>
      <w:tr w:rsidR="00AE6F90" w:rsidRPr="008F16FC" w14:paraId="43537419" w14:textId="77777777" w:rsidTr="008F16FC">
        <w:trPr>
          <w:trHeight w:val="255"/>
        </w:trPr>
        <w:tc>
          <w:tcPr>
            <w:tcW w:w="4307" w:type="dxa"/>
            <w:tcBorders>
              <w:top w:val="nil"/>
              <w:left w:val="nil"/>
              <w:bottom w:val="nil"/>
              <w:right w:val="nil"/>
            </w:tcBorders>
            <w:shd w:val="clear" w:color="000000" w:fill="D9D9D9"/>
            <w:noWrap/>
            <w:vAlign w:val="center"/>
            <w:hideMark/>
          </w:tcPr>
          <w:p w14:paraId="5554D508" w14:textId="77777777" w:rsidR="008F16FC" w:rsidRPr="008F16FC" w:rsidRDefault="008F16FC" w:rsidP="008F16FC">
            <w:pPr>
              <w:rPr>
                <w:b/>
                <w:bCs/>
                <w:color w:val="000000"/>
                <w:sz w:val="20"/>
                <w:szCs w:val="20"/>
              </w:rPr>
            </w:pPr>
            <w:r w:rsidRPr="008F16FC">
              <w:rPr>
                <w:b/>
                <w:bCs/>
                <w:color w:val="000000"/>
                <w:sz w:val="20"/>
                <w:szCs w:val="20"/>
              </w:rPr>
              <w:t>Ganancia Bruta</w:t>
            </w:r>
          </w:p>
        </w:tc>
        <w:tc>
          <w:tcPr>
            <w:tcW w:w="1200" w:type="dxa"/>
            <w:tcBorders>
              <w:top w:val="nil"/>
              <w:left w:val="nil"/>
              <w:bottom w:val="nil"/>
              <w:right w:val="nil"/>
            </w:tcBorders>
            <w:shd w:val="clear" w:color="000000" w:fill="D9D9D9"/>
            <w:noWrap/>
            <w:vAlign w:val="center"/>
            <w:hideMark/>
          </w:tcPr>
          <w:p w14:paraId="327D7AA2" w14:textId="77777777" w:rsidR="008F16FC" w:rsidRPr="008F16FC" w:rsidRDefault="008F16FC" w:rsidP="008F16FC">
            <w:pPr>
              <w:jc w:val="right"/>
              <w:rPr>
                <w:b/>
                <w:bCs/>
                <w:color w:val="000000"/>
                <w:sz w:val="20"/>
                <w:szCs w:val="20"/>
              </w:rPr>
            </w:pPr>
            <w:r w:rsidRPr="008F16FC">
              <w:rPr>
                <w:b/>
                <w:bCs/>
                <w:color w:val="000000"/>
                <w:sz w:val="20"/>
                <w:szCs w:val="20"/>
              </w:rPr>
              <w:t>1.898.628</w:t>
            </w:r>
          </w:p>
        </w:tc>
        <w:tc>
          <w:tcPr>
            <w:tcW w:w="1200" w:type="dxa"/>
            <w:tcBorders>
              <w:top w:val="nil"/>
              <w:left w:val="nil"/>
              <w:bottom w:val="nil"/>
              <w:right w:val="nil"/>
            </w:tcBorders>
            <w:shd w:val="clear" w:color="000000" w:fill="D9D9D9"/>
            <w:noWrap/>
            <w:vAlign w:val="center"/>
            <w:hideMark/>
          </w:tcPr>
          <w:p w14:paraId="12D673D1" w14:textId="77777777" w:rsidR="008F16FC" w:rsidRPr="008F16FC" w:rsidRDefault="008F16FC" w:rsidP="008F16FC">
            <w:pPr>
              <w:jc w:val="right"/>
              <w:rPr>
                <w:b/>
                <w:bCs/>
                <w:color w:val="000000"/>
                <w:sz w:val="20"/>
                <w:szCs w:val="20"/>
              </w:rPr>
            </w:pPr>
            <w:r w:rsidRPr="008F16FC">
              <w:rPr>
                <w:b/>
                <w:bCs/>
                <w:color w:val="000000"/>
                <w:sz w:val="20"/>
                <w:szCs w:val="20"/>
              </w:rPr>
              <w:t>888.562</w:t>
            </w:r>
          </w:p>
        </w:tc>
        <w:tc>
          <w:tcPr>
            <w:tcW w:w="940" w:type="dxa"/>
            <w:tcBorders>
              <w:top w:val="nil"/>
              <w:left w:val="nil"/>
              <w:bottom w:val="nil"/>
              <w:right w:val="nil"/>
            </w:tcBorders>
            <w:shd w:val="clear" w:color="000000" w:fill="D9D9D9"/>
            <w:noWrap/>
            <w:vAlign w:val="center"/>
            <w:hideMark/>
          </w:tcPr>
          <w:p w14:paraId="4825E008" w14:textId="77777777" w:rsidR="008F16FC" w:rsidRPr="008F16FC" w:rsidRDefault="008F16FC" w:rsidP="008F16FC">
            <w:pPr>
              <w:jc w:val="right"/>
              <w:rPr>
                <w:b/>
                <w:bCs/>
                <w:color w:val="000000"/>
                <w:sz w:val="20"/>
                <w:szCs w:val="20"/>
              </w:rPr>
            </w:pPr>
            <w:r w:rsidRPr="008F16FC">
              <w:rPr>
                <w:b/>
                <w:bCs/>
                <w:color w:val="000000"/>
                <w:sz w:val="20"/>
                <w:szCs w:val="20"/>
              </w:rPr>
              <w:t>1.010.066</w:t>
            </w:r>
          </w:p>
        </w:tc>
        <w:tc>
          <w:tcPr>
            <w:tcW w:w="1074" w:type="dxa"/>
            <w:tcBorders>
              <w:top w:val="nil"/>
              <w:left w:val="nil"/>
              <w:bottom w:val="nil"/>
              <w:right w:val="nil"/>
            </w:tcBorders>
            <w:shd w:val="clear" w:color="000000" w:fill="D9D9D9"/>
            <w:vAlign w:val="center"/>
            <w:hideMark/>
          </w:tcPr>
          <w:p w14:paraId="70107B34" w14:textId="77777777" w:rsidR="008F16FC" w:rsidRPr="008F16FC" w:rsidRDefault="008F16FC" w:rsidP="008F16FC">
            <w:pPr>
              <w:jc w:val="right"/>
              <w:rPr>
                <w:b/>
                <w:bCs/>
                <w:color w:val="000000"/>
                <w:sz w:val="20"/>
                <w:szCs w:val="20"/>
              </w:rPr>
            </w:pPr>
            <w:r w:rsidRPr="008F16FC">
              <w:rPr>
                <w:b/>
                <w:bCs/>
                <w:color w:val="000000"/>
                <w:sz w:val="20"/>
                <w:szCs w:val="20"/>
              </w:rPr>
              <w:t>114%</w:t>
            </w:r>
          </w:p>
        </w:tc>
      </w:tr>
      <w:tr w:rsidR="008F16FC" w:rsidRPr="008F16FC" w14:paraId="676EB56F" w14:textId="77777777" w:rsidTr="00BA304B">
        <w:trPr>
          <w:trHeight w:val="300"/>
        </w:trPr>
        <w:tc>
          <w:tcPr>
            <w:tcW w:w="4307" w:type="dxa"/>
            <w:tcBorders>
              <w:top w:val="nil"/>
              <w:left w:val="nil"/>
              <w:bottom w:val="nil"/>
              <w:right w:val="nil"/>
            </w:tcBorders>
            <w:shd w:val="clear" w:color="auto" w:fill="auto"/>
            <w:noWrap/>
            <w:vAlign w:val="bottom"/>
            <w:hideMark/>
          </w:tcPr>
          <w:p w14:paraId="7399C6CF" w14:textId="77777777" w:rsidR="008F16FC" w:rsidRPr="008F16FC" w:rsidRDefault="008F16FC" w:rsidP="008F16FC">
            <w:pPr>
              <w:rPr>
                <w:color w:val="000000"/>
                <w:sz w:val="20"/>
                <w:szCs w:val="20"/>
              </w:rPr>
            </w:pPr>
          </w:p>
        </w:tc>
        <w:tc>
          <w:tcPr>
            <w:tcW w:w="1200" w:type="dxa"/>
            <w:tcBorders>
              <w:top w:val="nil"/>
              <w:left w:val="nil"/>
              <w:bottom w:val="nil"/>
              <w:right w:val="nil"/>
            </w:tcBorders>
            <w:shd w:val="clear" w:color="auto" w:fill="auto"/>
            <w:noWrap/>
            <w:vAlign w:val="bottom"/>
            <w:hideMark/>
          </w:tcPr>
          <w:p w14:paraId="6D6CEA55" w14:textId="77777777" w:rsidR="008F16FC" w:rsidRPr="008F16FC" w:rsidRDefault="008F16FC" w:rsidP="008F16FC">
            <w:pPr>
              <w:rPr>
                <w:color w:val="000000"/>
                <w:sz w:val="20"/>
                <w:szCs w:val="20"/>
              </w:rPr>
            </w:pPr>
          </w:p>
        </w:tc>
        <w:tc>
          <w:tcPr>
            <w:tcW w:w="1200" w:type="dxa"/>
            <w:tcBorders>
              <w:top w:val="nil"/>
              <w:left w:val="nil"/>
              <w:bottom w:val="nil"/>
              <w:right w:val="nil"/>
            </w:tcBorders>
            <w:shd w:val="clear" w:color="auto" w:fill="auto"/>
            <w:noWrap/>
            <w:vAlign w:val="bottom"/>
            <w:hideMark/>
          </w:tcPr>
          <w:p w14:paraId="0666B7E4" w14:textId="77777777" w:rsidR="008F16FC" w:rsidRPr="008F16FC" w:rsidRDefault="008F16FC" w:rsidP="008F16FC">
            <w:pPr>
              <w:rPr>
                <w:color w:val="000000"/>
                <w:sz w:val="20"/>
                <w:szCs w:val="20"/>
              </w:rPr>
            </w:pPr>
          </w:p>
        </w:tc>
        <w:tc>
          <w:tcPr>
            <w:tcW w:w="940" w:type="dxa"/>
            <w:tcBorders>
              <w:top w:val="nil"/>
              <w:left w:val="nil"/>
              <w:bottom w:val="nil"/>
              <w:right w:val="nil"/>
            </w:tcBorders>
            <w:shd w:val="clear" w:color="auto" w:fill="auto"/>
            <w:noWrap/>
            <w:vAlign w:val="bottom"/>
            <w:hideMark/>
          </w:tcPr>
          <w:p w14:paraId="2DA966CB" w14:textId="77777777" w:rsidR="008F16FC" w:rsidRPr="008F16FC" w:rsidRDefault="008F16FC" w:rsidP="008F16FC">
            <w:pPr>
              <w:rPr>
                <w:color w:val="000000"/>
                <w:sz w:val="20"/>
                <w:szCs w:val="20"/>
              </w:rPr>
            </w:pPr>
          </w:p>
        </w:tc>
        <w:tc>
          <w:tcPr>
            <w:tcW w:w="1074" w:type="dxa"/>
            <w:tcBorders>
              <w:top w:val="nil"/>
              <w:left w:val="nil"/>
              <w:bottom w:val="nil"/>
              <w:right w:val="nil"/>
            </w:tcBorders>
            <w:shd w:val="clear" w:color="auto" w:fill="auto"/>
            <w:vAlign w:val="center"/>
            <w:hideMark/>
          </w:tcPr>
          <w:p w14:paraId="56D93FBA" w14:textId="77777777" w:rsidR="008F16FC" w:rsidRPr="008F16FC" w:rsidRDefault="008F16FC" w:rsidP="008F16FC">
            <w:pPr>
              <w:rPr>
                <w:color w:val="000000"/>
                <w:sz w:val="20"/>
                <w:szCs w:val="20"/>
              </w:rPr>
            </w:pPr>
          </w:p>
        </w:tc>
      </w:tr>
      <w:tr w:rsidR="008F16FC" w:rsidRPr="008F16FC" w14:paraId="28555217" w14:textId="77777777" w:rsidTr="00BA304B">
        <w:trPr>
          <w:trHeight w:val="255"/>
        </w:trPr>
        <w:tc>
          <w:tcPr>
            <w:tcW w:w="4307" w:type="dxa"/>
            <w:tcBorders>
              <w:top w:val="nil"/>
              <w:left w:val="nil"/>
              <w:bottom w:val="nil"/>
              <w:right w:val="nil"/>
            </w:tcBorders>
            <w:shd w:val="clear" w:color="auto" w:fill="auto"/>
            <w:noWrap/>
            <w:vAlign w:val="center"/>
            <w:hideMark/>
          </w:tcPr>
          <w:p w14:paraId="1D334EA0" w14:textId="77777777" w:rsidR="008F16FC" w:rsidRPr="008F16FC" w:rsidRDefault="008F16FC" w:rsidP="008F16FC">
            <w:pPr>
              <w:rPr>
                <w:color w:val="000000"/>
                <w:sz w:val="20"/>
                <w:szCs w:val="20"/>
              </w:rPr>
            </w:pPr>
            <w:r w:rsidRPr="008F16FC">
              <w:rPr>
                <w:color w:val="000000"/>
                <w:sz w:val="20"/>
                <w:szCs w:val="20"/>
              </w:rPr>
              <w:t>Gastos de administración</w:t>
            </w:r>
          </w:p>
        </w:tc>
        <w:tc>
          <w:tcPr>
            <w:tcW w:w="1200" w:type="dxa"/>
            <w:tcBorders>
              <w:top w:val="nil"/>
              <w:left w:val="nil"/>
              <w:bottom w:val="nil"/>
              <w:right w:val="nil"/>
            </w:tcBorders>
            <w:shd w:val="clear" w:color="auto" w:fill="auto"/>
            <w:noWrap/>
            <w:vAlign w:val="center"/>
            <w:hideMark/>
          </w:tcPr>
          <w:p w14:paraId="545C07CC" w14:textId="77777777" w:rsidR="008F16FC" w:rsidRPr="008F16FC" w:rsidRDefault="008F16FC" w:rsidP="008F16FC">
            <w:pPr>
              <w:jc w:val="right"/>
              <w:rPr>
                <w:color w:val="000000"/>
                <w:sz w:val="20"/>
                <w:szCs w:val="20"/>
              </w:rPr>
            </w:pPr>
            <w:r w:rsidRPr="008F16FC">
              <w:rPr>
                <w:color w:val="000000"/>
                <w:sz w:val="20"/>
                <w:szCs w:val="20"/>
              </w:rPr>
              <w:t>-605.189</w:t>
            </w:r>
          </w:p>
        </w:tc>
        <w:tc>
          <w:tcPr>
            <w:tcW w:w="1200" w:type="dxa"/>
            <w:tcBorders>
              <w:top w:val="nil"/>
              <w:left w:val="nil"/>
              <w:bottom w:val="nil"/>
              <w:right w:val="nil"/>
            </w:tcBorders>
            <w:shd w:val="clear" w:color="auto" w:fill="auto"/>
            <w:noWrap/>
            <w:vAlign w:val="center"/>
            <w:hideMark/>
          </w:tcPr>
          <w:p w14:paraId="69A3F55F" w14:textId="77777777" w:rsidR="008F16FC" w:rsidRPr="008F16FC" w:rsidRDefault="008F16FC" w:rsidP="008F16FC">
            <w:pPr>
              <w:jc w:val="right"/>
              <w:rPr>
                <w:color w:val="000000"/>
                <w:sz w:val="20"/>
                <w:szCs w:val="20"/>
              </w:rPr>
            </w:pPr>
            <w:r w:rsidRPr="008F16FC">
              <w:rPr>
                <w:color w:val="000000"/>
                <w:sz w:val="20"/>
                <w:szCs w:val="20"/>
              </w:rPr>
              <w:t>-441.324</w:t>
            </w:r>
          </w:p>
        </w:tc>
        <w:tc>
          <w:tcPr>
            <w:tcW w:w="940" w:type="dxa"/>
            <w:tcBorders>
              <w:top w:val="nil"/>
              <w:left w:val="nil"/>
              <w:bottom w:val="nil"/>
              <w:right w:val="nil"/>
            </w:tcBorders>
            <w:shd w:val="clear" w:color="auto" w:fill="auto"/>
            <w:noWrap/>
            <w:vAlign w:val="center"/>
            <w:hideMark/>
          </w:tcPr>
          <w:p w14:paraId="52093CAA" w14:textId="77777777" w:rsidR="008F16FC" w:rsidRPr="008F16FC" w:rsidRDefault="008F16FC" w:rsidP="008F16FC">
            <w:pPr>
              <w:jc w:val="right"/>
              <w:rPr>
                <w:color w:val="000000"/>
                <w:sz w:val="20"/>
                <w:szCs w:val="20"/>
              </w:rPr>
            </w:pPr>
            <w:r w:rsidRPr="008F16FC">
              <w:rPr>
                <w:color w:val="000000"/>
                <w:sz w:val="20"/>
                <w:szCs w:val="20"/>
              </w:rPr>
              <w:t>-163.865</w:t>
            </w:r>
          </w:p>
        </w:tc>
        <w:tc>
          <w:tcPr>
            <w:tcW w:w="1074" w:type="dxa"/>
            <w:tcBorders>
              <w:top w:val="nil"/>
              <w:left w:val="nil"/>
              <w:bottom w:val="nil"/>
              <w:right w:val="nil"/>
            </w:tcBorders>
            <w:shd w:val="clear" w:color="auto" w:fill="auto"/>
            <w:vAlign w:val="center"/>
            <w:hideMark/>
          </w:tcPr>
          <w:p w14:paraId="476928F6" w14:textId="77777777" w:rsidR="008F16FC" w:rsidRPr="008F16FC" w:rsidRDefault="008F16FC" w:rsidP="008F16FC">
            <w:pPr>
              <w:jc w:val="right"/>
              <w:rPr>
                <w:color w:val="000000"/>
                <w:sz w:val="20"/>
                <w:szCs w:val="20"/>
              </w:rPr>
            </w:pPr>
            <w:r w:rsidRPr="008F16FC">
              <w:rPr>
                <w:color w:val="000000"/>
                <w:sz w:val="20"/>
                <w:szCs w:val="20"/>
              </w:rPr>
              <w:t>37%</w:t>
            </w:r>
          </w:p>
        </w:tc>
      </w:tr>
      <w:tr w:rsidR="008F16FC" w:rsidRPr="008F16FC" w14:paraId="1DC3BB8D" w14:textId="77777777" w:rsidTr="00BA304B">
        <w:trPr>
          <w:trHeight w:val="255"/>
        </w:trPr>
        <w:tc>
          <w:tcPr>
            <w:tcW w:w="4307" w:type="dxa"/>
            <w:tcBorders>
              <w:top w:val="nil"/>
              <w:left w:val="nil"/>
              <w:bottom w:val="nil"/>
              <w:right w:val="nil"/>
            </w:tcBorders>
            <w:shd w:val="clear" w:color="auto" w:fill="auto"/>
            <w:noWrap/>
            <w:vAlign w:val="center"/>
            <w:hideMark/>
          </w:tcPr>
          <w:p w14:paraId="6C3B0555" w14:textId="77777777" w:rsidR="008F16FC" w:rsidRPr="008F16FC" w:rsidRDefault="008F16FC" w:rsidP="008F16FC">
            <w:pPr>
              <w:rPr>
                <w:color w:val="000000"/>
                <w:sz w:val="20"/>
                <w:szCs w:val="20"/>
              </w:rPr>
            </w:pPr>
            <w:r w:rsidRPr="008F16FC">
              <w:rPr>
                <w:color w:val="000000"/>
                <w:sz w:val="20"/>
                <w:szCs w:val="20"/>
              </w:rPr>
              <w:t>Gastos de comercialización</w:t>
            </w:r>
          </w:p>
        </w:tc>
        <w:tc>
          <w:tcPr>
            <w:tcW w:w="1200" w:type="dxa"/>
            <w:tcBorders>
              <w:top w:val="nil"/>
              <w:left w:val="nil"/>
              <w:bottom w:val="nil"/>
              <w:right w:val="nil"/>
            </w:tcBorders>
            <w:shd w:val="clear" w:color="auto" w:fill="auto"/>
            <w:noWrap/>
            <w:vAlign w:val="center"/>
            <w:hideMark/>
          </w:tcPr>
          <w:p w14:paraId="2F488AF0" w14:textId="77777777" w:rsidR="008F16FC" w:rsidRPr="008F16FC" w:rsidRDefault="008F16FC" w:rsidP="008F16FC">
            <w:pPr>
              <w:jc w:val="right"/>
              <w:rPr>
                <w:color w:val="000000"/>
                <w:sz w:val="20"/>
                <w:szCs w:val="20"/>
              </w:rPr>
            </w:pPr>
            <w:r w:rsidRPr="008F16FC">
              <w:rPr>
                <w:color w:val="000000"/>
                <w:sz w:val="20"/>
                <w:szCs w:val="20"/>
              </w:rPr>
              <w:t>-138.688</w:t>
            </w:r>
          </w:p>
        </w:tc>
        <w:tc>
          <w:tcPr>
            <w:tcW w:w="1200" w:type="dxa"/>
            <w:tcBorders>
              <w:top w:val="nil"/>
              <w:left w:val="nil"/>
              <w:bottom w:val="nil"/>
              <w:right w:val="nil"/>
            </w:tcBorders>
            <w:shd w:val="clear" w:color="auto" w:fill="auto"/>
            <w:noWrap/>
            <w:vAlign w:val="center"/>
            <w:hideMark/>
          </w:tcPr>
          <w:p w14:paraId="0D06D2D0" w14:textId="77777777" w:rsidR="008F16FC" w:rsidRPr="008F16FC" w:rsidRDefault="008F16FC" w:rsidP="008F16FC">
            <w:pPr>
              <w:jc w:val="right"/>
              <w:rPr>
                <w:color w:val="000000"/>
                <w:sz w:val="20"/>
                <w:szCs w:val="20"/>
              </w:rPr>
            </w:pPr>
            <w:r w:rsidRPr="008F16FC">
              <w:rPr>
                <w:color w:val="000000"/>
                <w:sz w:val="20"/>
                <w:szCs w:val="20"/>
              </w:rPr>
              <w:t>-151.546</w:t>
            </w:r>
          </w:p>
        </w:tc>
        <w:tc>
          <w:tcPr>
            <w:tcW w:w="940" w:type="dxa"/>
            <w:tcBorders>
              <w:top w:val="nil"/>
              <w:left w:val="nil"/>
              <w:bottom w:val="nil"/>
              <w:right w:val="nil"/>
            </w:tcBorders>
            <w:shd w:val="clear" w:color="auto" w:fill="auto"/>
            <w:noWrap/>
            <w:vAlign w:val="center"/>
            <w:hideMark/>
          </w:tcPr>
          <w:p w14:paraId="59D21CD3" w14:textId="77777777" w:rsidR="008F16FC" w:rsidRPr="008F16FC" w:rsidRDefault="008F16FC" w:rsidP="008F16FC">
            <w:pPr>
              <w:jc w:val="right"/>
              <w:rPr>
                <w:color w:val="000000"/>
                <w:sz w:val="20"/>
                <w:szCs w:val="20"/>
              </w:rPr>
            </w:pPr>
            <w:r w:rsidRPr="008F16FC">
              <w:rPr>
                <w:color w:val="000000"/>
                <w:sz w:val="20"/>
                <w:szCs w:val="20"/>
              </w:rPr>
              <w:t>12.858</w:t>
            </w:r>
          </w:p>
        </w:tc>
        <w:tc>
          <w:tcPr>
            <w:tcW w:w="1074" w:type="dxa"/>
            <w:tcBorders>
              <w:top w:val="nil"/>
              <w:left w:val="nil"/>
              <w:bottom w:val="nil"/>
              <w:right w:val="nil"/>
            </w:tcBorders>
            <w:shd w:val="clear" w:color="auto" w:fill="auto"/>
            <w:vAlign w:val="center"/>
            <w:hideMark/>
          </w:tcPr>
          <w:p w14:paraId="6CA8AB62" w14:textId="77777777" w:rsidR="008F16FC" w:rsidRPr="008F16FC" w:rsidRDefault="008F16FC" w:rsidP="008F16FC">
            <w:pPr>
              <w:jc w:val="right"/>
              <w:rPr>
                <w:color w:val="000000"/>
                <w:sz w:val="20"/>
                <w:szCs w:val="20"/>
              </w:rPr>
            </w:pPr>
            <w:r w:rsidRPr="008F16FC">
              <w:rPr>
                <w:color w:val="000000"/>
                <w:sz w:val="20"/>
                <w:szCs w:val="20"/>
              </w:rPr>
              <w:t>-8%</w:t>
            </w:r>
          </w:p>
        </w:tc>
      </w:tr>
      <w:tr w:rsidR="008F16FC" w:rsidRPr="008F16FC" w14:paraId="4C8FD8E3" w14:textId="77777777" w:rsidTr="00BA304B">
        <w:trPr>
          <w:trHeight w:val="255"/>
        </w:trPr>
        <w:tc>
          <w:tcPr>
            <w:tcW w:w="4307" w:type="dxa"/>
            <w:tcBorders>
              <w:top w:val="nil"/>
              <w:left w:val="nil"/>
              <w:bottom w:val="nil"/>
              <w:right w:val="nil"/>
            </w:tcBorders>
            <w:shd w:val="clear" w:color="auto" w:fill="auto"/>
            <w:noWrap/>
            <w:vAlign w:val="center"/>
            <w:hideMark/>
          </w:tcPr>
          <w:p w14:paraId="78FEC7E4" w14:textId="77777777" w:rsidR="008F16FC" w:rsidRPr="008F16FC" w:rsidRDefault="008F16FC" w:rsidP="008F16FC">
            <w:pPr>
              <w:rPr>
                <w:color w:val="000000"/>
                <w:sz w:val="20"/>
                <w:szCs w:val="20"/>
              </w:rPr>
            </w:pPr>
            <w:r w:rsidRPr="008F16FC">
              <w:rPr>
                <w:color w:val="000000"/>
                <w:sz w:val="20"/>
                <w:szCs w:val="20"/>
              </w:rPr>
              <w:t>Otros ingresos</w:t>
            </w:r>
          </w:p>
        </w:tc>
        <w:tc>
          <w:tcPr>
            <w:tcW w:w="1200" w:type="dxa"/>
            <w:tcBorders>
              <w:top w:val="nil"/>
              <w:left w:val="nil"/>
              <w:bottom w:val="nil"/>
              <w:right w:val="nil"/>
            </w:tcBorders>
            <w:shd w:val="clear" w:color="auto" w:fill="auto"/>
            <w:noWrap/>
            <w:vAlign w:val="center"/>
            <w:hideMark/>
          </w:tcPr>
          <w:p w14:paraId="61477475" w14:textId="77777777" w:rsidR="008F16FC" w:rsidRPr="008F16FC" w:rsidRDefault="008F16FC" w:rsidP="008F16FC">
            <w:pPr>
              <w:jc w:val="right"/>
              <w:rPr>
                <w:color w:val="000000"/>
                <w:sz w:val="20"/>
                <w:szCs w:val="20"/>
              </w:rPr>
            </w:pPr>
            <w:r w:rsidRPr="008F16FC">
              <w:rPr>
                <w:color w:val="000000"/>
                <w:sz w:val="20"/>
                <w:szCs w:val="20"/>
              </w:rPr>
              <w:t>27.977</w:t>
            </w:r>
          </w:p>
        </w:tc>
        <w:tc>
          <w:tcPr>
            <w:tcW w:w="1200" w:type="dxa"/>
            <w:tcBorders>
              <w:top w:val="nil"/>
              <w:left w:val="nil"/>
              <w:bottom w:val="nil"/>
              <w:right w:val="nil"/>
            </w:tcBorders>
            <w:shd w:val="clear" w:color="auto" w:fill="auto"/>
            <w:noWrap/>
            <w:vAlign w:val="center"/>
            <w:hideMark/>
          </w:tcPr>
          <w:p w14:paraId="0D4B8572" w14:textId="77777777" w:rsidR="008F16FC" w:rsidRPr="008F16FC" w:rsidRDefault="008F16FC" w:rsidP="008F16FC">
            <w:pPr>
              <w:jc w:val="right"/>
              <w:rPr>
                <w:color w:val="000000"/>
                <w:sz w:val="20"/>
                <w:szCs w:val="20"/>
              </w:rPr>
            </w:pPr>
            <w:r w:rsidRPr="008F16FC">
              <w:rPr>
                <w:color w:val="000000"/>
                <w:sz w:val="20"/>
                <w:szCs w:val="20"/>
              </w:rPr>
              <w:t>24.918</w:t>
            </w:r>
          </w:p>
        </w:tc>
        <w:tc>
          <w:tcPr>
            <w:tcW w:w="940" w:type="dxa"/>
            <w:tcBorders>
              <w:top w:val="nil"/>
              <w:left w:val="nil"/>
              <w:bottom w:val="nil"/>
              <w:right w:val="nil"/>
            </w:tcBorders>
            <w:shd w:val="clear" w:color="auto" w:fill="auto"/>
            <w:noWrap/>
            <w:vAlign w:val="center"/>
            <w:hideMark/>
          </w:tcPr>
          <w:p w14:paraId="254B3132" w14:textId="77777777" w:rsidR="008F16FC" w:rsidRPr="008F16FC" w:rsidRDefault="008F16FC" w:rsidP="008F16FC">
            <w:pPr>
              <w:jc w:val="right"/>
              <w:rPr>
                <w:color w:val="000000"/>
                <w:sz w:val="20"/>
                <w:szCs w:val="20"/>
              </w:rPr>
            </w:pPr>
            <w:r w:rsidRPr="008F16FC">
              <w:rPr>
                <w:color w:val="000000"/>
                <w:sz w:val="20"/>
                <w:szCs w:val="20"/>
              </w:rPr>
              <w:t>3.059</w:t>
            </w:r>
          </w:p>
        </w:tc>
        <w:tc>
          <w:tcPr>
            <w:tcW w:w="1074" w:type="dxa"/>
            <w:tcBorders>
              <w:top w:val="nil"/>
              <w:left w:val="nil"/>
              <w:bottom w:val="nil"/>
              <w:right w:val="nil"/>
            </w:tcBorders>
            <w:shd w:val="clear" w:color="auto" w:fill="auto"/>
            <w:vAlign w:val="center"/>
            <w:hideMark/>
          </w:tcPr>
          <w:p w14:paraId="50AB0947" w14:textId="77777777" w:rsidR="008F16FC" w:rsidRPr="008F16FC" w:rsidRDefault="008F16FC" w:rsidP="008F16FC">
            <w:pPr>
              <w:jc w:val="right"/>
              <w:rPr>
                <w:color w:val="000000"/>
                <w:sz w:val="20"/>
                <w:szCs w:val="20"/>
              </w:rPr>
            </w:pPr>
            <w:r w:rsidRPr="008F16FC">
              <w:rPr>
                <w:color w:val="000000"/>
                <w:sz w:val="20"/>
                <w:szCs w:val="20"/>
              </w:rPr>
              <w:t>12%</w:t>
            </w:r>
          </w:p>
        </w:tc>
      </w:tr>
      <w:tr w:rsidR="008F16FC" w:rsidRPr="008F16FC" w14:paraId="753D9803" w14:textId="77777777" w:rsidTr="00BA304B">
        <w:trPr>
          <w:trHeight w:val="255"/>
        </w:trPr>
        <w:tc>
          <w:tcPr>
            <w:tcW w:w="4307" w:type="dxa"/>
            <w:tcBorders>
              <w:top w:val="nil"/>
              <w:left w:val="nil"/>
              <w:bottom w:val="nil"/>
              <w:right w:val="nil"/>
            </w:tcBorders>
            <w:shd w:val="clear" w:color="auto" w:fill="auto"/>
            <w:noWrap/>
            <w:vAlign w:val="center"/>
            <w:hideMark/>
          </w:tcPr>
          <w:p w14:paraId="45804C1D" w14:textId="77777777" w:rsidR="008F16FC" w:rsidRPr="008F16FC" w:rsidRDefault="008F16FC" w:rsidP="008F16FC">
            <w:pPr>
              <w:rPr>
                <w:color w:val="000000"/>
                <w:sz w:val="20"/>
                <w:szCs w:val="20"/>
              </w:rPr>
            </w:pPr>
            <w:r w:rsidRPr="008F16FC">
              <w:rPr>
                <w:color w:val="000000"/>
                <w:sz w:val="20"/>
                <w:szCs w:val="20"/>
              </w:rPr>
              <w:t>Otros gastos</w:t>
            </w:r>
          </w:p>
        </w:tc>
        <w:tc>
          <w:tcPr>
            <w:tcW w:w="1200" w:type="dxa"/>
            <w:tcBorders>
              <w:top w:val="nil"/>
              <w:left w:val="nil"/>
              <w:bottom w:val="nil"/>
              <w:right w:val="nil"/>
            </w:tcBorders>
            <w:shd w:val="clear" w:color="auto" w:fill="auto"/>
            <w:noWrap/>
            <w:vAlign w:val="center"/>
            <w:hideMark/>
          </w:tcPr>
          <w:p w14:paraId="65F4D198" w14:textId="77777777" w:rsidR="008F16FC" w:rsidRPr="008F16FC" w:rsidRDefault="008F16FC" w:rsidP="008F16FC">
            <w:pPr>
              <w:jc w:val="right"/>
              <w:rPr>
                <w:color w:val="000000"/>
                <w:sz w:val="20"/>
                <w:szCs w:val="20"/>
              </w:rPr>
            </w:pPr>
            <w:r w:rsidRPr="008F16FC">
              <w:rPr>
                <w:color w:val="000000"/>
                <w:sz w:val="20"/>
                <w:szCs w:val="20"/>
              </w:rPr>
              <w:t>-66.280</w:t>
            </w:r>
          </w:p>
        </w:tc>
        <w:tc>
          <w:tcPr>
            <w:tcW w:w="1200" w:type="dxa"/>
            <w:tcBorders>
              <w:top w:val="nil"/>
              <w:left w:val="nil"/>
              <w:bottom w:val="nil"/>
              <w:right w:val="nil"/>
            </w:tcBorders>
            <w:shd w:val="clear" w:color="auto" w:fill="auto"/>
            <w:noWrap/>
            <w:vAlign w:val="center"/>
            <w:hideMark/>
          </w:tcPr>
          <w:p w14:paraId="7C19A4FC" w14:textId="77777777" w:rsidR="008F16FC" w:rsidRPr="008F16FC" w:rsidRDefault="008F16FC" w:rsidP="008F16FC">
            <w:pPr>
              <w:jc w:val="right"/>
              <w:rPr>
                <w:color w:val="000000"/>
                <w:sz w:val="20"/>
                <w:szCs w:val="20"/>
              </w:rPr>
            </w:pPr>
            <w:r w:rsidRPr="008F16FC">
              <w:rPr>
                <w:color w:val="000000"/>
                <w:sz w:val="20"/>
                <w:szCs w:val="20"/>
              </w:rPr>
              <w:t>-30.632</w:t>
            </w:r>
          </w:p>
        </w:tc>
        <w:tc>
          <w:tcPr>
            <w:tcW w:w="940" w:type="dxa"/>
            <w:tcBorders>
              <w:top w:val="nil"/>
              <w:left w:val="nil"/>
              <w:bottom w:val="nil"/>
              <w:right w:val="nil"/>
            </w:tcBorders>
            <w:shd w:val="clear" w:color="auto" w:fill="auto"/>
            <w:noWrap/>
            <w:vAlign w:val="center"/>
            <w:hideMark/>
          </w:tcPr>
          <w:p w14:paraId="7EDB3F8B" w14:textId="77777777" w:rsidR="008F16FC" w:rsidRPr="008F16FC" w:rsidRDefault="008F16FC" w:rsidP="008F16FC">
            <w:pPr>
              <w:jc w:val="right"/>
              <w:rPr>
                <w:color w:val="000000"/>
                <w:sz w:val="20"/>
                <w:szCs w:val="20"/>
              </w:rPr>
            </w:pPr>
            <w:r w:rsidRPr="008F16FC">
              <w:rPr>
                <w:color w:val="000000"/>
                <w:sz w:val="20"/>
                <w:szCs w:val="20"/>
              </w:rPr>
              <w:t>-35.648</w:t>
            </w:r>
          </w:p>
        </w:tc>
        <w:tc>
          <w:tcPr>
            <w:tcW w:w="1074" w:type="dxa"/>
            <w:tcBorders>
              <w:top w:val="nil"/>
              <w:left w:val="nil"/>
              <w:bottom w:val="nil"/>
              <w:right w:val="nil"/>
            </w:tcBorders>
            <w:shd w:val="clear" w:color="auto" w:fill="auto"/>
            <w:vAlign w:val="center"/>
            <w:hideMark/>
          </w:tcPr>
          <w:p w14:paraId="3C21BC32" w14:textId="77777777" w:rsidR="008F16FC" w:rsidRPr="008F16FC" w:rsidRDefault="008F16FC" w:rsidP="008F16FC">
            <w:pPr>
              <w:jc w:val="right"/>
              <w:rPr>
                <w:color w:val="000000"/>
                <w:sz w:val="20"/>
                <w:szCs w:val="20"/>
              </w:rPr>
            </w:pPr>
            <w:r w:rsidRPr="008F16FC">
              <w:rPr>
                <w:color w:val="000000"/>
                <w:sz w:val="20"/>
                <w:szCs w:val="20"/>
              </w:rPr>
              <w:t>116%</w:t>
            </w:r>
          </w:p>
        </w:tc>
      </w:tr>
      <w:tr w:rsidR="00AE6F90" w:rsidRPr="008F16FC" w14:paraId="54EA5250" w14:textId="77777777" w:rsidTr="008F16FC">
        <w:trPr>
          <w:trHeight w:val="255"/>
        </w:trPr>
        <w:tc>
          <w:tcPr>
            <w:tcW w:w="4307" w:type="dxa"/>
            <w:tcBorders>
              <w:top w:val="nil"/>
              <w:left w:val="nil"/>
              <w:bottom w:val="nil"/>
              <w:right w:val="nil"/>
            </w:tcBorders>
            <w:shd w:val="clear" w:color="000000" w:fill="D9D9D9"/>
            <w:noWrap/>
            <w:vAlign w:val="center"/>
            <w:hideMark/>
          </w:tcPr>
          <w:p w14:paraId="56FDA0BA" w14:textId="77777777" w:rsidR="008F16FC" w:rsidRPr="008F16FC" w:rsidRDefault="008F16FC" w:rsidP="008F16FC">
            <w:pPr>
              <w:rPr>
                <w:b/>
                <w:bCs/>
                <w:color w:val="000000"/>
                <w:sz w:val="20"/>
                <w:szCs w:val="20"/>
              </w:rPr>
            </w:pPr>
            <w:r w:rsidRPr="008F16FC">
              <w:rPr>
                <w:b/>
                <w:bCs/>
                <w:color w:val="000000"/>
                <w:sz w:val="20"/>
                <w:szCs w:val="20"/>
              </w:rPr>
              <w:t>Ganancia Operativa</w:t>
            </w:r>
          </w:p>
        </w:tc>
        <w:tc>
          <w:tcPr>
            <w:tcW w:w="1200" w:type="dxa"/>
            <w:tcBorders>
              <w:top w:val="nil"/>
              <w:left w:val="nil"/>
              <w:bottom w:val="nil"/>
              <w:right w:val="nil"/>
            </w:tcBorders>
            <w:shd w:val="clear" w:color="000000" w:fill="D9D9D9"/>
            <w:noWrap/>
            <w:vAlign w:val="center"/>
            <w:hideMark/>
          </w:tcPr>
          <w:p w14:paraId="5B0BE04D" w14:textId="77777777" w:rsidR="008F16FC" w:rsidRPr="008F16FC" w:rsidRDefault="008F16FC" w:rsidP="008F16FC">
            <w:pPr>
              <w:jc w:val="right"/>
              <w:rPr>
                <w:b/>
                <w:bCs/>
                <w:color w:val="000000"/>
                <w:sz w:val="20"/>
                <w:szCs w:val="20"/>
              </w:rPr>
            </w:pPr>
            <w:r w:rsidRPr="008F16FC">
              <w:rPr>
                <w:b/>
                <w:bCs/>
                <w:color w:val="000000"/>
                <w:sz w:val="20"/>
                <w:szCs w:val="20"/>
              </w:rPr>
              <w:t>1.116.448</w:t>
            </w:r>
          </w:p>
        </w:tc>
        <w:tc>
          <w:tcPr>
            <w:tcW w:w="1200" w:type="dxa"/>
            <w:tcBorders>
              <w:top w:val="nil"/>
              <w:left w:val="nil"/>
              <w:bottom w:val="nil"/>
              <w:right w:val="nil"/>
            </w:tcBorders>
            <w:shd w:val="clear" w:color="000000" w:fill="D9D9D9"/>
            <w:noWrap/>
            <w:vAlign w:val="center"/>
            <w:hideMark/>
          </w:tcPr>
          <w:p w14:paraId="71A8D6EA" w14:textId="77777777" w:rsidR="008F16FC" w:rsidRPr="008F16FC" w:rsidRDefault="008F16FC" w:rsidP="008F16FC">
            <w:pPr>
              <w:jc w:val="right"/>
              <w:rPr>
                <w:b/>
                <w:bCs/>
                <w:color w:val="000000"/>
                <w:sz w:val="20"/>
                <w:szCs w:val="20"/>
              </w:rPr>
            </w:pPr>
            <w:r w:rsidRPr="008F16FC">
              <w:rPr>
                <w:b/>
                <w:bCs/>
                <w:color w:val="000000"/>
                <w:sz w:val="20"/>
                <w:szCs w:val="20"/>
              </w:rPr>
              <w:t>289.978</w:t>
            </w:r>
          </w:p>
        </w:tc>
        <w:tc>
          <w:tcPr>
            <w:tcW w:w="940" w:type="dxa"/>
            <w:tcBorders>
              <w:top w:val="nil"/>
              <w:left w:val="nil"/>
              <w:bottom w:val="nil"/>
              <w:right w:val="nil"/>
            </w:tcBorders>
            <w:shd w:val="clear" w:color="000000" w:fill="D9D9D9"/>
            <w:noWrap/>
            <w:vAlign w:val="center"/>
            <w:hideMark/>
          </w:tcPr>
          <w:p w14:paraId="7549D341" w14:textId="77777777" w:rsidR="008F16FC" w:rsidRPr="008F16FC" w:rsidRDefault="008F16FC" w:rsidP="008F16FC">
            <w:pPr>
              <w:jc w:val="right"/>
              <w:rPr>
                <w:b/>
                <w:bCs/>
                <w:color w:val="000000"/>
                <w:sz w:val="20"/>
                <w:szCs w:val="20"/>
              </w:rPr>
            </w:pPr>
            <w:r w:rsidRPr="008F16FC">
              <w:rPr>
                <w:b/>
                <w:bCs/>
                <w:color w:val="000000"/>
                <w:sz w:val="20"/>
                <w:szCs w:val="20"/>
              </w:rPr>
              <w:t>826.470</w:t>
            </w:r>
          </w:p>
        </w:tc>
        <w:tc>
          <w:tcPr>
            <w:tcW w:w="1074" w:type="dxa"/>
            <w:tcBorders>
              <w:top w:val="nil"/>
              <w:left w:val="nil"/>
              <w:bottom w:val="nil"/>
              <w:right w:val="nil"/>
            </w:tcBorders>
            <w:shd w:val="clear" w:color="000000" w:fill="D9D9D9"/>
            <w:vAlign w:val="center"/>
            <w:hideMark/>
          </w:tcPr>
          <w:p w14:paraId="2C3A5562" w14:textId="77777777" w:rsidR="008F16FC" w:rsidRPr="008F16FC" w:rsidRDefault="008F16FC" w:rsidP="008F16FC">
            <w:pPr>
              <w:jc w:val="right"/>
              <w:rPr>
                <w:b/>
                <w:bCs/>
                <w:color w:val="000000"/>
                <w:sz w:val="20"/>
                <w:szCs w:val="20"/>
              </w:rPr>
            </w:pPr>
            <w:r w:rsidRPr="008F16FC">
              <w:rPr>
                <w:b/>
                <w:bCs/>
                <w:color w:val="000000"/>
                <w:sz w:val="20"/>
                <w:szCs w:val="20"/>
              </w:rPr>
              <w:t>285%</w:t>
            </w:r>
          </w:p>
        </w:tc>
      </w:tr>
      <w:tr w:rsidR="008F16FC" w:rsidRPr="008F16FC" w14:paraId="525B7652" w14:textId="77777777" w:rsidTr="00BA304B">
        <w:trPr>
          <w:trHeight w:val="300"/>
        </w:trPr>
        <w:tc>
          <w:tcPr>
            <w:tcW w:w="4307" w:type="dxa"/>
            <w:tcBorders>
              <w:top w:val="nil"/>
              <w:left w:val="nil"/>
              <w:bottom w:val="nil"/>
              <w:right w:val="nil"/>
            </w:tcBorders>
            <w:shd w:val="clear" w:color="auto" w:fill="auto"/>
            <w:noWrap/>
            <w:vAlign w:val="bottom"/>
            <w:hideMark/>
          </w:tcPr>
          <w:p w14:paraId="3C64AC5E" w14:textId="77777777" w:rsidR="008F16FC" w:rsidRPr="008F16FC" w:rsidRDefault="008F16FC" w:rsidP="008F16FC">
            <w:pPr>
              <w:rPr>
                <w:color w:val="000000"/>
                <w:sz w:val="20"/>
                <w:szCs w:val="20"/>
              </w:rPr>
            </w:pPr>
          </w:p>
        </w:tc>
        <w:tc>
          <w:tcPr>
            <w:tcW w:w="1200" w:type="dxa"/>
            <w:tcBorders>
              <w:top w:val="nil"/>
              <w:left w:val="nil"/>
              <w:bottom w:val="nil"/>
              <w:right w:val="nil"/>
            </w:tcBorders>
            <w:shd w:val="clear" w:color="auto" w:fill="auto"/>
            <w:noWrap/>
            <w:vAlign w:val="bottom"/>
            <w:hideMark/>
          </w:tcPr>
          <w:p w14:paraId="7D355BCD" w14:textId="77777777" w:rsidR="008F16FC" w:rsidRPr="008F16FC" w:rsidRDefault="008F16FC" w:rsidP="008F16FC">
            <w:pPr>
              <w:rPr>
                <w:color w:val="000000"/>
                <w:sz w:val="20"/>
                <w:szCs w:val="20"/>
              </w:rPr>
            </w:pPr>
          </w:p>
        </w:tc>
        <w:tc>
          <w:tcPr>
            <w:tcW w:w="1200" w:type="dxa"/>
            <w:tcBorders>
              <w:top w:val="nil"/>
              <w:left w:val="nil"/>
              <w:bottom w:val="nil"/>
              <w:right w:val="nil"/>
            </w:tcBorders>
            <w:shd w:val="clear" w:color="auto" w:fill="auto"/>
            <w:noWrap/>
            <w:vAlign w:val="bottom"/>
            <w:hideMark/>
          </w:tcPr>
          <w:p w14:paraId="030FB685" w14:textId="77777777" w:rsidR="008F16FC" w:rsidRPr="008F16FC" w:rsidRDefault="008F16FC" w:rsidP="008F16FC">
            <w:pPr>
              <w:rPr>
                <w:color w:val="000000"/>
                <w:sz w:val="20"/>
                <w:szCs w:val="20"/>
              </w:rPr>
            </w:pPr>
          </w:p>
        </w:tc>
        <w:tc>
          <w:tcPr>
            <w:tcW w:w="940" w:type="dxa"/>
            <w:tcBorders>
              <w:top w:val="nil"/>
              <w:left w:val="nil"/>
              <w:bottom w:val="nil"/>
              <w:right w:val="nil"/>
            </w:tcBorders>
            <w:shd w:val="clear" w:color="auto" w:fill="auto"/>
            <w:noWrap/>
            <w:vAlign w:val="bottom"/>
            <w:hideMark/>
          </w:tcPr>
          <w:p w14:paraId="0CD9C74A" w14:textId="77777777" w:rsidR="008F16FC" w:rsidRPr="008F16FC" w:rsidRDefault="008F16FC" w:rsidP="008F16FC">
            <w:pPr>
              <w:rPr>
                <w:color w:val="000000"/>
                <w:sz w:val="20"/>
                <w:szCs w:val="20"/>
              </w:rPr>
            </w:pPr>
          </w:p>
        </w:tc>
        <w:tc>
          <w:tcPr>
            <w:tcW w:w="1074" w:type="dxa"/>
            <w:tcBorders>
              <w:top w:val="nil"/>
              <w:left w:val="nil"/>
              <w:bottom w:val="nil"/>
              <w:right w:val="nil"/>
            </w:tcBorders>
            <w:shd w:val="clear" w:color="auto" w:fill="auto"/>
            <w:vAlign w:val="center"/>
            <w:hideMark/>
          </w:tcPr>
          <w:p w14:paraId="19BF137E" w14:textId="77777777" w:rsidR="008F16FC" w:rsidRPr="008F16FC" w:rsidRDefault="008F16FC" w:rsidP="008F16FC">
            <w:pPr>
              <w:rPr>
                <w:color w:val="000000"/>
                <w:sz w:val="20"/>
                <w:szCs w:val="20"/>
              </w:rPr>
            </w:pPr>
          </w:p>
        </w:tc>
      </w:tr>
      <w:tr w:rsidR="008F16FC" w:rsidRPr="008F16FC" w14:paraId="73E8A2F4" w14:textId="77777777" w:rsidTr="00BA304B">
        <w:trPr>
          <w:trHeight w:val="255"/>
        </w:trPr>
        <w:tc>
          <w:tcPr>
            <w:tcW w:w="4307" w:type="dxa"/>
            <w:tcBorders>
              <w:top w:val="nil"/>
              <w:left w:val="nil"/>
              <w:bottom w:val="nil"/>
              <w:right w:val="nil"/>
            </w:tcBorders>
            <w:shd w:val="clear" w:color="auto" w:fill="auto"/>
            <w:noWrap/>
            <w:vAlign w:val="center"/>
            <w:hideMark/>
          </w:tcPr>
          <w:p w14:paraId="19D7032B" w14:textId="77777777" w:rsidR="008F16FC" w:rsidRPr="008F16FC" w:rsidRDefault="008F16FC" w:rsidP="008F16FC">
            <w:pPr>
              <w:jc w:val="both"/>
              <w:rPr>
                <w:color w:val="000000"/>
                <w:sz w:val="20"/>
                <w:szCs w:val="20"/>
                <w:lang w:val="es-ES"/>
              </w:rPr>
            </w:pPr>
            <w:r w:rsidRPr="008F16FC">
              <w:rPr>
                <w:color w:val="000000"/>
                <w:sz w:val="20"/>
                <w:szCs w:val="20"/>
                <w:lang w:val="es-ES"/>
              </w:rPr>
              <w:t>Resultados de Inversiones en Asociadas</w:t>
            </w:r>
          </w:p>
        </w:tc>
        <w:tc>
          <w:tcPr>
            <w:tcW w:w="1200" w:type="dxa"/>
            <w:tcBorders>
              <w:top w:val="nil"/>
              <w:left w:val="nil"/>
              <w:bottom w:val="nil"/>
              <w:right w:val="nil"/>
            </w:tcBorders>
            <w:shd w:val="clear" w:color="auto" w:fill="auto"/>
            <w:noWrap/>
            <w:vAlign w:val="center"/>
            <w:hideMark/>
          </w:tcPr>
          <w:p w14:paraId="68A13C78" w14:textId="77777777" w:rsidR="008F16FC" w:rsidRPr="008F16FC" w:rsidRDefault="008F16FC" w:rsidP="008F16FC">
            <w:pPr>
              <w:jc w:val="right"/>
              <w:rPr>
                <w:color w:val="000000"/>
                <w:sz w:val="20"/>
                <w:szCs w:val="20"/>
              </w:rPr>
            </w:pPr>
            <w:r w:rsidRPr="008F16FC">
              <w:rPr>
                <w:color w:val="000000"/>
                <w:sz w:val="20"/>
                <w:szCs w:val="20"/>
              </w:rPr>
              <w:t>3.750</w:t>
            </w:r>
          </w:p>
        </w:tc>
        <w:tc>
          <w:tcPr>
            <w:tcW w:w="1200" w:type="dxa"/>
            <w:tcBorders>
              <w:top w:val="nil"/>
              <w:left w:val="nil"/>
              <w:bottom w:val="nil"/>
              <w:right w:val="nil"/>
            </w:tcBorders>
            <w:shd w:val="clear" w:color="auto" w:fill="auto"/>
            <w:noWrap/>
            <w:vAlign w:val="center"/>
            <w:hideMark/>
          </w:tcPr>
          <w:p w14:paraId="0C99BC1C" w14:textId="77777777" w:rsidR="008F16FC" w:rsidRPr="008F16FC" w:rsidRDefault="008F16FC" w:rsidP="008F16FC">
            <w:pPr>
              <w:jc w:val="right"/>
              <w:rPr>
                <w:color w:val="000000"/>
                <w:sz w:val="20"/>
                <w:szCs w:val="20"/>
              </w:rPr>
            </w:pPr>
            <w:r w:rsidRPr="008F16FC">
              <w:rPr>
                <w:color w:val="000000"/>
                <w:sz w:val="20"/>
                <w:szCs w:val="20"/>
              </w:rPr>
              <w:t>-18.248</w:t>
            </w:r>
          </w:p>
        </w:tc>
        <w:tc>
          <w:tcPr>
            <w:tcW w:w="940" w:type="dxa"/>
            <w:tcBorders>
              <w:top w:val="nil"/>
              <w:left w:val="nil"/>
              <w:bottom w:val="nil"/>
              <w:right w:val="nil"/>
            </w:tcBorders>
            <w:shd w:val="clear" w:color="auto" w:fill="auto"/>
            <w:noWrap/>
            <w:vAlign w:val="center"/>
            <w:hideMark/>
          </w:tcPr>
          <w:p w14:paraId="00D242F6" w14:textId="77777777" w:rsidR="008F16FC" w:rsidRPr="008F16FC" w:rsidRDefault="008F16FC" w:rsidP="008F16FC">
            <w:pPr>
              <w:jc w:val="right"/>
              <w:rPr>
                <w:color w:val="000000"/>
                <w:sz w:val="20"/>
                <w:szCs w:val="20"/>
              </w:rPr>
            </w:pPr>
            <w:r w:rsidRPr="008F16FC">
              <w:rPr>
                <w:color w:val="000000"/>
                <w:sz w:val="20"/>
                <w:szCs w:val="20"/>
              </w:rPr>
              <w:t>21.998</w:t>
            </w:r>
          </w:p>
        </w:tc>
        <w:tc>
          <w:tcPr>
            <w:tcW w:w="1074" w:type="dxa"/>
            <w:tcBorders>
              <w:top w:val="nil"/>
              <w:left w:val="nil"/>
              <w:bottom w:val="nil"/>
              <w:right w:val="nil"/>
            </w:tcBorders>
            <w:shd w:val="clear" w:color="auto" w:fill="auto"/>
            <w:vAlign w:val="center"/>
            <w:hideMark/>
          </w:tcPr>
          <w:p w14:paraId="1D5F811B" w14:textId="77777777" w:rsidR="008F16FC" w:rsidRPr="008F16FC" w:rsidRDefault="008F16FC" w:rsidP="008F16FC">
            <w:pPr>
              <w:jc w:val="right"/>
              <w:rPr>
                <w:color w:val="000000"/>
                <w:sz w:val="20"/>
                <w:szCs w:val="20"/>
              </w:rPr>
            </w:pPr>
            <w:r w:rsidRPr="008F16FC">
              <w:rPr>
                <w:color w:val="000000"/>
                <w:sz w:val="20"/>
                <w:szCs w:val="20"/>
              </w:rPr>
              <w:t>-121%</w:t>
            </w:r>
          </w:p>
        </w:tc>
      </w:tr>
      <w:tr w:rsidR="008F16FC" w:rsidRPr="008F16FC" w14:paraId="74789E17" w14:textId="77777777" w:rsidTr="00BA304B">
        <w:trPr>
          <w:trHeight w:val="255"/>
        </w:trPr>
        <w:tc>
          <w:tcPr>
            <w:tcW w:w="4307" w:type="dxa"/>
            <w:tcBorders>
              <w:top w:val="nil"/>
              <w:left w:val="nil"/>
              <w:bottom w:val="nil"/>
              <w:right w:val="nil"/>
            </w:tcBorders>
            <w:shd w:val="clear" w:color="auto" w:fill="auto"/>
            <w:noWrap/>
            <w:vAlign w:val="center"/>
            <w:hideMark/>
          </w:tcPr>
          <w:p w14:paraId="3EC04E2F" w14:textId="77777777" w:rsidR="008F16FC" w:rsidRPr="008F16FC" w:rsidRDefault="008F16FC" w:rsidP="008F16FC">
            <w:pPr>
              <w:rPr>
                <w:color w:val="000000"/>
                <w:sz w:val="20"/>
                <w:szCs w:val="20"/>
              </w:rPr>
            </w:pPr>
            <w:r w:rsidRPr="008F16FC">
              <w:rPr>
                <w:color w:val="000000"/>
                <w:sz w:val="20"/>
                <w:szCs w:val="20"/>
              </w:rPr>
              <w:t>Resultados Financieros</w:t>
            </w:r>
          </w:p>
        </w:tc>
        <w:tc>
          <w:tcPr>
            <w:tcW w:w="1200" w:type="dxa"/>
            <w:tcBorders>
              <w:top w:val="nil"/>
              <w:left w:val="nil"/>
              <w:bottom w:val="nil"/>
              <w:right w:val="nil"/>
            </w:tcBorders>
            <w:shd w:val="clear" w:color="auto" w:fill="auto"/>
            <w:noWrap/>
            <w:vAlign w:val="center"/>
            <w:hideMark/>
          </w:tcPr>
          <w:p w14:paraId="728433B8" w14:textId="77777777" w:rsidR="008F16FC" w:rsidRPr="008F16FC" w:rsidRDefault="008F16FC" w:rsidP="008F16FC">
            <w:pPr>
              <w:jc w:val="right"/>
              <w:rPr>
                <w:color w:val="000000"/>
                <w:sz w:val="20"/>
                <w:szCs w:val="20"/>
              </w:rPr>
            </w:pPr>
            <w:r w:rsidRPr="008F16FC">
              <w:rPr>
                <w:color w:val="000000"/>
                <w:sz w:val="20"/>
                <w:szCs w:val="20"/>
              </w:rPr>
              <w:t>20.477</w:t>
            </w:r>
          </w:p>
        </w:tc>
        <w:tc>
          <w:tcPr>
            <w:tcW w:w="1200" w:type="dxa"/>
            <w:tcBorders>
              <w:top w:val="nil"/>
              <w:left w:val="nil"/>
              <w:bottom w:val="nil"/>
              <w:right w:val="nil"/>
            </w:tcBorders>
            <w:shd w:val="clear" w:color="auto" w:fill="auto"/>
            <w:noWrap/>
            <w:vAlign w:val="center"/>
            <w:hideMark/>
          </w:tcPr>
          <w:p w14:paraId="54C10118" w14:textId="77777777" w:rsidR="008F16FC" w:rsidRPr="008F16FC" w:rsidRDefault="008F16FC" w:rsidP="008F16FC">
            <w:pPr>
              <w:jc w:val="right"/>
              <w:rPr>
                <w:color w:val="000000"/>
                <w:sz w:val="20"/>
                <w:szCs w:val="20"/>
              </w:rPr>
            </w:pPr>
            <w:r w:rsidRPr="008F16FC">
              <w:rPr>
                <w:color w:val="000000"/>
                <w:sz w:val="20"/>
                <w:szCs w:val="20"/>
              </w:rPr>
              <w:t>-34.956</w:t>
            </w:r>
          </w:p>
        </w:tc>
        <w:tc>
          <w:tcPr>
            <w:tcW w:w="940" w:type="dxa"/>
            <w:tcBorders>
              <w:top w:val="nil"/>
              <w:left w:val="nil"/>
              <w:bottom w:val="nil"/>
              <w:right w:val="nil"/>
            </w:tcBorders>
            <w:shd w:val="clear" w:color="auto" w:fill="auto"/>
            <w:noWrap/>
            <w:vAlign w:val="center"/>
            <w:hideMark/>
          </w:tcPr>
          <w:p w14:paraId="0B53DB40" w14:textId="77777777" w:rsidR="008F16FC" w:rsidRPr="008F16FC" w:rsidRDefault="008F16FC" w:rsidP="008F16FC">
            <w:pPr>
              <w:jc w:val="right"/>
              <w:rPr>
                <w:color w:val="000000"/>
                <w:sz w:val="20"/>
                <w:szCs w:val="20"/>
              </w:rPr>
            </w:pPr>
            <w:r w:rsidRPr="008F16FC">
              <w:rPr>
                <w:color w:val="000000"/>
                <w:sz w:val="20"/>
                <w:szCs w:val="20"/>
              </w:rPr>
              <w:t>55.433</w:t>
            </w:r>
          </w:p>
        </w:tc>
        <w:tc>
          <w:tcPr>
            <w:tcW w:w="1074" w:type="dxa"/>
            <w:tcBorders>
              <w:top w:val="nil"/>
              <w:left w:val="nil"/>
              <w:bottom w:val="nil"/>
              <w:right w:val="nil"/>
            </w:tcBorders>
            <w:shd w:val="clear" w:color="auto" w:fill="auto"/>
            <w:vAlign w:val="center"/>
            <w:hideMark/>
          </w:tcPr>
          <w:p w14:paraId="2B0EDE73" w14:textId="77777777" w:rsidR="008F16FC" w:rsidRPr="008F16FC" w:rsidRDefault="008F16FC" w:rsidP="008F16FC">
            <w:pPr>
              <w:jc w:val="right"/>
              <w:rPr>
                <w:color w:val="000000"/>
                <w:sz w:val="20"/>
                <w:szCs w:val="20"/>
              </w:rPr>
            </w:pPr>
            <w:r w:rsidRPr="008F16FC">
              <w:rPr>
                <w:color w:val="000000"/>
                <w:sz w:val="20"/>
                <w:szCs w:val="20"/>
              </w:rPr>
              <w:t>-159%</w:t>
            </w:r>
          </w:p>
        </w:tc>
      </w:tr>
      <w:tr w:rsidR="008F16FC" w:rsidRPr="008F16FC" w14:paraId="1733FDD2" w14:textId="77777777" w:rsidTr="00BA304B">
        <w:trPr>
          <w:trHeight w:val="255"/>
        </w:trPr>
        <w:tc>
          <w:tcPr>
            <w:tcW w:w="4307" w:type="dxa"/>
            <w:tcBorders>
              <w:top w:val="nil"/>
              <w:left w:val="nil"/>
              <w:bottom w:val="nil"/>
              <w:right w:val="nil"/>
            </w:tcBorders>
            <w:shd w:val="clear" w:color="auto" w:fill="auto"/>
            <w:noWrap/>
            <w:vAlign w:val="center"/>
            <w:hideMark/>
          </w:tcPr>
          <w:p w14:paraId="5255E106" w14:textId="77777777" w:rsidR="008F16FC" w:rsidRPr="008F16FC" w:rsidRDefault="008F16FC" w:rsidP="008F16FC">
            <w:pPr>
              <w:jc w:val="both"/>
              <w:rPr>
                <w:color w:val="000000"/>
                <w:sz w:val="20"/>
                <w:szCs w:val="20"/>
                <w:lang w:val="es-ES"/>
              </w:rPr>
            </w:pPr>
            <w:r w:rsidRPr="008F16FC">
              <w:rPr>
                <w:color w:val="000000"/>
                <w:sz w:val="20"/>
                <w:szCs w:val="20"/>
                <w:lang w:val="es-ES"/>
              </w:rPr>
              <w:t>Resultados de la posición monetaria neta (RECPAM)</w:t>
            </w:r>
          </w:p>
        </w:tc>
        <w:tc>
          <w:tcPr>
            <w:tcW w:w="1200" w:type="dxa"/>
            <w:tcBorders>
              <w:top w:val="nil"/>
              <w:left w:val="nil"/>
              <w:bottom w:val="nil"/>
              <w:right w:val="nil"/>
            </w:tcBorders>
            <w:shd w:val="clear" w:color="auto" w:fill="auto"/>
            <w:noWrap/>
            <w:vAlign w:val="center"/>
            <w:hideMark/>
          </w:tcPr>
          <w:p w14:paraId="43A68902" w14:textId="77777777" w:rsidR="008F16FC" w:rsidRPr="008F16FC" w:rsidRDefault="008F16FC" w:rsidP="008F16FC">
            <w:pPr>
              <w:jc w:val="right"/>
              <w:rPr>
                <w:color w:val="000000"/>
                <w:sz w:val="20"/>
                <w:szCs w:val="20"/>
              </w:rPr>
            </w:pPr>
            <w:r w:rsidRPr="008F16FC">
              <w:rPr>
                <w:color w:val="000000"/>
                <w:sz w:val="20"/>
                <w:szCs w:val="20"/>
              </w:rPr>
              <w:t>-571.785</w:t>
            </w:r>
          </w:p>
        </w:tc>
        <w:tc>
          <w:tcPr>
            <w:tcW w:w="1200" w:type="dxa"/>
            <w:tcBorders>
              <w:top w:val="nil"/>
              <w:left w:val="nil"/>
              <w:bottom w:val="nil"/>
              <w:right w:val="nil"/>
            </w:tcBorders>
            <w:shd w:val="clear" w:color="auto" w:fill="auto"/>
            <w:noWrap/>
            <w:vAlign w:val="center"/>
            <w:hideMark/>
          </w:tcPr>
          <w:p w14:paraId="66E2E5CB" w14:textId="77777777" w:rsidR="008F16FC" w:rsidRPr="008F16FC" w:rsidRDefault="008F16FC" w:rsidP="008F16FC">
            <w:pPr>
              <w:jc w:val="right"/>
              <w:rPr>
                <w:color w:val="000000"/>
                <w:sz w:val="20"/>
                <w:szCs w:val="20"/>
              </w:rPr>
            </w:pPr>
            <w:r w:rsidRPr="008F16FC">
              <w:rPr>
                <w:color w:val="000000"/>
                <w:sz w:val="20"/>
                <w:szCs w:val="20"/>
              </w:rPr>
              <w:t>-507.837</w:t>
            </w:r>
          </w:p>
        </w:tc>
        <w:tc>
          <w:tcPr>
            <w:tcW w:w="940" w:type="dxa"/>
            <w:tcBorders>
              <w:top w:val="nil"/>
              <w:left w:val="nil"/>
              <w:bottom w:val="nil"/>
              <w:right w:val="nil"/>
            </w:tcBorders>
            <w:shd w:val="clear" w:color="auto" w:fill="auto"/>
            <w:noWrap/>
            <w:vAlign w:val="center"/>
            <w:hideMark/>
          </w:tcPr>
          <w:p w14:paraId="2996954F" w14:textId="77777777" w:rsidR="008F16FC" w:rsidRPr="008F16FC" w:rsidRDefault="008F16FC" w:rsidP="008F16FC">
            <w:pPr>
              <w:jc w:val="right"/>
              <w:rPr>
                <w:color w:val="000000"/>
                <w:sz w:val="20"/>
                <w:szCs w:val="20"/>
              </w:rPr>
            </w:pPr>
            <w:r w:rsidRPr="008F16FC">
              <w:rPr>
                <w:color w:val="000000"/>
                <w:sz w:val="20"/>
                <w:szCs w:val="20"/>
              </w:rPr>
              <w:t>-63.948</w:t>
            </w:r>
          </w:p>
        </w:tc>
        <w:tc>
          <w:tcPr>
            <w:tcW w:w="1074" w:type="dxa"/>
            <w:tcBorders>
              <w:top w:val="nil"/>
              <w:left w:val="nil"/>
              <w:bottom w:val="nil"/>
              <w:right w:val="nil"/>
            </w:tcBorders>
            <w:shd w:val="clear" w:color="auto" w:fill="auto"/>
            <w:vAlign w:val="center"/>
            <w:hideMark/>
          </w:tcPr>
          <w:p w14:paraId="10EAB525" w14:textId="77777777" w:rsidR="008F16FC" w:rsidRPr="008F16FC" w:rsidRDefault="008F16FC" w:rsidP="008F16FC">
            <w:pPr>
              <w:jc w:val="right"/>
              <w:rPr>
                <w:color w:val="000000"/>
                <w:sz w:val="20"/>
                <w:szCs w:val="20"/>
              </w:rPr>
            </w:pPr>
            <w:r w:rsidRPr="008F16FC">
              <w:rPr>
                <w:color w:val="000000"/>
                <w:sz w:val="20"/>
                <w:szCs w:val="20"/>
              </w:rPr>
              <w:t>13%</w:t>
            </w:r>
          </w:p>
        </w:tc>
      </w:tr>
      <w:tr w:rsidR="00AE6F90" w:rsidRPr="008F16FC" w14:paraId="72A7FD55" w14:textId="77777777" w:rsidTr="008F16FC">
        <w:trPr>
          <w:trHeight w:val="255"/>
        </w:trPr>
        <w:tc>
          <w:tcPr>
            <w:tcW w:w="4307" w:type="dxa"/>
            <w:tcBorders>
              <w:top w:val="nil"/>
              <w:left w:val="nil"/>
              <w:bottom w:val="nil"/>
              <w:right w:val="nil"/>
            </w:tcBorders>
            <w:shd w:val="clear" w:color="000000" w:fill="D9D9D9"/>
            <w:noWrap/>
            <w:vAlign w:val="center"/>
            <w:hideMark/>
          </w:tcPr>
          <w:p w14:paraId="409D2FAA" w14:textId="77777777" w:rsidR="008F16FC" w:rsidRPr="008F16FC" w:rsidRDefault="008F16FC" w:rsidP="008F16FC">
            <w:pPr>
              <w:jc w:val="both"/>
              <w:rPr>
                <w:b/>
                <w:bCs/>
                <w:color w:val="000000"/>
                <w:sz w:val="20"/>
                <w:szCs w:val="20"/>
                <w:lang w:val="es-ES"/>
              </w:rPr>
            </w:pPr>
            <w:r w:rsidRPr="008F16FC">
              <w:rPr>
                <w:b/>
                <w:bCs/>
                <w:color w:val="000000"/>
                <w:sz w:val="20"/>
                <w:szCs w:val="20"/>
                <w:lang w:val="es-ES"/>
              </w:rPr>
              <w:t>Ganancia antes del impuesto a las ganancias</w:t>
            </w:r>
          </w:p>
        </w:tc>
        <w:tc>
          <w:tcPr>
            <w:tcW w:w="1200" w:type="dxa"/>
            <w:tcBorders>
              <w:top w:val="nil"/>
              <w:left w:val="nil"/>
              <w:bottom w:val="nil"/>
              <w:right w:val="nil"/>
            </w:tcBorders>
            <w:shd w:val="clear" w:color="000000" w:fill="D9D9D9"/>
            <w:noWrap/>
            <w:vAlign w:val="center"/>
            <w:hideMark/>
          </w:tcPr>
          <w:p w14:paraId="693A6672" w14:textId="77777777" w:rsidR="008F16FC" w:rsidRPr="008F16FC" w:rsidRDefault="008F16FC" w:rsidP="008F16FC">
            <w:pPr>
              <w:jc w:val="right"/>
              <w:rPr>
                <w:b/>
                <w:bCs/>
                <w:color w:val="000000"/>
                <w:sz w:val="20"/>
                <w:szCs w:val="20"/>
              </w:rPr>
            </w:pPr>
            <w:r w:rsidRPr="008F16FC">
              <w:rPr>
                <w:b/>
                <w:bCs/>
                <w:color w:val="000000"/>
                <w:sz w:val="20"/>
                <w:szCs w:val="20"/>
              </w:rPr>
              <w:t>568.891</w:t>
            </w:r>
          </w:p>
        </w:tc>
        <w:tc>
          <w:tcPr>
            <w:tcW w:w="1200" w:type="dxa"/>
            <w:tcBorders>
              <w:top w:val="nil"/>
              <w:left w:val="nil"/>
              <w:bottom w:val="nil"/>
              <w:right w:val="nil"/>
            </w:tcBorders>
            <w:shd w:val="clear" w:color="000000" w:fill="D9D9D9"/>
            <w:noWrap/>
            <w:vAlign w:val="center"/>
            <w:hideMark/>
          </w:tcPr>
          <w:p w14:paraId="00790D84" w14:textId="77777777" w:rsidR="008F16FC" w:rsidRPr="008F16FC" w:rsidRDefault="008F16FC" w:rsidP="008F16FC">
            <w:pPr>
              <w:jc w:val="right"/>
              <w:rPr>
                <w:b/>
                <w:bCs/>
                <w:color w:val="000000"/>
                <w:sz w:val="20"/>
                <w:szCs w:val="20"/>
              </w:rPr>
            </w:pPr>
            <w:r w:rsidRPr="008F16FC">
              <w:rPr>
                <w:b/>
                <w:bCs/>
                <w:color w:val="000000"/>
                <w:sz w:val="20"/>
                <w:szCs w:val="20"/>
              </w:rPr>
              <w:t>-271.064</w:t>
            </w:r>
          </w:p>
        </w:tc>
        <w:tc>
          <w:tcPr>
            <w:tcW w:w="940" w:type="dxa"/>
            <w:tcBorders>
              <w:top w:val="nil"/>
              <w:left w:val="nil"/>
              <w:bottom w:val="nil"/>
              <w:right w:val="nil"/>
            </w:tcBorders>
            <w:shd w:val="clear" w:color="000000" w:fill="D9D9D9"/>
            <w:noWrap/>
            <w:vAlign w:val="center"/>
            <w:hideMark/>
          </w:tcPr>
          <w:p w14:paraId="3F083C39" w14:textId="77777777" w:rsidR="008F16FC" w:rsidRPr="008F16FC" w:rsidRDefault="008F16FC" w:rsidP="008F16FC">
            <w:pPr>
              <w:jc w:val="right"/>
              <w:rPr>
                <w:b/>
                <w:bCs/>
                <w:color w:val="000000"/>
                <w:sz w:val="20"/>
                <w:szCs w:val="20"/>
              </w:rPr>
            </w:pPr>
            <w:r w:rsidRPr="008F16FC">
              <w:rPr>
                <w:b/>
                <w:bCs/>
                <w:color w:val="000000"/>
                <w:sz w:val="20"/>
                <w:szCs w:val="20"/>
              </w:rPr>
              <w:t>839.955</w:t>
            </w:r>
          </w:p>
        </w:tc>
        <w:tc>
          <w:tcPr>
            <w:tcW w:w="1074" w:type="dxa"/>
            <w:tcBorders>
              <w:top w:val="nil"/>
              <w:left w:val="nil"/>
              <w:bottom w:val="nil"/>
              <w:right w:val="nil"/>
            </w:tcBorders>
            <w:shd w:val="clear" w:color="000000" w:fill="D9D9D9"/>
            <w:vAlign w:val="center"/>
            <w:hideMark/>
          </w:tcPr>
          <w:p w14:paraId="39FB242F" w14:textId="77777777" w:rsidR="008F16FC" w:rsidRPr="008F16FC" w:rsidRDefault="008F16FC" w:rsidP="008F16FC">
            <w:pPr>
              <w:jc w:val="right"/>
              <w:rPr>
                <w:b/>
                <w:bCs/>
                <w:color w:val="000000"/>
                <w:sz w:val="20"/>
                <w:szCs w:val="20"/>
              </w:rPr>
            </w:pPr>
            <w:r w:rsidRPr="008F16FC">
              <w:rPr>
                <w:b/>
                <w:bCs/>
                <w:color w:val="000000"/>
                <w:sz w:val="20"/>
                <w:szCs w:val="20"/>
              </w:rPr>
              <w:t>-310%</w:t>
            </w:r>
          </w:p>
        </w:tc>
      </w:tr>
      <w:tr w:rsidR="008F16FC" w:rsidRPr="008F16FC" w14:paraId="06739795" w14:textId="77777777" w:rsidTr="00BA304B">
        <w:trPr>
          <w:trHeight w:val="300"/>
        </w:trPr>
        <w:tc>
          <w:tcPr>
            <w:tcW w:w="4307" w:type="dxa"/>
            <w:tcBorders>
              <w:top w:val="nil"/>
              <w:left w:val="nil"/>
              <w:bottom w:val="nil"/>
              <w:right w:val="nil"/>
            </w:tcBorders>
            <w:shd w:val="clear" w:color="auto" w:fill="auto"/>
            <w:noWrap/>
            <w:vAlign w:val="bottom"/>
            <w:hideMark/>
          </w:tcPr>
          <w:p w14:paraId="31AE930D" w14:textId="77777777" w:rsidR="008F16FC" w:rsidRPr="008F16FC" w:rsidRDefault="008F16FC" w:rsidP="008F16FC">
            <w:pPr>
              <w:rPr>
                <w:color w:val="000000"/>
                <w:sz w:val="20"/>
                <w:szCs w:val="20"/>
              </w:rPr>
            </w:pPr>
          </w:p>
        </w:tc>
        <w:tc>
          <w:tcPr>
            <w:tcW w:w="1200" w:type="dxa"/>
            <w:tcBorders>
              <w:top w:val="nil"/>
              <w:left w:val="nil"/>
              <w:bottom w:val="nil"/>
              <w:right w:val="nil"/>
            </w:tcBorders>
            <w:shd w:val="clear" w:color="auto" w:fill="auto"/>
            <w:noWrap/>
            <w:vAlign w:val="bottom"/>
            <w:hideMark/>
          </w:tcPr>
          <w:p w14:paraId="114C263A" w14:textId="77777777" w:rsidR="008F16FC" w:rsidRPr="008F16FC" w:rsidRDefault="008F16FC" w:rsidP="008F16FC">
            <w:pPr>
              <w:rPr>
                <w:color w:val="000000"/>
                <w:sz w:val="20"/>
                <w:szCs w:val="20"/>
              </w:rPr>
            </w:pPr>
          </w:p>
        </w:tc>
        <w:tc>
          <w:tcPr>
            <w:tcW w:w="1200" w:type="dxa"/>
            <w:tcBorders>
              <w:top w:val="nil"/>
              <w:left w:val="nil"/>
              <w:bottom w:val="nil"/>
              <w:right w:val="nil"/>
            </w:tcBorders>
            <w:shd w:val="clear" w:color="auto" w:fill="auto"/>
            <w:noWrap/>
            <w:vAlign w:val="bottom"/>
            <w:hideMark/>
          </w:tcPr>
          <w:p w14:paraId="31634401" w14:textId="77777777" w:rsidR="008F16FC" w:rsidRPr="008F16FC" w:rsidRDefault="008F16FC" w:rsidP="008F16FC">
            <w:pPr>
              <w:rPr>
                <w:color w:val="000000"/>
                <w:sz w:val="20"/>
                <w:szCs w:val="20"/>
              </w:rPr>
            </w:pPr>
          </w:p>
        </w:tc>
        <w:tc>
          <w:tcPr>
            <w:tcW w:w="940" w:type="dxa"/>
            <w:tcBorders>
              <w:top w:val="nil"/>
              <w:left w:val="nil"/>
              <w:bottom w:val="nil"/>
              <w:right w:val="nil"/>
            </w:tcBorders>
            <w:shd w:val="clear" w:color="auto" w:fill="auto"/>
            <w:noWrap/>
            <w:vAlign w:val="bottom"/>
            <w:hideMark/>
          </w:tcPr>
          <w:p w14:paraId="4834B866" w14:textId="77777777" w:rsidR="008F16FC" w:rsidRPr="008F16FC" w:rsidRDefault="008F16FC" w:rsidP="008F16FC">
            <w:pPr>
              <w:rPr>
                <w:color w:val="000000"/>
                <w:sz w:val="20"/>
                <w:szCs w:val="20"/>
              </w:rPr>
            </w:pPr>
          </w:p>
        </w:tc>
        <w:tc>
          <w:tcPr>
            <w:tcW w:w="1074" w:type="dxa"/>
            <w:tcBorders>
              <w:top w:val="nil"/>
              <w:left w:val="nil"/>
              <w:bottom w:val="nil"/>
              <w:right w:val="nil"/>
            </w:tcBorders>
            <w:shd w:val="clear" w:color="auto" w:fill="auto"/>
            <w:vAlign w:val="center"/>
            <w:hideMark/>
          </w:tcPr>
          <w:p w14:paraId="2992F952" w14:textId="77777777" w:rsidR="008F16FC" w:rsidRPr="008F16FC" w:rsidRDefault="008F16FC" w:rsidP="008F16FC">
            <w:pPr>
              <w:rPr>
                <w:color w:val="000000"/>
                <w:sz w:val="20"/>
                <w:szCs w:val="20"/>
              </w:rPr>
            </w:pPr>
          </w:p>
        </w:tc>
      </w:tr>
      <w:tr w:rsidR="008F16FC" w:rsidRPr="008F16FC" w14:paraId="15A51DAE" w14:textId="77777777" w:rsidTr="00BA304B">
        <w:trPr>
          <w:trHeight w:val="255"/>
        </w:trPr>
        <w:tc>
          <w:tcPr>
            <w:tcW w:w="4307" w:type="dxa"/>
            <w:tcBorders>
              <w:top w:val="nil"/>
              <w:left w:val="nil"/>
              <w:bottom w:val="nil"/>
              <w:right w:val="nil"/>
            </w:tcBorders>
            <w:shd w:val="clear" w:color="auto" w:fill="auto"/>
            <w:noWrap/>
            <w:vAlign w:val="center"/>
            <w:hideMark/>
          </w:tcPr>
          <w:p w14:paraId="1B8AEBF9" w14:textId="77777777" w:rsidR="008F16FC" w:rsidRPr="008F16FC" w:rsidRDefault="008F16FC" w:rsidP="008F16FC">
            <w:pPr>
              <w:jc w:val="both"/>
              <w:rPr>
                <w:color w:val="000000"/>
                <w:sz w:val="20"/>
                <w:szCs w:val="20"/>
                <w:lang w:val="es-ES"/>
              </w:rPr>
            </w:pPr>
            <w:r w:rsidRPr="008F16FC">
              <w:rPr>
                <w:color w:val="000000"/>
                <w:sz w:val="20"/>
                <w:szCs w:val="20"/>
                <w:lang w:val="es-ES"/>
              </w:rPr>
              <w:t>(Gasto) Ingreso por impuesto a las ganancias</w:t>
            </w:r>
          </w:p>
        </w:tc>
        <w:tc>
          <w:tcPr>
            <w:tcW w:w="1200" w:type="dxa"/>
            <w:tcBorders>
              <w:top w:val="nil"/>
              <w:left w:val="nil"/>
              <w:bottom w:val="nil"/>
              <w:right w:val="nil"/>
            </w:tcBorders>
            <w:shd w:val="clear" w:color="auto" w:fill="auto"/>
            <w:noWrap/>
            <w:vAlign w:val="center"/>
            <w:hideMark/>
          </w:tcPr>
          <w:p w14:paraId="3B8B75D1" w14:textId="77777777" w:rsidR="008F16FC" w:rsidRPr="008F16FC" w:rsidRDefault="008F16FC" w:rsidP="008F16FC">
            <w:pPr>
              <w:jc w:val="right"/>
              <w:rPr>
                <w:color w:val="000000"/>
                <w:sz w:val="20"/>
                <w:szCs w:val="20"/>
              </w:rPr>
            </w:pPr>
            <w:r w:rsidRPr="008F16FC">
              <w:rPr>
                <w:color w:val="000000"/>
                <w:sz w:val="20"/>
                <w:szCs w:val="20"/>
              </w:rPr>
              <w:t>-300.655</w:t>
            </w:r>
          </w:p>
        </w:tc>
        <w:tc>
          <w:tcPr>
            <w:tcW w:w="1200" w:type="dxa"/>
            <w:tcBorders>
              <w:top w:val="nil"/>
              <w:left w:val="nil"/>
              <w:bottom w:val="nil"/>
              <w:right w:val="nil"/>
            </w:tcBorders>
            <w:shd w:val="clear" w:color="auto" w:fill="auto"/>
            <w:noWrap/>
            <w:vAlign w:val="center"/>
            <w:hideMark/>
          </w:tcPr>
          <w:p w14:paraId="70339BE7" w14:textId="77777777" w:rsidR="008F16FC" w:rsidRPr="008F16FC" w:rsidRDefault="008F16FC" w:rsidP="008F16FC">
            <w:pPr>
              <w:jc w:val="right"/>
              <w:rPr>
                <w:color w:val="000000"/>
                <w:sz w:val="20"/>
                <w:szCs w:val="20"/>
              </w:rPr>
            </w:pPr>
            <w:r w:rsidRPr="008F16FC">
              <w:rPr>
                <w:color w:val="000000"/>
                <w:sz w:val="20"/>
                <w:szCs w:val="20"/>
              </w:rPr>
              <w:t>-114.978</w:t>
            </w:r>
          </w:p>
        </w:tc>
        <w:tc>
          <w:tcPr>
            <w:tcW w:w="940" w:type="dxa"/>
            <w:tcBorders>
              <w:top w:val="nil"/>
              <w:left w:val="nil"/>
              <w:bottom w:val="nil"/>
              <w:right w:val="nil"/>
            </w:tcBorders>
            <w:shd w:val="clear" w:color="auto" w:fill="auto"/>
            <w:noWrap/>
            <w:vAlign w:val="center"/>
            <w:hideMark/>
          </w:tcPr>
          <w:p w14:paraId="06F0E9FA" w14:textId="77777777" w:rsidR="008F16FC" w:rsidRPr="008F16FC" w:rsidRDefault="008F16FC" w:rsidP="008F16FC">
            <w:pPr>
              <w:jc w:val="right"/>
              <w:rPr>
                <w:color w:val="000000"/>
                <w:sz w:val="20"/>
                <w:szCs w:val="20"/>
              </w:rPr>
            </w:pPr>
            <w:r w:rsidRPr="008F16FC">
              <w:rPr>
                <w:color w:val="000000"/>
                <w:sz w:val="20"/>
                <w:szCs w:val="20"/>
              </w:rPr>
              <w:t>-185.677</w:t>
            </w:r>
          </w:p>
        </w:tc>
        <w:tc>
          <w:tcPr>
            <w:tcW w:w="1074" w:type="dxa"/>
            <w:tcBorders>
              <w:top w:val="nil"/>
              <w:left w:val="nil"/>
              <w:bottom w:val="nil"/>
              <w:right w:val="nil"/>
            </w:tcBorders>
            <w:shd w:val="clear" w:color="auto" w:fill="auto"/>
            <w:vAlign w:val="center"/>
            <w:hideMark/>
          </w:tcPr>
          <w:p w14:paraId="634CD570" w14:textId="77777777" w:rsidR="008F16FC" w:rsidRPr="008F16FC" w:rsidRDefault="008F16FC" w:rsidP="008F16FC">
            <w:pPr>
              <w:jc w:val="right"/>
              <w:rPr>
                <w:color w:val="000000"/>
                <w:sz w:val="20"/>
                <w:szCs w:val="20"/>
              </w:rPr>
            </w:pPr>
            <w:r w:rsidRPr="008F16FC">
              <w:rPr>
                <w:color w:val="000000"/>
                <w:sz w:val="20"/>
                <w:szCs w:val="20"/>
              </w:rPr>
              <w:t>161%</w:t>
            </w:r>
          </w:p>
        </w:tc>
      </w:tr>
      <w:tr w:rsidR="00AE6F90" w:rsidRPr="008F16FC" w14:paraId="16D3A6BE" w14:textId="77777777" w:rsidTr="008F16FC">
        <w:trPr>
          <w:trHeight w:val="255"/>
        </w:trPr>
        <w:tc>
          <w:tcPr>
            <w:tcW w:w="4307" w:type="dxa"/>
            <w:tcBorders>
              <w:top w:val="nil"/>
              <w:left w:val="nil"/>
              <w:bottom w:val="nil"/>
              <w:right w:val="nil"/>
            </w:tcBorders>
            <w:shd w:val="clear" w:color="000000" w:fill="A6A6A6"/>
            <w:noWrap/>
            <w:vAlign w:val="center"/>
            <w:hideMark/>
          </w:tcPr>
          <w:p w14:paraId="7A705694" w14:textId="77777777" w:rsidR="008F16FC" w:rsidRPr="008F16FC" w:rsidRDefault="008F16FC" w:rsidP="008F16FC">
            <w:pPr>
              <w:rPr>
                <w:b/>
                <w:bCs/>
                <w:color w:val="000000"/>
                <w:sz w:val="20"/>
                <w:szCs w:val="20"/>
              </w:rPr>
            </w:pPr>
            <w:r w:rsidRPr="008F16FC">
              <w:rPr>
                <w:b/>
                <w:bCs/>
                <w:color w:val="000000"/>
                <w:sz w:val="20"/>
                <w:szCs w:val="20"/>
              </w:rPr>
              <w:t>Ganancia del período</w:t>
            </w:r>
          </w:p>
        </w:tc>
        <w:tc>
          <w:tcPr>
            <w:tcW w:w="1200" w:type="dxa"/>
            <w:tcBorders>
              <w:top w:val="nil"/>
              <w:left w:val="nil"/>
              <w:bottom w:val="nil"/>
              <w:right w:val="nil"/>
            </w:tcBorders>
            <w:shd w:val="clear" w:color="000000" w:fill="A6A6A6"/>
            <w:noWrap/>
            <w:vAlign w:val="center"/>
            <w:hideMark/>
          </w:tcPr>
          <w:p w14:paraId="42B658B6" w14:textId="77777777" w:rsidR="008F16FC" w:rsidRPr="008F16FC" w:rsidRDefault="008F16FC" w:rsidP="008F16FC">
            <w:pPr>
              <w:jc w:val="right"/>
              <w:rPr>
                <w:b/>
                <w:bCs/>
                <w:color w:val="000000"/>
                <w:sz w:val="20"/>
                <w:szCs w:val="20"/>
              </w:rPr>
            </w:pPr>
            <w:r w:rsidRPr="008F16FC">
              <w:rPr>
                <w:b/>
                <w:bCs/>
                <w:color w:val="000000"/>
                <w:sz w:val="20"/>
                <w:szCs w:val="20"/>
              </w:rPr>
              <w:t>268.236</w:t>
            </w:r>
          </w:p>
        </w:tc>
        <w:tc>
          <w:tcPr>
            <w:tcW w:w="1200" w:type="dxa"/>
            <w:tcBorders>
              <w:top w:val="nil"/>
              <w:left w:val="nil"/>
              <w:bottom w:val="nil"/>
              <w:right w:val="nil"/>
            </w:tcBorders>
            <w:shd w:val="clear" w:color="000000" w:fill="A6A6A6"/>
            <w:noWrap/>
            <w:vAlign w:val="center"/>
            <w:hideMark/>
          </w:tcPr>
          <w:p w14:paraId="68761C26" w14:textId="77777777" w:rsidR="008F16FC" w:rsidRPr="008F16FC" w:rsidRDefault="008F16FC" w:rsidP="008F16FC">
            <w:pPr>
              <w:jc w:val="right"/>
              <w:rPr>
                <w:b/>
                <w:bCs/>
                <w:color w:val="000000"/>
                <w:sz w:val="20"/>
                <w:szCs w:val="20"/>
              </w:rPr>
            </w:pPr>
            <w:r w:rsidRPr="008F16FC">
              <w:rPr>
                <w:b/>
                <w:bCs/>
                <w:color w:val="000000"/>
                <w:sz w:val="20"/>
                <w:szCs w:val="20"/>
              </w:rPr>
              <w:t>-386.042</w:t>
            </w:r>
          </w:p>
        </w:tc>
        <w:tc>
          <w:tcPr>
            <w:tcW w:w="940" w:type="dxa"/>
            <w:tcBorders>
              <w:top w:val="nil"/>
              <w:left w:val="nil"/>
              <w:bottom w:val="nil"/>
              <w:right w:val="nil"/>
            </w:tcBorders>
            <w:shd w:val="clear" w:color="000000" w:fill="A6A6A6"/>
            <w:noWrap/>
            <w:vAlign w:val="center"/>
            <w:hideMark/>
          </w:tcPr>
          <w:p w14:paraId="1622DC70" w14:textId="77777777" w:rsidR="008F16FC" w:rsidRPr="008F16FC" w:rsidRDefault="008F16FC" w:rsidP="008F16FC">
            <w:pPr>
              <w:jc w:val="right"/>
              <w:rPr>
                <w:b/>
                <w:bCs/>
                <w:color w:val="000000"/>
                <w:sz w:val="20"/>
                <w:szCs w:val="20"/>
              </w:rPr>
            </w:pPr>
            <w:r w:rsidRPr="008F16FC">
              <w:rPr>
                <w:b/>
                <w:bCs/>
                <w:color w:val="000000"/>
                <w:sz w:val="20"/>
                <w:szCs w:val="20"/>
              </w:rPr>
              <w:t>654.278</w:t>
            </w:r>
          </w:p>
        </w:tc>
        <w:tc>
          <w:tcPr>
            <w:tcW w:w="1074" w:type="dxa"/>
            <w:tcBorders>
              <w:top w:val="nil"/>
              <w:left w:val="nil"/>
              <w:bottom w:val="nil"/>
              <w:right w:val="nil"/>
            </w:tcBorders>
            <w:shd w:val="clear" w:color="000000" w:fill="A6A6A6"/>
            <w:vAlign w:val="center"/>
            <w:hideMark/>
          </w:tcPr>
          <w:p w14:paraId="526F671D" w14:textId="77777777" w:rsidR="008F16FC" w:rsidRPr="008F16FC" w:rsidRDefault="008F16FC" w:rsidP="008F16FC">
            <w:pPr>
              <w:jc w:val="right"/>
              <w:rPr>
                <w:b/>
                <w:bCs/>
                <w:color w:val="000000"/>
                <w:sz w:val="20"/>
                <w:szCs w:val="20"/>
              </w:rPr>
            </w:pPr>
            <w:r w:rsidRPr="008F16FC">
              <w:rPr>
                <w:b/>
                <w:bCs/>
                <w:color w:val="000000"/>
                <w:sz w:val="20"/>
                <w:szCs w:val="20"/>
              </w:rPr>
              <w:t>-169%</w:t>
            </w:r>
          </w:p>
        </w:tc>
      </w:tr>
      <w:tr w:rsidR="008F16FC" w:rsidRPr="008F16FC" w14:paraId="325D3A01" w14:textId="77777777" w:rsidTr="00BA304B">
        <w:trPr>
          <w:trHeight w:val="300"/>
        </w:trPr>
        <w:tc>
          <w:tcPr>
            <w:tcW w:w="4307" w:type="dxa"/>
            <w:tcBorders>
              <w:top w:val="nil"/>
              <w:left w:val="nil"/>
              <w:bottom w:val="nil"/>
              <w:right w:val="nil"/>
            </w:tcBorders>
            <w:shd w:val="clear" w:color="auto" w:fill="auto"/>
            <w:noWrap/>
            <w:vAlign w:val="bottom"/>
            <w:hideMark/>
          </w:tcPr>
          <w:p w14:paraId="50B08D61" w14:textId="77777777" w:rsidR="008F16FC" w:rsidRPr="008F16FC" w:rsidRDefault="008F16FC" w:rsidP="008F16FC">
            <w:pPr>
              <w:rPr>
                <w:color w:val="000000"/>
                <w:sz w:val="20"/>
                <w:szCs w:val="20"/>
              </w:rPr>
            </w:pPr>
          </w:p>
        </w:tc>
        <w:tc>
          <w:tcPr>
            <w:tcW w:w="1200" w:type="dxa"/>
            <w:tcBorders>
              <w:top w:val="nil"/>
              <w:left w:val="nil"/>
              <w:bottom w:val="nil"/>
              <w:right w:val="nil"/>
            </w:tcBorders>
            <w:shd w:val="clear" w:color="auto" w:fill="auto"/>
            <w:noWrap/>
            <w:vAlign w:val="bottom"/>
            <w:hideMark/>
          </w:tcPr>
          <w:p w14:paraId="202CB196" w14:textId="77777777" w:rsidR="008F16FC" w:rsidRPr="008F16FC" w:rsidRDefault="008F16FC" w:rsidP="008F16FC">
            <w:pPr>
              <w:rPr>
                <w:color w:val="000000"/>
                <w:sz w:val="20"/>
                <w:szCs w:val="20"/>
              </w:rPr>
            </w:pPr>
          </w:p>
        </w:tc>
        <w:tc>
          <w:tcPr>
            <w:tcW w:w="1200" w:type="dxa"/>
            <w:tcBorders>
              <w:top w:val="nil"/>
              <w:left w:val="nil"/>
              <w:bottom w:val="nil"/>
              <w:right w:val="nil"/>
            </w:tcBorders>
            <w:shd w:val="clear" w:color="auto" w:fill="auto"/>
            <w:noWrap/>
            <w:vAlign w:val="bottom"/>
            <w:hideMark/>
          </w:tcPr>
          <w:p w14:paraId="6DA577D2" w14:textId="77777777" w:rsidR="008F16FC" w:rsidRPr="008F16FC" w:rsidRDefault="008F16FC" w:rsidP="008F16FC">
            <w:pPr>
              <w:rPr>
                <w:color w:val="000000"/>
                <w:sz w:val="20"/>
                <w:szCs w:val="20"/>
              </w:rPr>
            </w:pPr>
          </w:p>
        </w:tc>
        <w:tc>
          <w:tcPr>
            <w:tcW w:w="940" w:type="dxa"/>
            <w:tcBorders>
              <w:top w:val="nil"/>
              <w:left w:val="nil"/>
              <w:bottom w:val="nil"/>
              <w:right w:val="nil"/>
            </w:tcBorders>
            <w:shd w:val="clear" w:color="auto" w:fill="auto"/>
            <w:noWrap/>
            <w:vAlign w:val="bottom"/>
            <w:hideMark/>
          </w:tcPr>
          <w:p w14:paraId="7FF29332" w14:textId="77777777" w:rsidR="008F16FC" w:rsidRPr="008F16FC" w:rsidRDefault="008F16FC" w:rsidP="008F16FC">
            <w:pPr>
              <w:rPr>
                <w:color w:val="000000"/>
                <w:sz w:val="20"/>
                <w:szCs w:val="20"/>
              </w:rPr>
            </w:pPr>
          </w:p>
        </w:tc>
        <w:tc>
          <w:tcPr>
            <w:tcW w:w="1074" w:type="dxa"/>
            <w:tcBorders>
              <w:top w:val="nil"/>
              <w:left w:val="nil"/>
              <w:bottom w:val="nil"/>
              <w:right w:val="nil"/>
            </w:tcBorders>
            <w:shd w:val="clear" w:color="auto" w:fill="auto"/>
            <w:vAlign w:val="center"/>
            <w:hideMark/>
          </w:tcPr>
          <w:p w14:paraId="1805D230" w14:textId="77777777" w:rsidR="008F16FC" w:rsidRPr="008F16FC" w:rsidRDefault="008F16FC" w:rsidP="008F16FC">
            <w:pPr>
              <w:rPr>
                <w:color w:val="000000"/>
                <w:sz w:val="20"/>
                <w:szCs w:val="20"/>
              </w:rPr>
            </w:pPr>
          </w:p>
        </w:tc>
      </w:tr>
      <w:tr w:rsidR="008F16FC" w:rsidRPr="008F16FC" w14:paraId="4C9BD3F5" w14:textId="77777777" w:rsidTr="00BA304B">
        <w:trPr>
          <w:trHeight w:val="300"/>
        </w:trPr>
        <w:tc>
          <w:tcPr>
            <w:tcW w:w="4307" w:type="dxa"/>
            <w:tcBorders>
              <w:top w:val="nil"/>
              <w:left w:val="nil"/>
              <w:bottom w:val="nil"/>
              <w:right w:val="nil"/>
            </w:tcBorders>
            <w:shd w:val="clear" w:color="auto" w:fill="auto"/>
            <w:noWrap/>
            <w:vAlign w:val="bottom"/>
            <w:hideMark/>
          </w:tcPr>
          <w:p w14:paraId="3D87058A" w14:textId="77777777" w:rsidR="008F16FC" w:rsidRPr="008F16FC" w:rsidRDefault="008F16FC" w:rsidP="008F16FC">
            <w:pPr>
              <w:rPr>
                <w:color w:val="000000"/>
                <w:sz w:val="20"/>
                <w:szCs w:val="20"/>
              </w:rPr>
            </w:pPr>
          </w:p>
        </w:tc>
        <w:tc>
          <w:tcPr>
            <w:tcW w:w="1200" w:type="dxa"/>
            <w:tcBorders>
              <w:top w:val="nil"/>
              <w:left w:val="nil"/>
              <w:bottom w:val="nil"/>
              <w:right w:val="nil"/>
            </w:tcBorders>
            <w:shd w:val="clear" w:color="auto" w:fill="auto"/>
            <w:noWrap/>
            <w:vAlign w:val="bottom"/>
            <w:hideMark/>
          </w:tcPr>
          <w:p w14:paraId="7FEC5C6A" w14:textId="77777777" w:rsidR="008F16FC" w:rsidRPr="008F16FC" w:rsidRDefault="008F16FC" w:rsidP="008F16FC">
            <w:pPr>
              <w:rPr>
                <w:color w:val="000000"/>
                <w:sz w:val="20"/>
                <w:szCs w:val="20"/>
              </w:rPr>
            </w:pPr>
          </w:p>
        </w:tc>
        <w:tc>
          <w:tcPr>
            <w:tcW w:w="1200" w:type="dxa"/>
            <w:tcBorders>
              <w:top w:val="nil"/>
              <w:left w:val="nil"/>
              <w:bottom w:val="nil"/>
              <w:right w:val="nil"/>
            </w:tcBorders>
            <w:shd w:val="clear" w:color="auto" w:fill="auto"/>
            <w:noWrap/>
            <w:vAlign w:val="bottom"/>
            <w:hideMark/>
          </w:tcPr>
          <w:p w14:paraId="29A2542E" w14:textId="77777777" w:rsidR="008F16FC" w:rsidRPr="008F16FC" w:rsidRDefault="008F16FC" w:rsidP="008F16FC">
            <w:pPr>
              <w:rPr>
                <w:color w:val="000000"/>
                <w:sz w:val="20"/>
                <w:szCs w:val="20"/>
              </w:rPr>
            </w:pPr>
          </w:p>
        </w:tc>
        <w:tc>
          <w:tcPr>
            <w:tcW w:w="940" w:type="dxa"/>
            <w:tcBorders>
              <w:top w:val="nil"/>
              <w:left w:val="nil"/>
              <w:bottom w:val="nil"/>
              <w:right w:val="nil"/>
            </w:tcBorders>
            <w:shd w:val="clear" w:color="auto" w:fill="auto"/>
            <w:noWrap/>
            <w:vAlign w:val="bottom"/>
            <w:hideMark/>
          </w:tcPr>
          <w:p w14:paraId="53844459" w14:textId="77777777" w:rsidR="008F16FC" w:rsidRPr="008F16FC" w:rsidRDefault="008F16FC" w:rsidP="008F16FC">
            <w:pPr>
              <w:rPr>
                <w:color w:val="000000"/>
                <w:sz w:val="20"/>
                <w:szCs w:val="20"/>
              </w:rPr>
            </w:pPr>
          </w:p>
        </w:tc>
        <w:tc>
          <w:tcPr>
            <w:tcW w:w="1074" w:type="dxa"/>
            <w:tcBorders>
              <w:top w:val="nil"/>
              <w:left w:val="nil"/>
              <w:bottom w:val="nil"/>
              <w:right w:val="nil"/>
            </w:tcBorders>
            <w:shd w:val="clear" w:color="auto" w:fill="auto"/>
            <w:vAlign w:val="center"/>
            <w:hideMark/>
          </w:tcPr>
          <w:p w14:paraId="143EE9CB" w14:textId="77777777" w:rsidR="008F16FC" w:rsidRPr="008F16FC" w:rsidRDefault="008F16FC" w:rsidP="008F16FC">
            <w:pPr>
              <w:rPr>
                <w:color w:val="000000"/>
                <w:sz w:val="20"/>
                <w:szCs w:val="20"/>
              </w:rPr>
            </w:pPr>
          </w:p>
        </w:tc>
      </w:tr>
      <w:tr w:rsidR="008F16FC" w:rsidRPr="00512442" w14:paraId="2219634C" w14:textId="77777777" w:rsidTr="00BA304B">
        <w:trPr>
          <w:trHeight w:val="300"/>
        </w:trPr>
        <w:tc>
          <w:tcPr>
            <w:tcW w:w="7647" w:type="dxa"/>
            <w:gridSpan w:val="4"/>
            <w:tcBorders>
              <w:top w:val="nil"/>
              <w:left w:val="nil"/>
              <w:bottom w:val="nil"/>
              <w:right w:val="nil"/>
            </w:tcBorders>
            <w:shd w:val="clear" w:color="auto" w:fill="auto"/>
            <w:noWrap/>
            <w:vAlign w:val="center"/>
            <w:hideMark/>
          </w:tcPr>
          <w:p w14:paraId="111F3539" w14:textId="77777777" w:rsidR="008F16FC" w:rsidRPr="008F16FC" w:rsidRDefault="008F16FC" w:rsidP="008F16FC">
            <w:pPr>
              <w:jc w:val="both"/>
              <w:rPr>
                <w:b/>
                <w:bCs/>
                <w:color w:val="000000"/>
                <w:sz w:val="20"/>
                <w:szCs w:val="20"/>
                <w:lang w:val="es-ES"/>
              </w:rPr>
            </w:pPr>
            <w:r w:rsidRPr="008F16FC">
              <w:rPr>
                <w:b/>
                <w:bCs/>
                <w:color w:val="000000"/>
                <w:sz w:val="20"/>
                <w:szCs w:val="20"/>
                <w:lang w:val="es-ES"/>
              </w:rPr>
              <w:t>OTRO RESULTADO INTEGRAL DEL PERIODO</w:t>
            </w:r>
          </w:p>
        </w:tc>
        <w:tc>
          <w:tcPr>
            <w:tcW w:w="1074" w:type="dxa"/>
            <w:tcBorders>
              <w:top w:val="nil"/>
              <w:left w:val="nil"/>
              <w:bottom w:val="nil"/>
              <w:right w:val="nil"/>
            </w:tcBorders>
            <w:shd w:val="clear" w:color="auto" w:fill="auto"/>
            <w:vAlign w:val="center"/>
            <w:hideMark/>
          </w:tcPr>
          <w:p w14:paraId="75498FAA" w14:textId="77777777" w:rsidR="008F16FC" w:rsidRPr="008F16FC" w:rsidRDefault="008F16FC" w:rsidP="008F16FC">
            <w:pPr>
              <w:rPr>
                <w:b/>
                <w:bCs/>
                <w:color w:val="000000"/>
                <w:sz w:val="20"/>
                <w:szCs w:val="20"/>
                <w:lang w:val="es-ES"/>
              </w:rPr>
            </w:pPr>
          </w:p>
        </w:tc>
      </w:tr>
      <w:tr w:rsidR="008F16FC" w:rsidRPr="00512442" w14:paraId="0B395758" w14:textId="77777777" w:rsidTr="00BA304B">
        <w:trPr>
          <w:trHeight w:val="300"/>
        </w:trPr>
        <w:tc>
          <w:tcPr>
            <w:tcW w:w="6707" w:type="dxa"/>
            <w:gridSpan w:val="3"/>
            <w:tcBorders>
              <w:top w:val="nil"/>
              <w:left w:val="nil"/>
              <w:bottom w:val="nil"/>
              <w:right w:val="nil"/>
            </w:tcBorders>
            <w:shd w:val="clear" w:color="auto" w:fill="auto"/>
            <w:noWrap/>
            <w:vAlign w:val="center"/>
            <w:hideMark/>
          </w:tcPr>
          <w:p w14:paraId="43031BDF" w14:textId="77777777" w:rsidR="008F16FC" w:rsidRPr="008F16FC" w:rsidRDefault="008F16FC" w:rsidP="008F16FC">
            <w:pPr>
              <w:jc w:val="both"/>
              <w:rPr>
                <w:b/>
                <w:bCs/>
                <w:color w:val="000000"/>
                <w:sz w:val="20"/>
                <w:szCs w:val="20"/>
                <w:lang w:val="es-ES"/>
              </w:rPr>
            </w:pPr>
            <w:r w:rsidRPr="008F16FC">
              <w:rPr>
                <w:b/>
                <w:bCs/>
                <w:color w:val="000000"/>
                <w:sz w:val="20"/>
                <w:szCs w:val="20"/>
                <w:lang w:val="es-ES"/>
              </w:rPr>
              <w:t>Que se clasificará en resultados</w:t>
            </w:r>
          </w:p>
        </w:tc>
        <w:tc>
          <w:tcPr>
            <w:tcW w:w="940" w:type="dxa"/>
            <w:tcBorders>
              <w:top w:val="nil"/>
              <w:left w:val="nil"/>
              <w:bottom w:val="nil"/>
              <w:right w:val="nil"/>
            </w:tcBorders>
            <w:shd w:val="clear" w:color="auto" w:fill="auto"/>
            <w:noWrap/>
            <w:vAlign w:val="bottom"/>
            <w:hideMark/>
          </w:tcPr>
          <w:p w14:paraId="69511BDE" w14:textId="77777777" w:rsidR="008F16FC" w:rsidRPr="008F16FC" w:rsidRDefault="008F16FC" w:rsidP="008F16FC">
            <w:pPr>
              <w:rPr>
                <w:color w:val="000000"/>
                <w:sz w:val="20"/>
                <w:szCs w:val="20"/>
                <w:lang w:val="es-ES"/>
              </w:rPr>
            </w:pPr>
          </w:p>
        </w:tc>
        <w:tc>
          <w:tcPr>
            <w:tcW w:w="1074" w:type="dxa"/>
            <w:tcBorders>
              <w:top w:val="nil"/>
              <w:left w:val="nil"/>
              <w:bottom w:val="nil"/>
              <w:right w:val="nil"/>
            </w:tcBorders>
            <w:shd w:val="clear" w:color="auto" w:fill="auto"/>
            <w:vAlign w:val="center"/>
            <w:hideMark/>
          </w:tcPr>
          <w:p w14:paraId="67A6F607" w14:textId="77777777" w:rsidR="008F16FC" w:rsidRPr="008F16FC" w:rsidRDefault="008F16FC" w:rsidP="008F16FC">
            <w:pPr>
              <w:rPr>
                <w:b/>
                <w:bCs/>
                <w:color w:val="000000"/>
                <w:sz w:val="20"/>
                <w:szCs w:val="20"/>
                <w:lang w:val="es-ES"/>
              </w:rPr>
            </w:pPr>
          </w:p>
        </w:tc>
      </w:tr>
      <w:tr w:rsidR="008F16FC" w:rsidRPr="008F16FC" w14:paraId="0E6653E6" w14:textId="77777777" w:rsidTr="00BA304B">
        <w:trPr>
          <w:trHeight w:val="255"/>
        </w:trPr>
        <w:tc>
          <w:tcPr>
            <w:tcW w:w="4307" w:type="dxa"/>
            <w:tcBorders>
              <w:top w:val="nil"/>
              <w:left w:val="nil"/>
              <w:bottom w:val="nil"/>
              <w:right w:val="nil"/>
            </w:tcBorders>
            <w:shd w:val="clear" w:color="auto" w:fill="auto"/>
            <w:noWrap/>
            <w:vAlign w:val="center"/>
            <w:hideMark/>
          </w:tcPr>
          <w:p w14:paraId="31D8748E" w14:textId="77777777" w:rsidR="008F16FC" w:rsidRPr="008F16FC" w:rsidRDefault="008F16FC" w:rsidP="008F16FC">
            <w:pPr>
              <w:rPr>
                <w:color w:val="000000"/>
                <w:sz w:val="20"/>
                <w:szCs w:val="20"/>
              </w:rPr>
            </w:pPr>
            <w:r w:rsidRPr="008F16FC">
              <w:rPr>
                <w:color w:val="000000"/>
                <w:sz w:val="20"/>
                <w:szCs w:val="20"/>
              </w:rPr>
              <w:t>Diferencias de conversión</w:t>
            </w:r>
          </w:p>
        </w:tc>
        <w:tc>
          <w:tcPr>
            <w:tcW w:w="1200" w:type="dxa"/>
            <w:tcBorders>
              <w:top w:val="nil"/>
              <w:left w:val="nil"/>
              <w:bottom w:val="nil"/>
              <w:right w:val="nil"/>
            </w:tcBorders>
            <w:shd w:val="clear" w:color="auto" w:fill="auto"/>
            <w:noWrap/>
            <w:vAlign w:val="center"/>
            <w:hideMark/>
          </w:tcPr>
          <w:p w14:paraId="57FC3E28" w14:textId="77777777" w:rsidR="008F16FC" w:rsidRPr="008F16FC" w:rsidRDefault="008F16FC" w:rsidP="008F16FC">
            <w:pPr>
              <w:jc w:val="right"/>
              <w:rPr>
                <w:color w:val="000000"/>
                <w:sz w:val="20"/>
                <w:szCs w:val="20"/>
              </w:rPr>
            </w:pPr>
            <w:r w:rsidRPr="008F16FC">
              <w:rPr>
                <w:color w:val="000000"/>
                <w:sz w:val="20"/>
                <w:szCs w:val="20"/>
              </w:rPr>
              <w:t>-49.042</w:t>
            </w:r>
          </w:p>
        </w:tc>
        <w:tc>
          <w:tcPr>
            <w:tcW w:w="1200" w:type="dxa"/>
            <w:tcBorders>
              <w:top w:val="nil"/>
              <w:left w:val="nil"/>
              <w:bottom w:val="nil"/>
              <w:right w:val="nil"/>
            </w:tcBorders>
            <w:shd w:val="clear" w:color="auto" w:fill="auto"/>
            <w:noWrap/>
            <w:vAlign w:val="center"/>
            <w:hideMark/>
          </w:tcPr>
          <w:p w14:paraId="02E964D1" w14:textId="77777777" w:rsidR="008F16FC" w:rsidRPr="008F16FC" w:rsidRDefault="008F16FC" w:rsidP="008F16FC">
            <w:pPr>
              <w:jc w:val="right"/>
              <w:rPr>
                <w:color w:val="000000"/>
                <w:sz w:val="20"/>
                <w:szCs w:val="20"/>
              </w:rPr>
            </w:pPr>
            <w:r w:rsidRPr="008F16FC">
              <w:rPr>
                <w:color w:val="000000"/>
                <w:sz w:val="20"/>
                <w:szCs w:val="20"/>
              </w:rPr>
              <w:t>-29.025</w:t>
            </w:r>
          </w:p>
        </w:tc>
        <w:tc>
          <w:tcPr>
            <w:tcW w:w="940" w:type="dxa"/>
            <w:tcBorders>
              <w:top w:val="nil"/>
              <w:left w:val="nil"/>
              <w:bottom w:val="nil"/>
              <w:right w:val="nil"/>
            </w:tcBorders>
            <w:shd w:val="clear" w:color="auto" w:fill="auto"/>
            <w:noWrap/>
            <w:vAlign w:val="center"/>
            <w:hideMark/>
          </w:tcPr>
          <w:p w14:paraId="4ECD6910" w14:textId="77777777" w:rsidR="008F16FC" w:rsidRPr="008F16FC" w:rsidRDefault="008F16FC" w:rsidP="008F16FC">
            <w:pPr>
              <w:jc w:val="right"/>
              <w:rPr>
                <w:color w:val="000000"/>
                <w:sz w:val="20"/>
                <w:szCs w:val="20"/>
              </w:rPr>
            </w:pPr>
            <w:r w:rsidRPr="008F16FC">
              <w:rPr>
                <w:color w:val="000000"/>
                <w:sz w:val="20"/>
                <w:szCs w:val="20"/>
              </w:rPr>
              <w:t>-20.017</w:t>
            </w:r>
          </w:p>
        </w:tc>
        <w:tc>
          <w:tcPr>
            <w:tcW w:w="1074" w:type="dxa"/>
            <w:tcBorders>
              <w:top w:val="nil"/>
              <w:left w:val="nil"/>
              <w:bottom w:val="nil"/>
              <w:right w:val="nil"/>
            </w:tcBorders>
            <w:shd w:val="clear" w:color="auto" w:fill="auto"/>
            <w:vAlign w:val="center"/>
            <w:hideMark/>
          </w:tcPr>
          <w:p w14:paraId="39445B10" w14:textId="77777777" w:rsidR="008F16FC" w:rsidRPr="008F16FC" w:rsidRDefault="008F16FC" w:rsidP="008F16FC">
            <w:pPr>
              <w:jc w:val="right"/>
              <w:rPr>
                <w:color w:val="000000"/>
                <w:sz w:val="20"/>
                <w:szCs w:val="20"/>
              </w:rPr>
            </w:pPr>
            <w:r w:rsidRPr="008F16FC">
              <w:rPr>
                <w:color w:val="000000"/>
                <w:sz w:val="20"/>
                <w:szCs w:val="20"/>
              </w:rPr>
              <w:t>69%</w:t>
            </w:r>
          </w:p>
        </w:tc>
      </w:tr>
      <w:tr w:rsidR="008F16FC" w:rsidRPr="008F16FC" w14:paraId="4C27F15E" w14:textId="77777777" w:rsidTr="00BA304B">
        <w:trPr>
          <w:trHeight w:val="255"/>
        </w:trPr>
        <w:tc>
          <w:tcPr>
            <w:tcW w:w="4307" w:type="dxa"/>
            <w:tcBorders>
              <w:top w:val="nil"/>
              <w:left w:val="nil"/>
              <w:bottom w:val="nil"/>
              <w:right w:val="nil"/>
            </w:tcBorders>
            <w:shd w:val="clear" w:color="auto" w:fill="auto"/>
            <w:noWrap/>
            <w:vAlign w:val="center"/>
            <w:hideMark/>
          </w:tcPr>
          <w:p w14:paraId="06AD654A" w14:textId="77777777" w:rsidR="008F16FC" w:rsidRPr="008F16FC" w:rsidRDefault="008F16FC" w:rsidP="008F16FC">
            <w:pPr>
              <w:rPr>
                <w:color w:val="000000"/>
                <w:sz w:val="20"/>
                <w:szCs w:val="20"/>
              </w:rPr>
            </w:pPr>
            <w:r w:rsidRPr="008F16FC">
              <w:rPr>
                <w:color w:val="000000"/>
                <w:sz w:val="20"/>
                <w:szCs w:val="20"/>
              </w:rPr>
              <w:t>Superávit de revaluación</w:t>
            </w:r>
          </w:p>
        </w:tc>
        <w:tc>
          <w:tcPr>
            <w:tcW w:w="1200" w:type="dxa"/>
            <w:tcBorders>
              <w:top w:val="nil"/>
              <w:left w:val="nil"/>
              <w:bottom w:val="nil"/>
              <w:right w:val="nil"/>
            </w:tcBorders>
            <w:shd w:val="clear" w:color="auto" w:fill="auto"/>
            <w:noWrap/>
            <w:vAlign w:val="center"/>
            <w:hideMark/>
          </w:tcPr>
          <w:p w14:paraId="45138D57" w14:textId="77777777" w:rsidR="008F16FC" w:rsidRPr="008F16FC" w:rsidRDefault="008F16FC" w:rsidP="008F16FC">
            <w:pPr>
              <w:jc w:val="right"/>
              <w:rPr>
                <w:color w:val="000000"/>
                <w:sz w:val="20"/>
                <w:szCs w:val="20"/>
              </w:rPr>
            </w:pPr>
            <w:r w:rsidRPr="008F16FC">
              <w:rPr>
                <w:color w:val="000000"/>
                <w:sz w:val="20"/>
                <w:szCs w:val="20"/>
              </w:rPr>
              <w:t>-157.097</w:t>
            </w:r>
          </w:p>
        </w:tc>
        <w:tc>
          <w:tcPr>
            <w:tcW w:w="1200" w:type="dxa"/>
            <w:tcBorders>
              <w:top w:val="nil"/>
              <w:left w:val="nil"/>
              <w:bottom w:val="nil"/>
              <w:right w:val="nil"/>
            </w:tcBorders>
            <w:shd w:val="clear" w:color="auto" w:fill="auto"/>
            <w:noWrap/>
            <w:vAlign w:val="center"/>
            <w:hideMark/>
          </w:tcPr>
          <w:p w14:paraId="1A222B0F" w14:textId="77777777" w:rsidR="008F16FC" w:rsidRPr="008F16FC" w:rsidRDefault="008F16FC" w:rsidP="008F16FC">
            <w:pPr>
              <w:jc w:val="right"/>
              <w:rPr>
                <w:color w:val="000000"/>
                <w:sz w:val="20"/>
                <w:szCs w:val="20"/>
              </w:rPr>
            </w:pPr>
            <w:r w:rsidRPr="008F16FC">
              <w:rPr>
                <w:color w:val="000000"/>
                <w:sz w:val="20"/>
                <w:szCs w:val="20"/>
              </w:rPr>
              <w:t>436.358</w:t>
            </w:r>
          </w:p>
        </w:tc>
        <w:tc>
          <w:tcPr>
            <w:tcW w:w="940" w:type="dxa"/>
            <w:tcBorders>
              <w:top w:val="nil"/>
              <w:left w:val="nil"/>
              <w:bottom w:val="nil"/>
              <w:right w:val="nil"/>
            </w:tcBorders>
            <w:shd w:val="clear" w:color="auto" w:fill="auto"/>
            <w:noWrap/>
            <w:vAlign w:val="center"/>
            <w:hideMark/>
          </w:tcPr>
          <w:p w14:paraId="2BDA99DE" w14:textId="77777777" w:rsidR="008F16FC" w:rsidRPr="008F16FC" w:rsidRDefault="008F16FC" w:rsidP="008F16FC">
            <w:pPr>
              <w:jc w:val="right"/>
              <w:rPr>
                <w:color w:val="000000"/>
                <w:sz w:val="20"/>
                <w:szCs w:val="20"/>
              </w:rPr>
            </w:pPr>
            <w:r w:rsidRPr="008F16FC">
              <w:rPr>
                <w:color w:val="000000"/>
                <w:sz w:val="20"/>
                <w:szCs w:val="20"/>
              </w:rPr>
              <w:t>-593.455</w:t>
            </w:r>
          </w:p>
        </w:tc>
        <w:tc>
          <w:tcPr>
            <w:tcW w:w="1074" w:type="dxa"/>
            <w:tcBorders>
              <w:top w:val="nil"/>
              <w:left w:val="nil"/>
              <w:bottom w:val="nil"/>
              <w:right w:val="nil"/>
            </w:tcBorders>
            <w:shd w:val="clear" w:color="auto" w:fill="auto"/>
            <w:vAlign w:val="center"/>
            <w:hideMark/>
          </w:tcPr>
          <w:p w14:paraId="7C4DB50F" w14:textId="77777777" w:rsidR="008F16FC" w:rsidRPr="008F16FC" w:rsidRDefault="008F16FC" w:rsidP="008F16FC">
            <w:pPr>
              <w:jc w:val="right"/>
              <w:rPr>
                <w:color w:val="000000"/>
                <w:sz w:val="20"/>
                <w:szCs w:val="20"/>
              </w:rPr>
            </w:pPr>
            <w:r w:rsidRPr="008F16FC">
              <w:rPr>
                <w:color w:val="000000"/>
                <w:sz w:val="20"/>
                <w:szCs w:val="20"/>
              </w:rPr>
              <w:t>-136%</w:t>
            </w:r>
          </w:p>
        </w:tc>
      </w:tr>
      <w:tr w:rsidR="00AE6F90" w:rsidRPr="008F16FC" w14:paraId="3AE2EBF4" w14:textId="77777777" w:rsidTr="008F16FC">
        <w:trPr>
          <w:trHeight w:val="255"/>
        </w:trPr>
        <w:tc>
          <w:tcPr>
            <w:tcW w:w="4307" w:type="dxa"/>
            <w:tcBorders>
              <w:top w:val="nil"/>
              <w:left w:val="nil"/>
              <w:bottom w:val="nil"/>
              <w:right w:val="nil"/>
            </w:tcBorders>
            <w:shd w:val="clear" w:color="000000" w:fill="A6A6A6"/>
            <w:noWrap/>
            <w:vAlign w:val="center"/>
            <w:hideMark/>
          </w:tcPr>
          <w:p w14:paraId="336372CC" w14:textId="77777777" w:rsidR="008F16FC" w:rsidRPr="008F16FC" w:rsidRDefault="008F16FC" w:rsidP="008F16FC">
            <w:pPr>
              <w:rPr>
                <w:b/>
                <w:bCs/>
                <w:color w:val="000000"/>
                <w:sz w:val="20"/>
                <w:szCs w:val="20"/>
              </w:rPr>
            </w:pPr>
            <w:r w:rsidRPr="008F16FC">
              <w:rPr>
                <w:b/>
                <w:bCs/>
                <w:color w:val="000000"/>
                <w:sz w:val="20"/>
                <w:szCs w:val="20"/>
              </w:rPr>
              <w:t>Total</w:t>
            </w:r>
          </w:p>
        </w:tc>
        <w:tc>
          <w:tcPr>
            <w:tcW w:w="1200" w:type="dxa"/>
            <w:tcBorders>
              <w:top w:val="nil"/>
              <w:left w:val="nil"/>
              <w:bottom w:val="nil"/>
              <w:right w:val="nil"/>
            </w:tcBorders>
            <w:shd w:val="clear" w:color="000000" w:fill="A6A6A6"/>
            <w:noWrap/>
            <w:vAlign w:val="center"/>
            <w:hideMark/>
          </w:tcPr>
          <w:p w14:paraId="0937D92D" w14:textId="77777777" w:rsidR="008F16FC" w:rsidRPr="008F16FC" w:rsidRDefault="008F16FC" w:rsidP="008F16FC">
            <w:pPr>
              <w:jc w:val="right"/>
              <w:rPr>
                <w:b/>
                <w:bCs/>
                <w:color w:val="000000"/>
                <w:sz w:val="20"/>
                <w:szCs w:val="20"/>
              </w:rPr>
            </w:pPr>
            <w:r w:rsidRPr="008F16FC">
              <w:rPr>
                <w:b/>
                <w:bCs/>
                <w:color w:val="000000"/>
                <w:sz w:val="20"/>
                <w:szCs w:val="20"/>
              </w:rPr>
              <w:t>-206.139</w:t>
            </w:r>
          </w:p>
        </w:tc>
        <w:tc>
          <w:tcPr>
            <w:tcW w:w="1200" w:type="dxa"/>
            <w:tcBorders>
              <w:top w:val="nil"/>
              <w:left w:val="nil"/>
              <w:bottom w:val="nil"/>
              <w:right w:val="nil"/>
            </w:tcBorders>
            <w:shd w:val="clear" w:color="000000" w:fill="A6A6A6"/>
            <w:noWrap/>
            <w:vAlign w:val="center"/>
            <w:hideMark/>
          </w:tcPr>
          <w:p w14:paraId="3E933763" w14:textId="77777777" w:rsidR="008F16FC" w:rsidRPr="008F16FC" w:rsidRDefault="008F16FC" w:rsidP="008F16FC">
            <w:pPr>
              <w:jc w:val="right"/>
              <w:rPr>
                <w:b/>
                <w:bCs/>
                <w:color w:val="000000"/>
                <w:sz w:val="20"/>
                <w:szCs w:val="20"/>
              </w:rPr>
            </w:pPr>
            <w:r w:rsidRPr="008F16FC">
              <w:rPr>
                <w:b/>
                <w:bCs/>
                <w:color w:val="000000"/>
                <w:sz w:val="20"/>
                <w:szCs w:val="20"/>
              </w:rPr>
              <w:t>407.332</w:t>
            </w:r>
          </w:p>
        </w:tc>
        <w:tc>
          <w:tcPr>
            <w:tcW w:w="940" w:type="dxa"/>
            <w:tcBorders>
              <w:top w:val="nil"/>
              <w:left w:val="nil"/>
              <w:bottom w:val="nil"/>
              <w:right w:val="nil"/>
            </w:tcBorders>
            <w:shd w:val="clear" w:color="000000" w:fill="A6A6A6"/>
            <w:noWrap/>
            <w:vAlign w:val="center"/>
            <w:hideMark/>
          </w:tcPr>
          <w:p w14:paraId="30C0B8F7" w14:textId="77777777" w:rsidR="008F16FC" w:rsidRPr="008F16FC" w:rsidRDefault="008F16FC" w:rsidP="008F16FC">
            <w:pPr>
              <w:jc w:val="right"/>
              <w:rPr>
                <w:b/>
                <w:bCs/>
                <w:color w:val="000000"/>
                <w:sz w:val="20"/>
                <w:szCs w:val="20"/>
              </w:rPr>
            </w:pPr>
            <w:r w:rsidRPr="008F16FC">
              <w:rPr>
                <w:b/>
                <w:bCs/>
                <w:color w:val="000000"/>
                <w:sz w:val="20"/>
                <w:szCs w:val="20"/>
              </w:rPr>
              <w:t>-613.471</w:t>
            </w:r>
          </w:p>
        </w:tc>
        <w:tc>
          <w:tcPr>
            <w:tcW w:w="1074" w:type="dxa"/>
            <w:tcBorders>
              <w:top w:val="nil"/>
              <w:left w:val="nil"/>
              <w:bottom w:val="nil"/>
              <w:right w:val="nil"/>
            </w:tcBorders>
            <w:shd w:val="clear" w:color="000000" w:fill="A6A6A6"/>
            <w:vAlign w:val="center"/>
            <w:hideMark/>
          </w:tcPr>
          <w:p w14:paraId="6C84BA10" w14:textId="77777777" w:rsidR="008F16FC" w:rsidRPr="008F16FC" w:rsidRDefault="008F16FC" w:rsidP="008F16FC">
            <w:pPr>
              <w:jc w:val="right"/>
              <w:rPr>
                <w:b/>
                <w:bCs/>
                <w:color w:val="000000"/>
                <w:sz w:val="20"/>
                <w:szCs w:val="20"/>
              </w:rPr>
            </w:pPr>
            <w:r w:rsidRPr="008F16FC">
              <w:rPr>
                <w:b/>
                <w:bCs/>
                <w:color w:val="000000"/>
                <w:sz w:val="20"/>
                <w:szCs w:val="20"/>
              </w:rPr>
              <w:t>-151%</w:t>
            </w:r>
          </w:p>
        </w:tc>
      </w:tr>
      <w:tr w:rsidR="00AE6F90" w:rsidRPr="008F16FC" w14:paraId="08542D96" w14:textId="77777777" w:rsidTr="008F16FC">
        <w:trPr>
          <w:trHeight w:val="255"/>
        </w:trPr>
        <w:tc>
          <w:tcPr>
            <w:tcW w:w="4307" w:type="dxa"/>
            <w:tcBorders>
              <w:top w:val="nil"/>
              <w:left w:val="nil"/>
              <w:bottom w:val="nil"/>
              <w:right w:val="nil"/>
            </w:tcBorders>
            <w:shd w:val="clear" w:color="000000" w:fill="A6A6A6"/>
            <w:noWrap/>
            <w:vAlign w:val="center"/>
            <w:hideMark/>
          </w:tcPr>
          <w:p w14:paraId="2E82B819" w14:textId="77777777" w:rsidR="008F16FC" w:rsidRPr="008F16FC" w:rsidRDefault="008F16FC" w:rsidP="008F16FC">
            <w:pPr>
              <w:jc w:val="both"/>
              <w:rPr>
                <w:b/>
                <w:bCs/>
                <w:color w:val="000000"/>
                <w:sz w:val="20"/>
                <w:szCs w:val="20"/>
                <w:lang w:val="es-ES"/>
              </w:rPr>
            </w:pPr>
            <w:r w:rsidRPr="008F16FC">
              <w:rPr>
                <w:b/>
                <w:bCs/>
                <w:color w:val="000000"/>
                <w:sz w:val="20"/>
                <w:szCs w:val="20"/>
                <w:lang w:val="es-ES"/>
              </w:rPr>
              <w:t>Resultado integral total del período</w:t>
            </w:r>
          </w:p>
        </w:tc>
        <w:tc>
          <w:tcPr>
            <w:tcW w:w="1200" w:type="dxa"/>
            <w:tcBorders>
              <w:top w:val="nil"/>
              <w:left w:val="nil"/>
              <w:bottom w:val="nil"/>
              <w:right w:val="nil"/>
            </w:tcBorders>
            <w:shd w:val="clear" w:color="000000" w:fill="A6A6A6"/>
            <w:noWrap/>
            <w:vAlign w:val="center"/>
            <w:hideMark/>
          </w:tcPr>
          <w:p w14:paraId="67DD635B" w14:textId="77777777" w:rsidR="008F16FC" w:rsidRPr="008F16FC" w:rsidRDefault="008F16FC" w:rsidP="008F16FC">
            <w:pPr>
              <w:jc w:val="right"/>
              <w:rPr>
                <w:b/>
                <w:bCs/>
                <w:color w:val="000000"/>
                <w:sz w:val="20"/>
                <w:szCs w:val="20"/>
              </w:rPr>
            </w:pPr>
            <w:r w:rsidRPr="008F16FC">
              <w:rPr>
                <w:b/>
                <w:bCs/>
                <w:color w:val="000000"/>
                <w:sz w:val="20"/>
                <w:szCs w:val="20"/>
              </w:rPr>
              <w:t>62.097</w:t>
            </w:r>
          </w:p>
        </w:tc>
        <w:tc>
          <w:tcPr>
            <w:tcW w:w="1200" w:type="dxa"/>
            <w:tcBorders>
              <w:top w:val="nil"/>
              <w:left w:val="nil"/>
              <w:bottom w:val="nil"/>
              <w:right w:val="nil"/>
            </w:tcBorders>
            <w:shd w:val="clear" w:color="000000" w:fill="A6A6A6"/>
            <w:noWrap/>
            <w:vAlign w:val="center"/>
            <w:hideMark/>
          </w:tcPr>
          <w:p w14:paraId="333996D1" w14:textId="77777777" w:rsidR="008F16FC" w:rsidRPr="008F16FC" w:rsidRDefault="008F16FC" w:rsidP="008F16FC">
            <w:pPr>
              <w:jc w:val="right"/>
              <w:rPr>
                <w:b/>
                <w:bCs/>
                <w:color w:val="000000"/>
                <w:sz w:val="20"/>
                <w:szCs w:val="20"/>
              </w:rPr>
            </w:pPr>
            <w:r w:rsidRPr="008F16FC">
              <w:rPr>
                <w:b/>
                <w:bCs/>
                <w:color w:val="000000"/>
                <w:sz w:val="20"/>
                <w:szCs w:val="20"/>
              </w:rPr>
              <w:t>21.290</w:t>
            </w:r>
          </w:p>
        </w:tc>
        <w:tc>
          <w:tcPr>
            <w:tcW w:w="940" w:type="dxa"/>
            <w:tcBorders>
              <w:top w:val="nil"/>
              <w:left w:val="nil"/>
              <w:bottom w:val="nil"/>
              <w:right w:val="nil"/>
            </w:tcBorders>
            <w:shd w:val="clear" w:color="000000" w:fill="A6A6A6"/>
            <w:noWrap/>
            <w:vAlign w:val="center"/>
            <w:hideMark/>
          </w:tcPr>
          <w:p w14:paraId="435B93F6" w14:textId="77777777" w:rsidR="008F16FC" w:rsidRPr="008F16FC" w:rsidRDefault="008F16FC" w:rsidP="008F16FC">
            <w:pPr>
              <w:jc w:val="right"/>
              <w:rPr>
                <w:b/>
                <w:bCs/>
                <w:color w:val="000000"/>
                <w:sz w:val="20"/>
                <w:szCs w:val="20"/>
              </w:rPr>
            </w:pPr>
            <w:r w:rsidRPr="008F16FC">
              <w:rPr>
                <w:b/>
                <w:bCs/>
                <w:color w:val="000000"/>
                <w:sz w:val="20"/>
                <w:szCs w:val="20"/>
              </w:rPr>
              <w:t>40.807</w:t>
            </w:r>
          </w:p>
        </w:tc>
        <w:tc>
          <w:tcPr>
            <w:tcW w:w="1074" w:type="dxa"/>
            <w:tcBorders>
              <w:top w:val="nil"/>
              <w:left w:val="nil"/>
              <w:bottom w:val="nil"/>
              <w:right w:val="nil"/>
            </w:tcBorders>
            <w:shd w:val="clear" w:color="000000" w:fill="A6A6A6"/>
            <w:vAlign w:val="center"/>
            <w:hideMark/>
          </w:tcPr>
          <w:p w14:paraId="2B481B83" w14:textId="77777777" w:rsidR="008F16FC" w:rsidRPr="008F16FC" w:rsidRDefault="008F16FC" w:rsidP="008F16FC">
            <w:pPr>
              <w:jc w:val="right"/>
              <w:rPr>
                <w:b/>
                <w:bCs/>
                <w:color w:val="000000"/>
                <w:sz w:val="20"/>
                <w:szCs w:val="20"/>
              </w:rPr>
            </w:pPr>
            <w:r w:rsidRPr="008F16FC">
              <w:rPr>
                <w:b/>
                <w:bCs/>
                <w:color w:val="000000"/>
                <w:sz w:val="20"/>
                <w:szCs w:val="20"/>
              </w:rPr>
              <w:t>192%</w:t>
            </w:r>
          </w:p>
        </w:tc>
      </w:tr>
    </w:tbl>
    <w:p w14:paraId="2065816D" w14:textId="77777777" w:rsidR="008F16FC" w:rsidRPr="008F16FC" w:rsidRDefault="008F16FC" w:rsidP="008F16FC">
      <w:pPr>
        <w:widowControl w:val="0"/>
        <w:jc w:val="both"/>
        <w:rPr>
          <w:rFonts w:eastAsia="Calibri"/>
          <w:sz w:val="20"/>
          <w:szCs w:val="20"/>
          <w:lang w:val="es-MX"/>
        </w:rPr>
      </w:pPr>
    </w:p>
    <w:p w14:paraId="7122F355" w14:textId="77777777" w:rsidR="008F16FC" w:rsidRPr="008F16FC" w:rsidRDefault="008F16FC" w:rsidP="008F16FC">
      <w:pPr>
        <w:widowControl w:val="0"/>
        <w:jc w:val="both"/>
        <w:rPr>
          <w:rFonts w:eastAsia="Calibri"/>
          <w:sz w:val="20"/>
          <w:szCs w:val="20"/>
          <w:lang w:val="es-MX"/>
        </w:rPr>
      </w:pPr>
      <w:r w:rsidRPr="008F16FC">
        <w:rPr>
          <w:rFonts w:eastAsia="Calibri"/>
          <w:sz w:val="20"/>
          <w:szCs w:val="20"/>
          <w:lang w:val="es-MX"/>
        </w:rPr>
        <w:t>Con respecto al año 2019 se observa un aumento de la ganancia neta del ejercicio en comparación al ejercicio 2018 debido a:</w:t>
      </w:r>
    </w:p>
    <w:p w14:paraId="64DE01AE" w14:textId="77777777" w:rsidR="008F16FC" w:rsidRPr="007F031D" w:rsidRDefault="008F16FC" w:rsidP="00BA304B">
      <w:pPr>
        <w:widowControl w:val="0"/>
        <w:numPr>
          <w:ilvl w:val="0"/>
          <w:numId w:val="56"/>
        </w:numPr>
        <w:contextualSpacing/>
        <w:jc w:val="both"/>
        <w:rPr>
          <w:rFonts w:eastAsia="Calibri"/>
          <w:sz w:val="20"/>
          <w:lang w:val="es-MX"/>
        </w:rPr>
      </w:pPr>
      <w:r w:rsidRPr="00AE6F90">
        <w:rPr>
          <w:rFonts w:eastAsia="Calibri"/>
          <w:sz w:val="20"/>
          <w:lang w:val="es-MX"/>
        </w:rPr>
        <w:t>La alta incidencia de trabajos de ingeniería, construcción y montaje de reactores nucleares de investigación y plantas de radioisótopos con variados márgenes de contribución de acuerdo a la etapa en que se encuentra el contrato.</w:t>
      </w:r>
    </w:p>
    <w:p w14:paraId="33F36F84" w14:textId="77777777" w:rsidR="008F16FC" w:rsidRPr="007F031D" w:rsidRDefault="008F16FC" w:rsidP="00BA304B">
      <w:pPr>
        <w:widowControl w:val="0"/>
        <w:numPr>
          <w:ilvl w:val="0"/>
          <w:numId w:val="56"/>
        </w:numPr>
        <w:contextualSpacing/>
        <w:jc w:val="both"/>
        <w:rPr>
          <w:rFonts w:eastAsia="Calibri"/>
          <w:sz w:val="20"/>
          <w:lang w:val="es-MX"/>
        </w:rPr>
      </w:pPr>
      <w:r w:rsidRPr="007F031D">
        <w:rPr>
          <w:rFonts w:eastAsia="Calibri"/>
          <w:sz w:val="20"/>
          <w:lang w:val="es-MX"/>
        </w:rPr>
        <w:t xml:space="preserve"> La ejecución de los proyectos de exportación que se han visto impactados por la devaluación del Peso.</w:t>
      </w:r>
    </w:p>
    <w:p w14:paraId="1D09E5BC" w14:textId="77777777" w:rsidR="008F16FC" w:rsidRPr="007F031D" w:rsidRDefault="008F16FC" w:rsidP="00BA304B">
      <w:pPr>
        <w:widowControl w:val="0"/>
        <w:numPr>
          <w:ilvl w:val="0"/>
          <w:numId w:val="56"/>
        </w:numPr>
        <w:contextualSpacing/>
        <w:jc w:val="both"/>
        <w:rPr>
          <w:rFonts w:eastAsia="Calibri"/>
          <w:sz w:val="20"/>
          <w:lang w:val="es-MX"/>
        </w:rPr>
      </w:pPr>
      <w:r w:rsidRPr="007F031D">
        <w:rPr>
          <w:rFonts w:eastAsia="Calibri"/>
          <w:sz w:val="20"/>
          <w:lang w:val="es-MX"/>
        </w:rPr>
        <w:t>Los sólidos márgenes de contribución en el resultado bruto de la compañía derivado de tareas de integración, ensayos e ingeniería de proyectos satelitales, intensivos en mano de obra.</w:t>
      </w:r>
    </w:p>
    <w:p w14:paraId="1FBF1B6A" w14:textId="77777777" w:rsidR="008F16FC" w:rsidRPr="007F031D" w:rsidRDefault="008F16FC" w:rsidP="00BA304B">
      <w:pPr>
        <w:widowControl w:val="0"/>
        <w:numPr>
          <w:ilvl w:val="0"/>
          <w:numId w:val="56"/>
        </w:numPr>
        <w:contextualSpacing/>
        <w:jc w:val="both"/>
        <w:rPr>
          <w:rFonts w:eastAsia="Calibri"/>
          <w:sz w:val="20"/>
          <w:lang w:val="es-MX"/>
        </w:rPr>
      </w:pPr>
      <w:r w:rsidRPr="007F031D">
        <w:rPr>
          <w:rFonts w:eastAsia="Calibri"/>
          <w:sz w:val="20"/>
          <w:lang w:val="es-MX"/>
        </w:rPr>
        <w:t>La buena performance del proyecto de Bolivia para la construcción de tres centros médicos, que se está ejecutando a buen ritmo y con altos niveles de contribución al resultado de la empresa.</w:t>
      </w:r>
    </w:p>
    <w:p w14:paraId="018B7B3E" w14:textId="77777777" w:rsidR="008F16FC" w:rsidRPr="007F031D" w:rsidRDefault="008F16FC" w:rsidP="00BA304B">
      <w:pPr>
        <w:widowControl w:val="0"/>
        <w:numPr>
          <w:ilvl w:val="0"/>
          <w:numId w:val="56"/>
        </w:numPr>
        <w:contextualSpacing/>
        <w:jc w:val="both"/>
        <w:rPr>
          <w:rFonts w:eastAsia="Calibri"/>
          <w:sz w:val="20"/>
          <w:lang w:val="es-MX"/>
        </w:rPr>
      </w:pPr>
      <w:r w:rsidRPr="007F031D">
        <w:rPr>
          <w:rFonts w:eastAsia="Calibri"/>
          <w:sz w:val="20"/>
          <w:lang w:val="es-MX"/>
        </w:rPr>
        <w:t>La ejecución del resto de proyectos de Gobierno y de Medicina Nuclear en Argentina, con un variado mix de márgenes de contribución de acuerdo a la etapa de ejecución en la que se encuentran.</w:t>
      </w:r>
    </w:p>
    <w:p w14:paraId="5F03A2CF" w14:textId="77777777" w:rsidR="008F16FC" w:rsidRPr="008F16FC" w:rsidRDefault="008F16FC" w:rsidP="008F16FC">
      <w:pPr>
        <w:widowControl w:val="0"/>
        <w:jc w:val="both"/>
        <w:rPr>
          <w:rFonts w:eastAsia="Calibri"/>
          <w:sz w:val="20"/>
          <w:szCs w:val="20"/>
          <w:lang w:val="es-MX"/>
        </w:rPr>
      </w:pPr>
    </w:p>
    <w:p w14:paraId="2989BC43" w14:textId="77777777" w:rsidR="008F16FC" w:rsidRPr="008F16FC" w:rsidRDefault="008F16FC" w:rsidP="008F16FC">
      <w:pPr>
        <w:widowControl w:val="0"/>
        <w:jc w:val="both"/>
        <w:rPr>
          <w:rFonts w:eastAsia="Calibri"/>
          <w:sz w:val="20"/>
          <w:szCs w:val="20"/>
          <w:lang w:val="es-MX"/>
        </w:rPr>
      </w:pPr>
      <w:r w:rsidRPr="008F16FC">
        <w:rPr>
          <w:rFonts w:eastAsia="Calibri"/>
          <w:sz w:val="20"/>
          <w:szCs w:val="20"/>
          <w:lang w:val="es-MX"/>
        </w:rPr>
        <w:t>A continuación, se exponen comparativamente los resultados entre el período intermedio de tres meses finalizado el 30 de septiembre de 2019 y el ejercicio económico finalizado el 30 de junio de 2019.</w:t>
      </w:r>
    </w:p>
    <w:p w14:paraId="24082C36" w14:textId="77777777" w:rsidR="008F16FC" w:rsidRPr="008F16FC" w:rsidRDefault="008F16FC" w:rsidP="008F16FC">
      <w:pPr>
        <w:widowControl w:val="0"/>
        <w:jc w:val="both"/>
        <w:rPr>
          <w:rFonts w:eastAsia="Calibri"/>
          <w:sz w:val="20"/>
          <w:szCs w:val="20"/>
          <w:lang w:val="es-MX"/>
        </w:rPr>
      </w:pPr>
    </w:p>
    <w:tbl>
      <w:tblPr>
        <w:tblW w:w="9137" w:type="dxa"/>
        <w:tblInd w:w="55" w:type="dxa"/>
        <w:tblLayout w:type="fixed"/>
        <w:tblCellMar>
          <w:left w:w="70" w:type="dxa"/>
          <w:right w:w="70" w:type="dxa"/>
        </w:tblCellMar>
        <w:tblLook w:val="04A0" w:firstRow="1" w:lastRow="0" w:firstColumn="1" w:lastColumn="0" w:noHBand="0" w:noVBand="1"/>
      </w:tblPr>
      <w:tblGrid>
        <w:gridCol w:w="1074"/>
        <w:gridCol w:w="1356"/>
        <w:gridCol w:w="1356"/>
        <w:gridCol w:w="521"/>
        <w:gridCol w:w="1200"/>
        <w:gridCol w:w="1200"/>
        <w:gridCol w:w="112"/>
        <w:gridCol w:w="828"/>
        <w:gridCol w:w="134"/>
        <w:gridCol w:w="31"/>
        <w:gridCol w:w="1134"/>
        <w:gridCol w:w="191"/>
      </w:tblGrid>
      <w:tr w:rsidR="008F16FC" w:rsidRPr="008F16FC" w14:paraId="0C5F548E" w14:textId="77777777" w:rsidTr="008F16FC">
        <w:trPr>
          <w:gridAfter w:val="1"/>
          <w:wAfter w:w="191" w:type="dxa"/>
          <w:trHeight w:val="300"/>
        </w:trPr>
        <w:tc>
          <w:tcPr>
            <w:tcW w:w="4307" w:type="dxa"/>
            <w:gridSpan w:val="4"/>
            <w:tcBorders>
              <w:top w:val="nil"/>
              <w:left w:val="nil"/>
              <w:bottom w:val="nil"/>
              <w:right w:val="nil"/>
            </w:tcBorders>
            <w:shd w:val="clear" w:color="auto" w:fill="auto"/>
            <w:noWrap/>
            <w:vAlign w:val="bottom"/>
            <w:hideMark/>
          </w:tcPr>
          <w:p w14:paraId="6894CD3C" w14:textId="77777777" w:rsidR="008F16FC" w:rsidRPr="008F16FC" w:rsidRDefault="008F16FC" w:rsidP="008F16FC">
            <w:pPr>
              <w:rPr>
                <w:color w:val="000000"/>
                <w:sz w:val="20"/>
                <w:lang w:val="es-MX"/>
              </w:rPr>
            </w:pPr>
          </w:p>
        </w:tc>
        <w:tc>
          <w:tcPr>
            <w:tcW w:w="1200" w:type="dxa"/>
            <w:tcBorders>
              <w:top w:val="nil"/>
              <w:left w:val="nil"/>
              <w:bottom w:val="nil"/>
              <w:right w:val="nil"/>
            </w:tcBorders>
            <w:shd w:val="clear" w:color="auto" w:fill="auto"/>
            <w:noWrap/>
            <w:vAlign w:val="center"/>
            <w:hideMark/>
          </w:tcPr>
          <w:p w14:paraId="2F926ACA" w14:textId="77777777" w:rsidR="008F16FC" w:rsidRPr="008F16FC" w:rsidRDefault="008F16FC" w:rsidP="008F16FC">
            <w:pPr>
              <w:jc w:val="right"/>
              <w:rPr>
                <w:b/>
                <w:bCs/>
                <w:color w:val="000000"/>
                <w:sz w:val="20"/>
                <w:szCs w:val="20"/>
              </w:rPr>
            </w:pPr>
            <w:r w:rsidRPr="008F16FC">
              <w:rPr>
                <w:b/>
                <w:bCs/>
                <w:color w:val="000000"/>
                <w:sz w:val="20"/>
                <w:szCs w:val="20"/>
              </w:rPr>
              <w:t>30/09/2019</w:t>
            </w:r>
          </w:p>
        </w:tc>
        <w:tc>
          <w:tcPr>
            <w:tcW w:w="1200" w:type="dxa"/>
            <w:tcBorders>
              <w:top w:val="nil"/>
              <w:left w:val="nil"/>
              <w:bottom w:val="nil"/>
              <w:right w:val="nil"/>
            </w:tcBorders>
            <w:vAlign w:val="center"/>
          </w:tcPr>
          <w:p w14:paraId="1F1781C1" w14:textId="77777777" w:rsidR="008F16FC" w:rsidRPr="008F16FC" w:rsidRDefault="008F16FC" w:rsidP="008F16FC">
            <w:pPr>
              <w:jc w:val="right"/>
              <w:rPr>
                <w:b/>
                <w:bCs/>
                <w:color w:val="000000"/>
                <w:sz w:val="20"/>
                <w:szCs w:val="20"/>
              </w:rPr>
            </w:pPr>
            <w:r w:rsidRPr="008F16FC">
              <w:rPr>
                <w:b/>
                <w:bCs/>
                <w:color w:val="000000"/>
                <w:sz w:val="20"/>
                <w:szCs w:val="20"/>
              </w:rPr>
              <w:t xml:space="preserve">30/06/2019 </w:t>
            </w:r>
          </w:p>
        </w:tc>
        <w:tc>
          <w:tcPr>
            <w:tcW w:w="1105" w:type="dxa"/>
            <w:gridSpan w:val="4"/>
            <w:tcBorders>
              <w:top w:val="nil"/>
              <w:left w:val="nil"/>
              <w:bottom w:val="nil"/>
              <w:right w:val="nil"/>
            </w:tcBorders>
            <w:shd w:val="clear" w:color="auto" w:fill="auto"/>
            <w:vAlign w:val="center"/>
            <w:hideMark/>
          </w:tcPr>
          <w:p w14:paraId="63D98FB2" w14:textId="77777777" w:rsidR="008F16FC" w:rsidRPr="008F16FC" w:rsidRDefault="008F16FC" w:rsidP="008F16FC">
            <w:pPr>
              <w:jc w:val="right"/>
              <w:rPr>
                <w:b/>
                <w:bCs/>
                <w:color w:val="000000"/>
                <w:sz w:val="20"/>
                <w:szCs w:val="20"/>
              </w:rPr>
            </w:pPr>
            <w:r w:rsidRPr="008F16FC">
              <w:rPr>
                <w:b/>
                <w:bCs/>
                <w:color w:val="000000"/>
                <w:sz w:val="20"/>
                <w:szCs w:val="20"/>
              </w:rPr>
              <w:t>Absoluta</w:t>
            </w:r>
          </w:p>
        </w:tc>
        <w:tc>
          <w:tcPr>
            <w:tcW w:w="1134" w:type="dxa"/>
            <w:tcBorders>
              <w:top w:val="nil"/>
              <w:left w:val="nil"/>
              <w:bottom w:val="nil"/>
              <w:right w:val="nil"/>
            </w:tcBorders>
            <w:shd w:val="clear" w:color="auto" w:fill="auto"/>
            <w:vAlign w:val="center"/>
            <w:hideMark/>
          </w:tcPr>
          <w:p w14:paraId="2C6A7D8D" w14:textId="77777777" w:rsidR="008F16FC" w:rsidRPr="008F16FC" w:rsidRDefault="008F16FC" w:rsidP="008F16FC">
            <w:pPr>
              <w:jc w:val="center"/>
              <w:rPr>
                <w:b/>
                <w:bCs/>
                <w:color w:val="000000"/>
                <w:sz w:val="20"/>
                <w:szCs w:val="20"/>
              </w:rPr>
            </w:pPr>
            <w:r w:rsidRPr="008F16FC">
              <w:rPr>
                <w:b/>
                <w:bCs/>
                <w:color w:val="000000"/>
                <w:sz w:val="20"/>
                <w:szCs w:val="20"/>
              </w:rPr>
              <w:t>Porcentual</w:t>
            </w:r>
          </w:p>
        </w:tc>
      </w:tr>
      <w:tr w:rsidR="008F16FC" w:rsidRPr="008F16FC" w14:paraId="18F96DD7" w14:textId="77777777" w:rsidTr="008F16FC">
        <w:trPr>
          <w:gridAfter w:val="1"/>
          <w:wAfter w:w="191" w:type="dxa"/>
          <w:trHeight w:val="255"/>
        </w:trPr>
        <w:tc>
          <w:tcPr>
            <w:tcW w:w="4307" w:type="dxa"/>
            <w:gridSpan w:val="4"/>
            <w:tcBorders>
              <w:top w:val="nil"/>
              <w:left w:val="nil"/>
              <w:bottom w:val="nil"/>
              <w:right w:val="nil"/>
            </w:tcBorders>
            <w:shd w:val="clear" w:color="auto" w:fill="auto"/>
            <w:noWrap/>
            <w:vAlign w:val="center"/>
            <w:hideMark/>
          </w:tcPr>
          <w:p w14:paraId="403B8641" w14:textId="77777777" w:rsidR="008F16FC" w:rsidRPr="008F16FC" w:rsidRDefault="008F16FC" w:rsidP="008F16FC">
            <w:pPr>
              <w:rPr>
                <w:color w:val="000000"/>
                <w:sz w:val="20"/>
                <w:szCs w:val="20"/>
                <w:lang w:val="es-ES"/>
              </w:rPr>
            </w:pPr>
            <w:r w:rsidRPr="008F16FC">
              <w:rPr>
                <w:color w:val="000000"/>
                <w:sz w:val="20"/>
                <w:szCs w:val="20"/>
                <w:lang w:val="es-ES"/>
              </w:rPr>
              <w:t>Ingresos por contratos de construcción</w:t>
            </w:r>
          </w:p>
        </w:tc>
        <w:tc>
          <w:tcPr>
            <w:tcW w:w="1200" w:type="dxa"/>
            <w:tcBorders>
              <w:top w:val="nil"/>
              <w:left w:val="nil"/>
              <w:bottom w:val="nil"/>
              <w:right w:val="nil"/>
            </w:tcBorders>
            <w:shd w:val="clear" w:color="auto" w:fill="auto"/>
            <w:noWrap/>
            <w:vAlign w:val="bottom"/>
          </w:tcPr>
          <w:p w14:paraId="469A4E12" w14:textId="77777777" w:rsidR="008F16FC" w:rsidRPr="008F16FC" w:rsidRDefault="008F16FC" w:rsidP="008F16FC">
            <w:pPr>
              <w:rPr>
                <w:color w:val="000000"/>
                <w:sz w:val="20"/>
                <w:szCs w:val="20"/>
                <w:lang w:val="es-MX"/>
              </w:rPr>
            </w:pPr>
            <w:r w:rsidRPr="008F16FC">
              <w:rPr>
                <w:color w:val="000000"/>
                <w:sz w:val="20"/>
                <w:szCs w:val="20"/>
                <w:lang w:val="es-MX"/>
              </w:rPr>
              <w:t xml:space="preserve"> 3.010.407</w:t>
            </w:r>
          </w:p>
        </w:tc>
        <w:tc>
          <w:tcPr>
            <w:tcW w:w="1200" w:type="dxa"/>
            <w:tcBorders>
              <w:top w:val="nil"/>
              <w:left w:val="nil"/>
              <w:bottom w:val="nil"/>
              <w:right w:val="nil"/>
            </w:tcBorders>
            <w:vAlign w:val="bottom"/>
          </w:tcPr>
          <w:p w14:paraId="28B1D5F1" w14:textId="77777777" w:rsidR="008F16FC" w:rsidRPr="008F16FC" w:rsidRDefault="008F16FC" w:rsidP="008F16FC">
            <w:pPr>
              <w:rPr>
                <w:color w:val="000000"/>
                <w:sz w:val="20"/>
                <w:szCs w:val="20"/>
                <w:lang w:val="es-MX"/>
              </w:rPr>
            </w:pPr>
            <w:r w:rsidRPr="008F16FC">
              <w:rPr>
                <w:color w:val="000000"/>
                <w:sz w:val="20"/>
                <w:szCs w:val="20"/>
              </w:rPr>
              <w:t xml:space="preserve"> 8.497.127</w:t>
            </w:r>
          </w:p>
        </w:tc>
        <w:tc>
          <w:tcPr>
            <w:tcW w:w="1105" w:type="dxa"/>
            <w:gridSpan w:val="4"/>
            <w:tcBorders>
              <w:top w:val="nil"/>
              <w:left w:val="nil"/>
              <w:bottom w:val="nil"/>
              <w:right w:val="nil"/>
            </w:tcBorders>
            <w:shd w:val="clear" w:color="auto" w:fill="auto"/>
            <w:noWrap/>
            <w:vAlign w:val="bottom"/>
          </w:tcPr>
          <w:p w14:paraId="49694A61" w14:textId="77777777" w:rsidR="008F16FC" w:rsidRPr="008F16FC" w:rsidRDefault="008F16FC" w:rsidP="008F16FC">
            <w:pPr>
              <w:jc w:val="right"/>
              <w:rPr>
                <w:color w:val="000000"/>
                <w:sz w:val="20"/>
                <w:szCs w:val="20"/>
                <w:lang w:val="es-MX"/>
              </w:rPr>
            </w:pPr>
            <w:r w:rsidRPr="008F16FC">
              <w:rPr>
                <w:rFonts w:eastAsia="Calibri"/>
                <w:color w:val="000000"/>
                <w:sz w:val="20"/>
                <w:szCs w:val="20"/>
                <w:lang w:val="es-MX"/>
              </w:rPr>
              <w:t>-5.486.720</w:t>
            </w:r>
          </w:p>
        </w:tc>
        <w:tc>
          <w:tcPr>
            <w:tcW w:w="1134" w:type="dxa"/>
            <w:tcBorders>
              <w:top w:val="nil"/>
              <w:left w:val="nil"/>
              <w:bottom w:val="nil"/>
              <w:right w:val="nil"/>
            </w:tcBorders>
            <w:shd w:val="clear" w:color="auto" w:fill="auto"/>
            <w:vAlign w:val="bottom"/>
          </w:tcPr>
          <w:p w14:paraId="67573E2F" w14:textId="77777777" w:rsidR="008F16FC" w:rsidRPr="008F16FC" w:rsidRDefault="008F16FC" w:rsidP="008F16FC">
            <w:pPr>
              <w:jc w:val="right"/>
              <w:rPr>
                <w:color w:val="000000"/>
                <w:sz w:val="20"/>
                <w:szCs w:val="20"/>
                <w:lang w:val="es-MX"/>
              </w:rPr>
            </w:pPr>
            <w:r w:rsidRPr="008F16FC">
              <w:rPr>
                <w:rFonts w:eastAsia="Calibri"/>
                <w:color w:val="000000"/>
                <w:sz w:val="20"/>
                <w:szCs w:val="20"/>
                <w:lang w:val="es-MX"/>
              </w:rPr>
              <w:t xml:space="preserve"> -65%</w:t>
            </w:r>
          </w:p>
        </w:tc>
      </w:tr>
      <w:tr w:rsidR="008F16FC" w:rsidRPr="008F16FC" w14:paraId="06C7DF20" w14:textId="77777777" w:rsidTr="008F16FC">
        <w:trPr>
          <w:gridAfter w:val="1"/>
          <w:wAfter w:w="191" w:type="dxa"/>
          <w:trHeight w:val="255"/>
        </w:trPr>
        <w:tc>
          <w:tcPr>
            <w:tcW w:w="4307" w:type="dxa"/>
            <w:gridSpan w:val="4"/>
            <w:tcBorders>
              <w:top w:val="nil"/>
              <w:left w:val="nil"/>
              <w:bottom w:val="nil"/>
              <w:right w:val="nil"/>
            </w:tcBorders>
            <w:shd w:val="clear" w:color="auto" w:fill="auto"/>
            <w:noWrap/>
            <w:vAlign w:val="center"/>
            <w:hideMark/>
          </w:tcPr>
          <w:p w14:paraId="33F77FA3" w14:textId="77777777" w:rsidR="008F16FC" w:rsidRPr="008F16FC" w:rsidRDefault="008F16FC" w:rsidP="008F16FC">
            <w:pPr>
              <w:jc w:val="both"/>
              <w:rPr>
                <w:color w:val="000000"/>
                <w:sz w:val="20"/>
                <w:szCs w:val="20"/>
                <w:lang w:val="es-ES"/>
              </w:rPr>
            </w:pPr>
            <w:r w:rsidRPr="008F16FC">
              <w:rPr>
                <w:color w:val="000000"/>
                <w:sz w:val="20"/>
                <w:szCs w:val="20"/>
                <w:lang w:val="es-ES"/>
              </w:rPr>
              <w:t>Costo de ejecución de los contratos</w:t>
            </w:r>
          </w:p>
        </w:tc>
        <w:tc>
          <w:tcPr>
            <w:tcW w:w="1200" w:type="dxa"/>
            <w:tcBorders>
              <w:top w:val="nil"/>
              <w:left w:val="nil"/>
              <w:bottom w:val="nil"/>
              <w:right w:val="nil"/>
            </w:tcBorders>
            <w:shd w:val="clear" w:color="auto" w:fill="auto"/>
            <w:noWrap/>
            <w:vAlign w:val="bottom"/>
          </w:tcPr>
          <w:p w14:paraId="38E86256" w14:textId="77777777" w:rsidR="008F16FC" w:rsidRPr="008F16FC" w:rsidRDefault="008F16FC" w:rsidP="008F16FC">
            <w:pPr>
              <w:rPr>
                <w:color w:val="000000"/>
                <w:sz w:val="20"/>
                <w:szCs w:val="20"/>
                <w:lang w:val="es-MX"/>
              </w:rPr>
            </w:pPr>
            <w:r w:rsidRPr="008F16FC">
              <w:rPr>
                <w:color w:val="000000"/>
                <w:sz w:val="20"/>
                <w:szCs w:val="20"/>
                <w:lang w:val="es-MX"/>
              </w:rPr>
              <w:t>(2.165.603)</w:t>
            </w:r>
          </w:p>
        </w:tc>
        <w:tc>
          <w:tcPr>
            <w:tcW w:w="1200" w:type="dxa"/>
            <w:tcBorders>
              <w:top w:val="nil"/>
              <w:left w:val="nil"/>
              <w:bottom w:val="nil"/>
              <w:right w:val="nil"/>
            </w:tcBorders>
            <w:vAlign w:val="bottom"/>
          </w:tcPr>
          <w:p w14:paraId="46115A14" w14:textId="77777777" w:rsidR="008F16FC" w:rsidRPr="008F16FC" w:rsidRDefault="008F16FC" w:rsidP="008F16FC">
            <w:pPr>
              <w:rPr>
                <w:color w:val="000000"/>
                <w:sz w:val="20"/>
                <w:szCs w:val="20"/>
                <w:lang w:val="es-MX"/>
              </w:rPr>
            </w:pPr>
            <w:r w:rsidRPr="008F16FC">
              <w:rPr>
                <w:color w:val="000000"/>
                <w:sz w:val="20"/>
                <w:szCs w:val="20"/>
              </w:rPr>
              <w:t>(6.361.330)</w:t>
            </w:r>
          </w:p>
        </w:tc>
        <w:tc>
          <w:tcPr>
            <w:tcW w:w="1105" w:type="dxa"/>
            <w:gridSpan w:val="4"/>
            <w:tcBorders>
              <w:top w:val="nil"/>
              <w:left w:val="nil"/>
              <w:bottom w:val="nil"/>
              <w:right w:val="nil"/>
            </w:tcBorders>
            <w:shd w:val="clear" w:color="auto" w:fill="auto"/>
            <w:noWrap/>
            <w:vAlign w:val="bottom"/>
          </w:tcPr>
          <w:p w14:paraId="22B98D21" w14:textId="77777777" w:rsidR="008F16FC" w:rsidRPr="008F16FC" w:rsidRDefault="008F16FC" w:rsidP="008F16FC">
            <w:pPr>
              <w:jc w:val="right"/>
              <w:rPr>
                <w:color w:val="000000"/>
                <w:sz w:val="20"/>
                <w:szCs w:val="20"/>
                <w:lang w:val="es-MX"/>
              </w:rPr>
            </w:pPr>
            <w:r w:rsidRPr="008F16FC">
              <w:rPr>
                <w:rFonts w:eastAsia="Calibri"/>
                <w:color w:val="000000"/>
                <w:sz w:val="20"/>
                <w:szCs w:val="20"/>
                <w:lang w:val="es-MX"/>
              </w:rPr>
              <w:t xml:space="preserve"> 4.195.727</w:t>
            </w:r>
          </w:p>
        </w:tc>
        <w:tc>
          <w:tcPr>
            <w:tcW w:w="1134" w:type="dxa"/>
            <w:tcBorders>
              <w:top w:val="nil"/>
              <w:left w:val="nil"/>
              <w:bottom w:val="nil"/>
              <w:right w:val="nil"/>
            </w:tcBorders>
            <w:shd w:val="clear" w:color="auto" w:fill="auto"/>
            <w:vAlign w:val="bottom"/>
          </w:tcPr>
          <w:p w14:paraId="4367F8FD" w14:textId="77777777" w:rsidR="008F16FC" w:rsidRPr="008F16FC" w:rsidRDefault="008F16FC" w:rsidP="008F16FC">
            <w:pPr>
              <w:jc w:val="right"/>
              <w:rPr>
                <w:color w:val="000000"/>
                <w:sz w:val="20"/>
                <w:szCs w:val="20"/>
                <w:lang w:val="es-MX"/>
              </w:rPr>
            </w:pPr>
            <w:r w:rsidRPr="008F16FC">
              <w:rPr>
                <w:rFonts w:eastAsia="Calibri"/>
                <w:color w:val="000000"/>
                <w:sz w:val="20"/>
                <w:szCs w:val="20"/>
                <w:lang w:val="es-MX"/>
              </w:rPr>
              <w:t xml:space="preserve">  66%</w:t>
            </w:r>
          </w:p>
        </w:tc>
      </w:tr>
      <w:tr w:rsidR="008F16FC" w:rsidRPr="008F16FC" w14:paraId="054944F3" w14:textId="77777777" w:rsidTr="008F16FC">
        <w:trPr>
          <w:gridAfter w:val="1"/>
          <w:wAfter w:w="191" w:type="dxa"/>
          <w:trHeight w:val="255"/>
        </w:trPr>
        <w:tc>
          <w:tcPr>
            <w:tcW w:w="4307" w:type="dxa"/>
            <w:gridSpan w:val="4"/>
            <w:tcBorders>
              <w:top w:val="nil"/>
              <w:left w:val="nil"/>
              <w:bottom w:val="nil"/>
              <w:right w:val="nil"/>
            </w:tcBorders>
            <w:shd w:val="clear" w:color="000000" w:fill="D9D9D9"/>
            <w:noWrap/>
            <w:vAlign w:val="center"/>
            <w:hideMark/>
          </w:tcPr>
          <w:p w14:paraId="3CC7809A" w14:textId="77777777" w:rsidR="008F16FC" w:rsidRPr="008F16FC" w:rsidRDefault="008F16FC" w:rsidP="008F16FC">
            <w:pPr>
              <w:rPr>
                <w:b/>
                <w:bCs/>
                <w:color w:val="000000"/>
                <w:sz w:val="20"/>
                <w:szCs w:val="20"/>
              </w:rPr>
            </w:pPr>
            <w:r w:rsidRPr="008F16FC">
              <w:rPr>
                <w:b/>
                <w:bCs/>
                <w:color w:val="000000"/>
                <w:sz w:val="20"/>
                <w:szCs w:val="20"/>
              </w:rPr>
              <w:t>Ganancia Bruta</w:t>
            </w:r>
          </w:p>
        </w:tc>
        <w:tc>
          <w:tcPr>
            <w:tcW w:w="1200" w:type="dxa"/>
            <w:tcBorders>
              <w:top w:val="nil"/>
              <w:left w:val="nil"/>
              <w:bottom w:val="nil"/>
              <w:right w:val="nil"/>
            </w:tcBorders>
            <w:shd w:val="clear" w:color="000000" w:fill="D9D9D9"/>
            <w:noWrap/>
            <w:vAlign w:val="bottom"/>
          </w:tcPr>
          <w:p w14:paraId="4C9D73B4" w14:textId="77777777" w:rsidR="008F16FC" w:rsidRPr="008F16FC" w:rsidRDefault="008F16FC" w:rsidP="008F16FC">
            <w:pPr>
              <w:rPr>
                <w:b/>
                <w:bCs/>
                <w:color w:val="000000"/>
                <w:sz w:val="20"/>
                <w:szCs w:val="20"/>
              </w:rPr>
            </w:pPr>
            <w:r w:rsidRPr="008F16FC">
              <w:rPr>
                <w:b/>
                <w:bCs/>
                <w:color w:val="000000"/>
                <w:sz w:val="20"/>
                <w:szCs w:val="20"/>
              </w:rPr>
              <w:t xml:space="preserve">    844.805</w:t>
            </w:r>
          </w:p>
        </w:tc>
        <w:tc>
          <w:tcPr>
            <w:tcW w:w="1200" w:type="dxa"/>
            <w:tcBorders>
              <w:top w:val="nil"/>
              <w:left w:val="nil"/>
              <w:bottom w:val="nil"/>
              <w:right w:val="nil"/>
            </w:tcBorders>
            <w:shd w:val="clear" w:color="000000" w:fill="D9D9D9"/>
            <w:vAlign w:val="bottom"/>
          </w:tcPr>
          <w:p w14:paraId="4F6C9F79" w14:textId="77777777" w:rsidR="008F16FC" w:rsidRPr="008F16FC" w:rsidRDefault="008F16FC" w:rsidP="008F16FC">
            <w:pPr>
              <w:rPr>
                <w:b/>
                <w:bCs/>
                <w:color w:val="000000"/>
                <w:sz w:val="20"/>
                <w:szCs w:val="20"/>
              </w:rPr>
            </w:pPr>
            <w:r w:rsidRPr="008F16FC">
              <w:rPr>
                <w:b/>
                <w:bCs/>
                <w:color w:val="000000"/>
                <w:sz w:val="20"/>
                <w:szCs w:val="20"/>
              </w:rPr>
              <w:t xml:space="preserve"> 2.135.797</w:t>
            </w:r>
          </w:p>
        </w:tc>
        <w:tc>
          <w:tcPr>
            <w:tcW w:w="1105" w:type="dxa"/>
            <w:gridSpan w:val="4"/>
            <w:tcBorders>
              <w:top w:val="nil"/>
              <w:left w:val="nil"/>
              <w:bottom w:val="nil"/>
              <w:right w:val="nil"/>
            </w:tcBorders>
            <w:shd w:val="clear" w:color="000000" w:fill="D9D9D9"/>
            <w:noWrap/>
            <w:vAlign w:val="bottom"/>
          </w:tcPr>
          <w:p w14:paraId="152ED20E" w14:textId="77777777" w:rsidR="008F16FC" w:rsidRPr="008F16FC" w:rsidRDefault="008F16FC" w:rsidP="008F16FC">
            <w:pPr>
              <w:jc w:val="right"/>
              <w:rPr>
                <w:b/>
                <w:bCs/>
                <w:color w:val="000000"/>
                <w:sz w:val="20"/>
                <w:szCs w:val="20"/>
              </w:rPr>
            </w:pPr>
            <w:r w:rsidRPr="008F16FC">
              <w:rPr>
                <w:rFonts w:eastAsia="Calibri"/>
                <w:color w:val="000000"/>
                <w:sz w:val="20"/>
                <w:szCs w:val="20"/>
                <w:lang w:val="es-MX"/>
              </w:rPr>
              <w:t>-1.290.992</w:t>
            </w:r>
          </w:p>
        </w:tc>
        <w:tc>
          <w:tcPr>
            <w:tcW w:w="1134" w:type="dxa"/>
            <w:tcBorders>
              <w:top w:val="nil"/>
              <w:left w:val="nil"/>
              <w:bottom w:val="nil"/>
              <w:right w:val="nil"/>
            </w:tcBorders>
            <w:shd w:val="clear" w:color="000000" w:fill="D9D9D9"/>
            <w:vAlign w:val="bottom"/>
          </w:tcPr>
          <w:p w14:paraId="403D288B" w14:textId="77777777" w:rsidR="008F16FC" w:rsidRPr="008F16FC" w:rsidRDefault="008F16FC" w:rsidP="008F16FC">
            <w:pPr>
              <w:jc w:val="right"/>
              <w:rPr>
                <w:b/>
                <w:bCs/>
                <w:color w:val="000000"/>
                <w:sz w:val="20"/>
                <w:szCs w:val="20"/>
              </w:rPr>
            </w:pPr>
            <w:r w:rsidRPr="008F16FC">
              <w:rPr>
                <w:rFonts w:eastAsia="Calibri"/>
                <w:color w:val="000000"/>
                <w:sz w:val="20"/>
                <w:szCs w:val="20"/>
                <w:lang w:val="es-MX"/>
              </w:rPr>
              <w:t xml:space="preserve"> -60%</w:t>
            </w:r>
          </w:p>
        </w:tc>
      </w:tr>
      <w:tr w:rsidR="008F16FC" w:rsidRPr="008F16FC" w14:paraId="2FA15495" w14:textId="77777777" w:rsidTr="008F16FC">
        <w:trPr>
          <w:gridAfter w:val="1"/>
          <w:wAfter w:w="191" w:type="dxa"/>
          <w:trHeight w:val="300"/>
        </w:trPr>
        <w:tc>
          <w:tcPr>
            <w:tcW w:w="4307" w:type="dxa"/>
            <w:gridSpan w:val="4"/>
            <w:tcBorders>
              <w:top w:val="nil"/>
              <w:left w:val="nil"/>
              <w:bottom w:val="nil"/>
              <w:right w:val="nil"/>
            </w:tcBorders>
            <w:shd w:val="clear" w:color="auto" w:fill="auto"/>
            <w:noWrap/>
            <w:vAlign w:val="bottom"/>
            <w:hideMark/>
          </w:tcPr>
          <w:p w14:paraId="66E6D9B2" w14:textId="77777777" w:rsidR="008F16FC" w:rsidRPr="008F16FC" w:rsidRDefault="008F16FC" w:rsidP="008F16FC">
            <w:pPr>
              <w:rPr>
                <w:color w:val="000000"/>
                <w:sz w:val="20"/>
                <w:szCs w:val="20"/>
              </w:rPr>
            </w:pPr>
          </w:p>
        </w:tc>
        <w:tc>
          <w:tcPr>
            <w:tcW w:w="1200" w:type="dxa"/>
            <w:tcBorders>
              <w:top w:val="nil"/>
              <w:left w:val="nil"/>
              <w:bottom w:val="nil"/>
              <w:right w:val="nil"/>
            </w:tcBorders>
            <w:shd w:val="clear" w:color="auto" w:fill="auto"/>
            <w:noWrap/>
            <w:vAlign w:val="bottom"/>
          </w:tcPr>
          <w:p w14:paraId="413A5D14" w14:textId="77777777" w:rsidR="008F16FC" w:rsidRPr="008F16FC" w:rsidRDefault="008F16FC" w:rsidP="008F16FC">
            <w:pPr>
              <w:rPr>
                <w:color w:val="000000"/>
                <w:sz w:val="20"/>
                <w:szCs w:val="20"/>
              </w:rPr>
            </w:pPr>
          </w:p>
        </w:tc>
        <w:tc>
          <w:tcPr>
            <w:tcW w:w="1200" w:type="dxa"/>
            <w:tcBorders>
              <w:top w:val="nil"/>
              <w:left w:val="nil"/>
              <w:bottom w:val="nil"/>
              <w:right w:val="nil"/>
            </w:tcBorders>
            <w:vAlign w:val="bottom"/>
          </w:tcPr>
          <w:p w14:paraId="771192D1" w14:textId="77777777" w:rsidR="008F16FC" w:rsidRPr="008F16FC" w:rsidRDefault="008F16FC" w:rsidP="008F16FC">
            <w:pPr>
              <w:rPr>
                <w:color w:val="000000"/>
                <w:sz w:val="20"/>
                <w:szCs w:val="20"/>
              </w:rPr>
            </w:pPr>
          </w:p>
        </w:tc>
        <w:tc>
          <w:tcPr>
            <w:tcW w:w="1105" w:type="dxa"/>
            <w:gridSpan w:val="4"/>
            <w:tcBorders>
              <w:top w:val="nil"/>
              <w:left w:val="nil"/>
              <w:bottom w:val="nil"/>
              <w:right w:val="nil"/>
            </w:tcBorders>
            <w:shd w:val="clear" w:color="auto" w:fill="auto"/>
            <w:noWrap/>
            <w:vAlign w:val="bottom"/>
          </w:tcPr>
          <w:p w14:paraId="783A51DC" w14:textId="77777777" w:rsidR="008F16FC" w:rsidRPr="008F16FC" w:rsidRDefault="008F16FC" w:rsidP="008F16FC">
            <w:pPr>
              <w:jc w:val="right"/>
              <w:rPr>
                <w:color w:val="000000"/>
                <w:sz w:val="20"/>
                <w:szCs w:val="20"/>
              </w:rPr>
            </w:pPr>
          </w:p>
        </w:tc>
        <w:tc>
          <w:tcPr>
            <w:tcW w:w="1134" w:type="dxa"/>
            <w:tcBorders>
              <w:top w:val="nil"/>
              <w:left w:val="nil"/>
              <w:bottom w:val="nil"/>
              <w:right w:val="nil"/>
            </w:tcBorders>
            <w:shd w:val="clear" w:color="auto" w:fill="auto"/>
            <w:vAlign w:val="bottom"/>
          </w:tcPr>
          <w:p w14:paraId="70636186" w14:textId="77777777" w:rsidR="008F16FC" w:rsidRPr="008F16FC" w:rsidRDefault="008F16FC" w:rsidP="008F16FC">
            <w:pPr>
              <w:jc w:val="right"/>
              <w:rPr>
                <w:color w:val="000000"/>
                <w:sz w:val="20"/>
                <w:szCs w:val="20"/>
              </w:rPr>
            </w:pPr>
          </w:p>
        </w:tc>
      </w:tr>
      <w:tr w:rsidR="008F16FC" w:rsidRPr="008F16FC" w14:paraId="1ED6EFC9" w14:textId="77777777" w:rsidTr="008F16FC">
        <w:trPr>
          <w:gridAfter w:val="1"/>
          <w:wAfter w:w="191" w:type="dxa"/>
          <w:trHeight w:val="255"/>
        </w:trPr>
        <w:tc>
          <w:tcPr>
            <w:tcW w:w="4307" w:type="dxa"/>
            <w:gridSpan w:val="4"/>
            <w:tcBorders>
              <w:top w:val="nil"/>
              <w:left w:val="nil"/>
              <w:bottom w:val="nil"/>
              <w:right w:val="nil"/>
            </w:tcBorders>
            <w:shd w:val="clear" w:color="auto" w:fill="auto"/>
            <w:noWrap/>
            <w:vAlign w:val="center"/>
            <w:hideMark/>
          </w:tcPr>
          <w:p w14:paraId="5B369831" w14:textId="77777777" w:rsidR="008F16FC" w:rsidRPr="008F16FC" w:rsidRDefault="008F16FC" w:rsidP="008F16FC">
            <w:pPr>
              <w:rPr>
                <w:color w:val="000000"/>
                <w:sz w:val="20"/>
                <w:szCs w:val="20"/>
              </w:rPr>
            </w:pPr>
            <w:r w:rsidRPr="008F16FC">
              <w:rPr>
                <w:color w:val="000000"/>
                <w:sz w:val="20"/>
                <w:szCs w:val="20"/>
              </w:rPr>
              <w:t>Gastos de administración</w:t>
            </w:r>
          </w:p>
        </w:tc>
        <w:tc>
          <w:tcPr>
            <w:tcW w:w="1200" w:type="dxa"/>
            <w:tcBorders>
              <w:top w:val="nil"/>
              <w:left w:val="nil"/>
              <w:bottom w:val="nil"/>
              <w:right w:val="nil"/>
            </w:tcBorders>
            <w:shd w:val="clear" w:color="auto" w:fill="auto"/>
            <w:noWrap/>
            <w:vAlign w:val="bottom"/>
          </w:tcPr>
          <w:p w14:paraId="58797541" w14:textId="77777777" w:rsidR="008F16FC" w:rsidRPr="008F16FC" w:rsidRDefault="008F16FC" w:rsidP="008F16FC">
            <w:pPr>
              <w:rPr>
                <w:color w:val="000000"/>
                <w:sz w:val="20"/>
                <w:szCs w:val="20"/>
              </w:rPr>
            </w:pPr>
            <w:r w:rsidRPr="008F16FC">
              <w:rPr>
                <w:color w:val="000000"/>
                <w:sz w:val="20"/>
                <w:szCs w:val="20"/>
              </w:rPr>
              <w:t>(181.026)</w:t>
            </w:r>
          </w:p>
        </w:tc>
        <w:tc>
          <w:tcPr>
            <w:tcW w:w="1200" w:type="dxa"/>
            <w:tcBorders>
              <w:top w:val="nil"/>
              <w:left w:val="nil"/>
              <w:bottom w:val="nil"/>
              <w:right w:val="nil"/>
            </w:tcBorders>
            <w:vAlign w:val="bottom"/>
          </w:tcPr>
          <w:p w14:paraId="46941634" w14:textId="77777777" w:rsidR="008F16FC" w:rsidRPr="008F16FC" w:rsidRDefault="008F16FC" w:rsidP="008F16FC">
            <w:pPr>
              <w:rPr>
                <w:color w:val="000000"/>
                <w:sz w:val="20"/>
                <w:szCs w:val="20"/>
              </w:rPr>
            </w:pPr>
            <w:r w:rsidRPr="008F16FC">
              <w:rPr>
                <w:color w:val="000000"/>
                <w:sz w:val="20"/>
                <w:szCs w:val="20"/>
              </w:rPr>
              <w:t>(680.786)</w:t>
            </w:r>
          </w:p>
        </w:tc>
        <w:tc>
          <w:tcPr>
            <w:tcW w:w="1105" w:type="dxa"/>
            <w:gridSpan w:val="4"/>
            <w:tcBorders>
              <w:top w:val="nil"/>
              <w:left w:val="nil"/>
              <w:bottom w:val="nil"/>
              <w:right w:val="nil"/>
            </w:tcBorders>
            <w:shd w:val="clear" w:color="auto" w:fill="auto"/>
            <w:noWrap/>
            <w:vAlign w:val="bottom"/>
          </w:tcPr>
          <w:p w14:paraId="3A24AFB1" w14:textId="77777777" w:rsidR="008F16FC" w:rsidRPr="008F16FC" w:rsidRDefault="008F16FC" w:rsidP="008F16FC">
            <w:pPr>
              <w:jc w:val="right"/>
              <w:rPr>
                <w:color w:val="000000"/>
                <w:sz w:val="20"/>
                <w:szCs w:val="20"/>
              </w:rPr>
            </w:pPr>
            <w:r w:rsidRPr="008F16FC">
              <w:rPr>
                <w:rFonts w:eastAsia="Calibri"/>
                <w:color w:val="000000"/>
                <w:sz w:val="20"/>
                <w:szCs w:val="20"/>
                <w:lang w:val="es-MX"/>
              </w:rPr>
              <w:t>499.760</w:t>
            </w:r>
          </w:p>
        </w:tc>
        <w:tc>
          <w:tcPr>
            <w:tcW w:w="1134" w:type="dxa"/>
            <w:tcBorders>
              <w:top w:val="nil"/>
              <w:left w:val="nil"/>
              <w:bottom w:val="nil"/>
              <w:right w:val="nil"/>
            </w:tcBorders>
            <w:shd w:val="clear" w:color="auto" w:fill="auto"/>
            <w:vAlign w:val="bottom"/>
          </w:tcPr>
          <w:p w14:paraId="2C74FB3C" w14:textId="77777777" w:rsidR="008F16FC" w:rsidRPr="008F16FC" w:rsidRDefault="008F16FC" w:rsidP="008F16FC">
            <w:pPr>
              <w:jc w:val="right"/>
              <w:rPr>
                <w:color w:val="000000"/>
                <w:sz w:val="20"/>
                <w:szCs w:val="20"/>
              </w:rPr>
            </w:pPr>
            <w:r w:rsidRPr="008F16FC">
              <w:rPr>
                <w:rFonts w:eastAsia="Calibri"/>
                <w:color w:val="000000"/>
                <w:sz w:val="20"/>
                <w:szCs w:val="20"/>
                <w:lang w:val="es-MX"/>
              </w:rPr>
              <w:t xml:space="preserve"> 73%</w:t>
            </w:r>
          </w:p>
        </w:tc>
      </w:tr>
      <w:tr w:rsidR="008F16FC" w:rsidRPr="008F16FC" w14:paraId="172D2F0F" w14:textId="77777777" w:rsidTr="008F16FC">
        <w:trPr>
          <w:gridAfter w:val="1"/>
          <w:wAfter w:w="191" w:type="dxa"/>
          <w:trHeight w:val="255"/>
        </w:trPr>
        <w:tc>
          <w:tcPr>
            <w:tcW w:w="4307" w:type="dxa"/>
            <w:gridSpan w:val="4"/>
            <w:tcBorders>
              <w:top w:val="nil"/>
              <w:left w:val="nil"/>
              <w:bottom w:val="nil"/>
              <w:right w:val="nil"/>
            </w:tcBorders>
            <w:shd w:val="clear" w:color="auto" w:fill="auto"/>
            <w:noWrap/>
            <w:vAlign w:val="center"/>
            <w:hideMark/>
          </w:tcPr>
          <w:p w14:paraId="36B9B455" w14:textId="77777777" w:rsidR="008F16FC" w:rsidRPr="008F16FC" w:rsidRDefault="008F16FC" w:rsidP="008F16FC">
            <w:pPr>
              <w:rPr>
                <w:color w:val="000000"/>
                <w:sz w:val="20"/>
                <w:szCs w:val="20"/>
              </w:rPr>
            </w:pPr>
            <w:r w:rsidRPr="008F16FC">
              <w:rPr>
                <w:color w:val="000000"/>
                <w:sz w:val="20"/>
                <w:szCs w:val="20"/>
              </w:rPr>
              <w:t>Gastos de comercialización</w:t>
            </w:r>
          </w:p>
        </w:tc>
        <w:tc>
          <w:tcPr>
            <w:tcW w:w="1200" w:type="dxa"/>
            <w:tcBorders>
              <w:top w:val="nil"/>
              <w:left w:val="nil"/>
              <w:bottom w:val="nil"/>
              <w:right w:val="nil"/>
            </w:tcBorders>
            <w:shd w:val="clear" w:color="auto" w:fill="auto"/>
            <w:noWrap/>
            <w:vAlign w:val="bottom"/>
          </w:tcPr>
          <w:p w14:paraId="0D47F135" w14:textId="77777777" w:rsidR="008F16FC" w:rsidRPr="008F16FC" w:rsidRDefault="008F16FC" w:rsidP="008F16FC">
            <w:pPr>
              <w:rPr>
                <w:color w:val="000000"/>
                <w:sz w:val="20"/>
                <w:szCs w:val="20"/>
              </w:rPr>
            </w:pPr>
            <w:r w:rsidRPr="008F16FC">
              <w:rPr>
                <w:color w:val="000000"/>
                <w:sz w:val="20"/>
                <w:szCs w:val="20"/>
              </w:rPr>
              <w:t xml:space="preserve">  (29.902)</w:t>
            </w:r>
          </w:p>
        </w:tc>
        <w:tc>
          <w:tcPr>
            <w:tcW w:w="1200" w:type="dxa"/>
            <w:tcBorders>
              <w:top w:val="nil"/>
              <w:left w:val="nil"/>
              <w:bottom w:val="nil"/>
              <w:right w:val="nil"/>
            </w:tcBorders>
            <w:vAlign w:val="bottom"/>
          </w:tcPr>
          <w:p w14:paraId="1BFD26F1" w14:textId="77777777" w:rsidR="008F16FC" w:rsidRPr="008F16FC" w:rsidRDefault="008F16FC" w:rsidP="008F16FC">
            <w:pPr>
              <w:rPr>
                <w:color w:val="000000"/>
                <w:sz w:val="20"/>
                <w:szCs w:val="20"/>
              </w:rPr>
            </w:pPr>
            <w:r w:rsidRPr="008F16FC">
              <w:rPr>
                <w:color w:val="000000"/>
                <w:sz w:val="20"/>
                <w:szCs w:val="20"/>
              </w:rPr>
              <w:t>(156.012)</w:t>
            </w:r>
          </w:p>
        </w:tc>
        <w:tc>
          <w:tcPr>
            <w:tcW w:w="1105" w:type="dxa"/>
            <w:gridSpan w:val="4"/>
            <w:tcBorders>
              <w:top w:val="nil"/>
              <w:left w:val="nil"/>
              <w:bottom w:val="nil"/>
              <w:right w:val="nil"/>
            </w:tcBorders>
            <w:shd w:val="clear" w:color="auto" w:fill="auto"/>
            <w:noWrap/>
            <w:vAlign w:val="bottom"/>
          </w:tcPr>
          <w:p w14:paraId="59CBB73A" w14:textId="77777777" w:rsidR="008F16FC" w:rsidRPr="008F16FC" w:rsidRDefault="008F16FC" w:rsidP="008F16FC">
            <w:pPr>
              <w:jc w:val="right"/>
              <w:rPr>
                <w:color w:val="000000"/>
                <w:sz w:val="20"/>
                <w:szCs w:val="20"/>
              </w:rPr>
            </w:pPr>
            <w:r w:rsidRPr="008F16FC">
              <w:rPr>
                <w:rFonts w:eastAsia="Calibri"/>
                <w:color w:val="000000"/>
                <w:sz w:val="20"/>
                <w:szCs w:val="20"/>
                <w:lang w:val="es-MX"/>
              </w:rPr>
              <w:t>126.110</w:t>
            </w:r>
          </w:p>
        </w:tc>
        <w:tc>
          <w:tcPr>
            <w:tcW w:w="1134" w:type="dxa"/>
            <w:tcBorders>
              <w:top w:val="nil"/>
              <w:left w:val="nil"/>
              <w:bottom w:val="nil"/>
              <w:right w:val="nil"/>
            </w:tcBorders>
            <w:shd w:val="clear" w:color="auto" w:fill="auto"/>
            <w:vAlign w:val="bottom"/>
          </w:tcPr>
          <w:p w14:paraId="77411771" w14:textId="77777777" w:rsidR="008F16FC" w:rsidRPr="008F16FC" w:rsidRDefault="008F16FC" w:rsidP="008F16FC">
            <w:pPr>
              <w:jc w:val="right"/>
              <w:rPr>
                <w:color w:val="000000"/>
                <w:sz w:val="20"/>
                <w:szCs w:val="20"/>
              </w:rPr>
            </w:pPr>
            <w:r w:rsidRPr="008F16FC">
              <w:rPr>
                <w:rFonts w:eastAsia="Calibri"/>
                <w:color w:val="000000"/>
                <w:sz w:val="20"/>
                <w:szCs w:val="20"/>
                <w:lang w:val="es-MX"/>
              </w:rPr>
              <w:t xml:space="preserve"> 81%</w:t>
            </w:r>
          </w:p>
        </w:tc>
      </w:tr>
      <w:tr w:rsidR="008F16FC" w:rsidRPr="008F16FC" w14:paraId="14ECA087" w14:textId="77777777" w:rsidTr="008F16FC">
        <w:trPr>
          <w:gridAfter w:val="1"/>
          <w:wAfter w:w="191" w:type="dxa"/>
          <w:trHeight w:val="255"/>
        </w:trPr>
        <w:tc>
          <w:tcPr>
            <w:tcW w:w="4307" w:type="dxa"/>
            <w:gridSpan w:val="4"/>
            <w:tcBorders>
              <w:top w:val="nil"/>
              <w:left w:val="nil"/>
              <w:bottom w:val="nil"/>
              <w:right w:val="nil"/>
            </w:tcBorders>
            <w:shd w:val="clear" w:color="auto" w:fill="auto"/>
            <w:noWrap/>
            <w:vAlign w:val="center"/>
            <w:hideMark/>
          </w:tcPr>
          <w:p w14:paraId="3B73003B" w14:textId="77777777" w:rsidR="008F16FC" w:rsidRPr="008F16FC" w:rsidRDefault="008F16FC" w:rsidP="008F16FC">
            <w:pPr>
              <w:rPr>
                <w:color w:val="000000"/>
                <w:sz w:val="20"/>
                <w:szCs w:val="20"/>
              </w:rPr>
            </w:pPr>
            <w:r w:rsidRPr="008F16FC">
              <w:rPr>
                <w:color w:val="000000"/>
                <w:sz w:val="20"/>
                <w:szCs w:val="20"/>
              </w:rPr>
              <w:t>Otros ingresos</w:t>
            </w:r>
          </w:p>
        </w:tc>
        <w:tc>
          <w:tcPr>
            <w:tcW w:w="1200" w:type="dxa"/>
            <w:tcBorders>
              <w:top w:val="nil"/>
              <w:left w:val="nil"/>
              <w:bottom w:val="nil"/>
              <w:right w:val="nil"/>
            </w:tcBorders>
            <w:shd w:val="clear" w:color="auto" w:fill="auto"/>
            <w:noWrap/>
            <w:vAlign w:val="bottom"/>
          </w:tcPr>
          <w:p w14:paraId="45DCB099" w14:textId="77777777" w:rsidR="008F16FC" w:rsidRPr="008F16FC" w:rsidRDefault="008F16FC" w:rsidP="008F16FC">
            <w:pPr>
              <w:rPr>
                <w:color w:val="000000"/>
                <w:sz w:val="20"/>
                <w:szCs w:val="20"/>
              </w:rPr>
            </w:pPr>
            <w:r w:rsidRPr="008F16FC">
              <w:rPr>
                <w:color w:val="000000"/>
                <w:sz w:val="20"/>
                <w:szCs w:val="20"/>
              </w:rPr>
              <w:t xml:space="preserve">     7.039</w:t>
            </w:r>
          </w:p>
        </w:tc>
        <w:tc>
          <w:tcPr>
            <w:tcW w:w="1200" w:type="dxa"/>
            <w:tcBorders>
              <w:top w:val="nil"/>
              <w:left w:val="nil"/>
              <w:bottom w:val="nil"/>
              <w:right w:val="nil"/>
            </w:tcBorders>
            <w:vAlign w:val="bottom"/>
          </w:tcPr>
          <w:p w14:paraId="3E6FBD44" w14:textId="77777777" w:rsidR="008F16FC" w:rsidRPr="008F16FC" w:rsidRDefault="008F16FC" w:rsidP="008F16FC">
            <w:pPr>
              <w:rPr>
                <w:color w:val="000000"/>
                <w:sz w:val="20"/>
                <w:szCs w:val="20"/>
              </w:rPr>
            </w:pPr>
            <w:r w:rsidRPr="008F16FC">
              <w:rPr>
                <w:color w:val="000000"/>
                <w:sz w:val="20"/>
                <w:szCs w:val="20"/>
              </w:rPr>
              <w:t xml:space="preserve">     31.471</w:t>
            </w:r>
          </w:p>
        </w:tc>
        <w:tc>
          <w:tcPr>
            <w:tcW w:w="1105" w:type="dxa"/>
            <w:gridSpan w:val="4"/>
            <w:tcBorders>
              <w:top w:val="nil"/>
              <w:left w:val="nil"/>
              <w:bottom w:val="nil"/>
              <w:right w:val="nil"/>
            </w:tcBorders>
            <w:shd w:val="clear" w:color="auto" w:fill="auto"/>
            <w:noWrap/>
            <w:vAlign w:val="bottom"/>
          </w:tcPr>
          <w:p w14:paraId="5FBCB1D1" w14:textId="77777777" w:rsidR="008F16FC" w:rsidRPr="008F16FC" w:rsidRDefault="008F16FC" w:rsidP="008F16FC">
            <w:pPr>
              <w:jc w:val="right"/>
              <w:rPr>
                <w:color w:val="000000"/>
                <w:sz w:val="20"/>
                <w:szCs w:val="20"/>
              </w:rPr>
            </w:pPr>
            <w:r w:rsidRPr="008F16FC">
              <w:rPr>
                <w:rFonts w:eastAsia="Calibri"/>
                <w:color w:val="000000"/>
                <w:sz w:val="20"/>
                <w:szCs w:val="20"/>
                <w:lang w:val="es-MX"/>
              </w:rPr>
              <w:t xml:space="preserve"> -24.432</w:t>
            </w:r>
          </w:p>
        </w:tc>
        <w:tc>
          <w:tcPr>
            <w:tcW w:w="1134" w:type="dxa"/>
            <w:tcBorders>
              <w:top w:val="nil"/>
              <w:left w:val="nil"/>
              <w:bottom w:val="nil"/>
              <w:right w:val="nil"/>
            </w:tcBorders>
            <w:shd w:val="clear" w:color="auto" w:fill="auto"/>
            <w:vAlign w:val="bottom"/>
          </w:tcPr>
          <w:p w14:paraId="64FE9024" w14:textId="77777777" w:rsidR="008F16FC" w:rsidRPr="008F16FC" w:rsidRDefault="008F16FC" w:rsidP="008F16FC">
            <w:pPr>
              <w:jc w:val="right"/>
              <w:rPr>
                <w:color w:val="000000"/>
                <w:sz w:val="20"/>
                <w:szCs w:val="20"/>
              </w:rPr>
            </w:pPr>
            <w:r w:rsidRPr="008F16FC">
              <w:rPr>
                <w:rFonts w:eastAsia="Calibri"/>
                <w:color w:val="000000"/>
                <w:sz w:val="20"/>
                <w:szCs w:val="20"/>
                <w:lang w:val="es-MX"/>
              </w:rPr>
              <w:t>-78%</w:t>
            </w:r>
          </w:p>
        </w:tc>
      </w:tr>
      <w:tr w:rsidR="008F16FC" w:rsidRPr="008F16FC" w14:paraId="6B2F517D" w14:textId="77777777" w:rsidTr="008F16FC">
        <w:trPr>
          <w:gridAfter w:val="1"/>
          <w:wAfter w:w="191" w:type="dxa"/>
          <w:trHeight w:val="255"/>
        </w:trPr>
        <w:tc>
          <w:tcPr>
            <w:tcW w:w="4307" w:type="dxa"/>
            <w:gridSpan w:val="4"/>
            <w:tcBorders>
              <w:top w:val="nil"/>
              <w:left w:val="nil"/>
              <w:bottom w:val="nil"/>
              <w:right w:val="nil"/>
            </w:tcBorders>
            <w:shd w:val="clear" w:color="auto" w:fill="auto"/>
            <w:noWrap/>
            <w:vAlign w:val="center"/>
            <w:hideMark/>
          </w:tcPr>
          <w:p w14:paraId="54D720A7" w14:textId="77777777" w:rsidR="008F16FC" w:rsidRPr="008F16FC" w:rsidRDefault="008F16FC" w:rsidP="008F16FC">
            <w:pPr>
              <w:rPr>
                <w:color w:val="000000"/>
                <w:sz w:val="20"/>
                <w:szCs w:val="20"/>
              </w:rPr>
            </w:pPr>
            <w:r w:rsidRPr="008F16FC">
              <w:rPr>
                <w:color w:val="000000"/>
                <w:sz w:val="20"/>
                <w:szCs w:val="20"/>
              </w:rPr>
              <w:t>Otros gastos</w:t>
            </w:r>
          </w:p>
        </w:tc>
        <w:tc>
          <w:tcPr>
            <w:tcW w:w="1200" w:type="dxa"/>
            <w:tcBorders>
              <w:top w:val="nil"/>
              <w:left w:val="nil"/>
              <w:bottom w:val="nil"/>
              <w:right w:val="nil"/>
            </w:tcBorders>
            <w:shd w:val="clear" w:color="auto" w:fill="auto"/>
            <w:noWrap/>
            <w:vAlign w:val="bottom"/>
          </w:tcPr>
          <w:p w14:paraId="5C0C76B1" w14:textId="77777777" w:rsidR="008F16FC" w:rsidRPr="008F16FC" w:rsidRDefault="008F16FC" w:rsidP="008F16FC">
            <w:pPr>
              <w:rPr>
                <w:color w:val="000000"/>
                <w:sz w:val="20"/>
                <w:szCs w:val="20"/>
              </w:rPr>
            </w:pPr>
            <w:r w:rsidRPr="008F16FC">
              <w:rPr>
                <w:color w:val="000000"/>
                <w:sz w:val="20"/>
                <w:szCs w:val="20"/>
              </w:rPr>
              <w:t xml:space="preserve">  (15.227)</w:t>
            </w:r>
          </w:p>
        </w:tc>
        <w:tc>
          <w:tcPr>
            <w:tcW w:w="1200" w:type="dxa"/>
            <w:tcBorders>
              <w:top w:val="nil"/>
              <w:left w:val="nil"/>
              <w:bottom w:val="nil"/>
              <w:right w:val="nil"/>
            </w:tcBorders>
            <w:vAlign w:val="bottom"/>
          </w:tcPr>
          <w:p w14:paraId="65323DD7" w14:textId="77777777" w:rsidR="008F16FC" w:rsidRPr="008F16FC" w:rsidRDefault="008F16FC" w:rsidP="008F16FC">
            <w:pPr>
              <w:rPr>
                <w:color w:val="000000"/>
                <w:sz w:val="20"/>
                <w:szCs w:val="20"/>
              </w:rPr>
            </w:pPr>
            <w:r w:rsidRPr="008F16FC">
              <w:rPr>
                <w:color w:val="000000"/>
                <w:sz w:val="20"/>
                <w:szCs w:val="20"/>
              </w:rPr>
              <w:t xml:space="preserve">   (74.559)</w:t>
            </w:r>
          </w:p>
        </w:tc>
        <w:tc>
          <w:tcPr>
            <w:tcW w:w="1105" w:type="dxa"/>
            <w:gridSpan w:val="4"/>
            <w:tcBorders>
              <w:top w:val="nil"/>
              <w:left w:val="nil"/>
              <w:bottom w:val="nil"/>
              <w:right w:val="nil"/>
            </w:tcBorders>
            <w:shd w:val="clear" w:color="auto" w:fill="auto"/>
            <w:noWrap/>
            <w:vAlign w:val="bottom"/>
          </w:tcPr>
          <w:p w14:paraId="537B3D44" w14:textId="77777777" w:rsidR="008F16FC" w:rsidRPr="008F16FC" w:rsidRDefault="008F16FC" w:rsidP="008F16FC">
            <w:pPr>
              <w:jc w:val="right"/>
              <w:rPr>
                <w:color w:val="000000"/>
                <w:sz w:val="20"/>
                <w:szCs w:val="20"/>
              </w:rPr>
            </w:pPr>
            <w:r w:rsidRPr="008F16FC">
              <w:rPr>
                <w:rFonts w:eastAsia="Calibri"/>
                <w:color w:val="000000"/>
                <w:sz w:val="20"/>
                <w:szCs w:val="20"/>
                <w:lang w:val="es-MX"/>
              </w:rPr>
              <w:t xml:space="preserve">   59.332</w:t>
            </w:r>
          </w:p>
        </w:tc>
        <w:tc>
          <w:tcPr>
            <w:tcW w:w="1134" w:type="dxa"/>
            <w:tcBorders>
              <w:top w:val="nil"/>
              <w:left w:val="nil"/>
              <w:bottom w:val="nil"/>
              <w:right w:val="nil"/>
            </w:tcBorders>
            <w:shd w:val="clear" w:color="auto" w:fill="auto"/>
            <w:vAlign w:val="bottom"/>
          </w:tcPr>
          <w:p w14:paraId="39EA4394" w14:textId="77777777" w:rsidR="008F16FC" w:rsidRPr="008F16FC" w:rsidRDefault="008F16FC" w:rsidP="008F16FC">
            <w:pPr>
              <w:jc w:val="right"/>
              <w:rPr>
                <w:color w:val="000000"/>
                <w:sz w:val="20"/>
                <w:szCs w:val="20"/>
              </w:rPr>
            </w:pPr>
            <w:r w:rsidRPr="008F16FC">
              <w:rPr>
                <w:rFonts w:eastAsia="Calibri"/>
                <w:color w:val="000000"/>
                <w:sz w:val="20"/>
                <w:szCs w:val="20"/>
                <w:lang w:val="es-MX"/>
              </w:rPr>
              <w:t xml:space="preserve">  80%</w:t>
            </w:r>
          </w:p>
        </w:tc>
      </w:tr>
      <w:tr w:rsidR="008F16FC" w:rsidRPr="008F16FC" w14:paraId="2E4C9198" w14:textId="77777777" w:rsidTr="008F16FC">
        <w:trPr>
          <w:gridAfter w:val="1"/>
          <w:wAfter w:w="191" w:type="dxa"/>
          <w:trHeight w:val="255"/>
        </w:trPr>
        <w:tc>
          <w:tcPr>
            <w:tcW w:w="4307" w:type="dxa"/>
            <w:gridSpan w:val="4"/>
            <w:tcBorders>
              <w:top w:val="nil"/>
              <w:left w:val="nil"/>
              <w:bottom w:val="nil"/>
              <w:right w:val="nil"/>
            </w:tcBorders>
            <w:shd w:val="clear" w:color="000000" w:fill="D9D9D9"/>
            <w:noWrap/>
            <w:vAlign w:val="center"/>
            <w:hideMark/>
          </w:tcPr>
          <w:p w14:paraId="1156289E" w14:textId="77777777" w:rsidR="008F16FC" w:rsidRPr="008F16FC" w:rsidRDefault="008F16FC" w:rsidP="008F16FC">
            <w:pPr>
              <w:rPr>
                <w:b/>
                <w:bCs/>
                <w:color w:val="000000"/>
                <w:sz w:val="20"/>
                <w:szCs w:val="20"/>
              </w:rPr>
            </w:pPr>
            <w:r w:rsidRPr="008F16FC">
              <w:rPr>
                <w:b/>
                <w:bCs/>
                <w:color w:val="000000"/>
                <w:sz w:val="20"/>
                <w:szCs w:val="20"/>
              </w:rPr>
              <w:t>Ganancia Operativa</w:t>
            </w:r>
          </w:p>
        </w:tc>
        <w:tc>
          <w:tcPr>
            <w:tcW w:w="1200" w:type="dxa"/>
            <w:tcBorders>
              <w:top w:val="nil"/>
              <w:left w:val="nil"/>
              <w:bottom w:val="nil"/>
              <w:right w:val="nil"/>
            </w:tcBorders>
            <w:shd w:val="clear" w:color="000000" w:fill="D9D9D9"/>
            <w:noWrap/>
            <w:vAlign w:val="bottom"/>
          </w:tcPr>
          <w:p w14:paraId="3160E0C8" w14:textId="77777777" w:rsidR="008F16FC" w:rsidRPr="008F16FC" w:rsidRDefault="008F16FC" w:rsidP="008F16FC">
            <w:pPr>
              <w:rPr>
                <w:b/>
                <w:bCs/>
                <w:color w:val="000000"/>
                <w:sz w:val="20"/>
                <w:szCs w:val="20"/>
              </w:rPr>
            </w:pPr>
            <w:r w:rsidRPr="008F16FC">
              <w:rPr>
                <w:b/>
                <w:bCs/>
                <w:color w:val="000000"/>
                <w:sz w:val="20"/>
                <w:szCs w:val="20"/>
              </w:rPr>
              <w:t xml:space="preserve">  625.689</w:t>
            </w:r>
          </w:p>
        </w:tc>
        <w:tc>
          <w:tcPr>
            <w:tcW w:w="1200" w:type="dxa"/>
            <w:tcBorders>
              <w:top w:val="nil"/>
              <w:left w:val="nil"/>
              <w:bottom w:val="nil"/>
              <w:right w:val="nil"/>
            </w:tcBorders>
            <w:shd w:val="clear" w:color="000000" w:fill="D9D9D9"/>
            <w:vAlign w:val="bottom"/>
          </w:tcPr>
          <w:p w14:paraId="6C9C3903" w14:textId="77777777" w:rsidR="008F16FC" w:rsidRPr="008F16FC" w:rsidRDefault="008F16FC" w:rsidP="008F16FC">
            <w:pPr>
              <w:rPr>
                <w:b/>
                <w:bCs/>
                <w:color w:val="000000"/>
                <w:sz w:val="20"/>
                <w:szCs w:val="20"/>
              </w:rPr>
            </w:pPr>
            <w:r w:rsidRPr="008F16FC">
              <w:rPr>
                <w:b/>
                <w:bCs/>
                <w:color w:val="000000"/>
                <w:sz w:val="20"/>
                <w:szCs w:val="20"/>
              </w:rPr>
              <w:t>1.255.911</w:t>
            </w:r>
          </w:p>
        </w:tc>
        <w:tc>
          <w:tcPr>
            <w:tcW w:w="1105" w:type="dxa"/>
            <w:gridSpan w:val="4"/>
            <w:tcBorders>
              <w:top w:val="nil"/>
              <w:left w:val="nil"/>
              <w:bottom w:val="nil"/>
              <w:right w:val="nil"/>
            </w:tcBorders>
            <w:shd w:val="clear" w:color="000000" w:fill="D9D9D9"/>
            <w:noWrap/>
            <w:vAlign w:val="bottom"/>
          </w:tcPr>
          <w:p w14:paraId="4044188F" w14:textId="77777777" w:rsidR="008F16FC" w:rsidRPr="008F16FC" w:rsidRDefault="008F16FC" w:rsidP="008F16FC">
            <w:pPr>
              <w:jc w:val="right"/>
              <w:rPr>
                <w:b/>
                <w:bCs/>
                <w:color w:val="000000"/>
                <w:sz w:val="20"/>
                <w:szCs w:val="20"/>
              </w:rPr>
            </w:pPr>
            <w:r w:rsidRPr="008F16FC">
              <w:rPr>
                <w:rFonts w:eastAsia="Calibri"/>
                <w:color w:val="000000"/>
                <w:sz w:val="20"/>
                <w:szCs w:val="20"/>
                <w:lang w:val="es-MX"/>
              </w:rPr>
              <w:t>-630.222</w:t>
            </w:r>
          </w:p>
        </w:tc>
        <w:tc>
          <w:tcPr>
            <w:tcW w:w="1134" w:type="dxa"/>
            <w:tcBorders>
              <w:top w:val="nil"/>
              <w:left w:val="nil"/>
              <w:bottom w:val="nil"/>
              <w:right w:val="nil"/>
            </w:tcBorders>
            <w:shd w:val="clear" w:color="000000" w:fill="D9D9D9"/>
            <w:vAlign w:val="bottom"/>
          </w:tcPr>
          <w:p w14:paraId="0F6EF228" w14:textId="77777777" w:rsidR="008F16FC" w:rsidRPr="008F16FC" w:rsidRDefault="008F16FC" w:rsidP="008F16FC">
            <w:pPr>
              <w:jc w:val="right"/>
              <w:rPr>
                <w:b/>
                <w:bCs/>
                <w:color w:val="000000"/>
                <w:sz w:val="20"/>
                <w:szCs w:val="20"/>
              </w:rPr>
            </w:pPr>
            <w:r w:rsidRPr="008F16FC">
              <w:rPr>
                <w:rFonts w:eastAsia="Calibri"/>
                <w:color w:val="000000"/>
                <w:sz w:val="20"/>
                <w:szCs w:val="20"/>
                <w:lang w:val="es-MX"/>
              </w:rPr>
              <w:t xml:space="preserve"> -50%</w:t>
            </w:r>
          </w:p>
        </w:tc>
      </w:tr>
      <w:tr w:rsidR="008F16FC" w:rsidRPr="008F16FC" w14:paraId="40D58EF9" w14:textId="77777777" w:rsidTr="008F16FC">
        <w:trPr>
          <w:gridAfter w:val="1"/>
          <w:wAfter w:w="191" w:type="dxa"/>
          <w:trHeight w:val="300"/>
        </w:trPr>
        <w:tc>
          <w:tcPr>
            <w:tcW w:w="4307" w:type="dxa"/>
            <w:gridSpan w:val="4"/>
            <w:tcBorders>
              <w:top w:val="nil"/>
              <w:left w:val="nil"/>
              <w:bottom w:val="nil"/>
              <w:right w:val="nil"/>
            </w:tcBorders>
            <w:shd w:val="clear" w:color="auto" w:fill="auto"/>
            <w:noWrap/>
            <w:vAlign w:val="bottom"/>
            <w:hideMark/>
          </w:tcPr>
          <w:p w14:paraId="4A7A3C60" w14:textId="77777777" w:rsidR="008F16FC" w:rsidRPr="008F16FC" w:rsidRDefault="008F16FC" w:rsidP="008F16FC">
            <w:pPr>
              <w:rPr>
                <w:color w:val="000000"/>
                <w:sz w:val="20"/>
                <w:szCs w:val="20"/>
              </w:rPr>
            </w:pPr>
          </w:p>
        </w:tc>
        <w:tc>
          <w:tcPr>
            <w:tcW w:w="1200" w:type="dxa"/>
            <w:tcBorders>
              <w:top w:val="nil"/>
              <w:left w:val="nil"/>
              <w:bottom w:val="nil"/>
              <w:right w:val="nil"/>
            </w:tcBorders>
            <w:shd w:val="clear" w:color="auto" w:fill="auto"/>
            <w:noWrap/>
            <w:vAlign w:val="bottom"/>
          </w:tcPr>
          <w:p w14:paraId="4E6B05A4" w14:textId="77777777" w:rsidR="008F16FC" w:rsidRPr="008F16FC" w:rsidRDefault="008F16FC" w:rsidP="008F16FC">
            <w:pPr>
              <w:rPr>
                <w:color w:val="000000"/>
                <w:sz w:val="20"/>
                <w:szCs w:val="20"/>
              </w:rPr>
            </w:pPr>
          </w:p>
        </w:tc>
        <w:tc>
          <w:tcPr>
            <w:tcW w:w="1200" w:type="dxa"/>
            <w:tcBorders>
              <w:top w:val="nil"/>
              <w:left w:val="nil"/>
              <w:bottom w:val="nil"/>
              <w:right w:val="nil"/>
            </w:tcBorders>
            <w:vAlign w:val="bottom"/>
          </w:tcPr>
          <w:p w14:paraId="7AC44B74" w14:textId="77777777" w:rsidR="008F16FC" w:rsidRPr="008F16FC" w:rsidRDefault="008F16FC" w:rsidP="008F16FC">
            <w:pPr>
              <w:rPr>
                <w:color w:val="000000"/>
                <w:sz w:val="20"/>
                <w:szCs w:val="20"/>
              </w:rPr>
            </w:pPr>
          </w:p>
        </w:tc>
        <w:tc>
          <w:tcPr>
            <w:tcW w:w="1105" w:type="dxa"/>
            <w:gridSpan w:val="4"/>
            <w:tcBorders>
              <w:top w:val="nil"/>
              <w:left w:val="nil"/>
              <w:bottom w:val="nil"/>
              <w:right w:val="nil"/>
            </w:tcBorders>
            <w:shd w:val="clear" w:color="auto" w:fill="auto"/>
            <w:noWrap/>
            <w:vAlign w:val="bottom"/>
          </w:tcPr>
          <w:p w14:paraId="578F8A0A" w14:textId="77777777" w:rsidR="008F16FC" w:rsidRPr="008F16FC" w:rsidRDefault="008F16FC" w:rsidP="008F16FC">
            <w:pPr>
              <w:jc w:val="right"/>
              <w:rPr>
                <w:color w:val="000000"/>
                <w:sz w:val="20"/>
                <w:szCs w:val="20"/>
              </w:rPr>
            </w:pPr>
          </w:p>
        </w:tc>
        <w:tc>
          <w:tcPr>
            <w:tcW w:w="1134" w:type="dxa"/>
            <w:tcBorders>
              <w:top w:val="nil"/>
              <w:left w:val="nil"/>
              <w:bottom w:val="nil"/>
              <w:right w:val="nil"/>
            </w:tcBorders>
            <w:shd w:val="clear" w:color="auto" w:fill="auto"/>
            <w:vAlign w:val="bottom"/>
          </w:tcPr>
          <w:p w14:paraId="38AF86DD" w14:textId="77777777" w:rsidR="008F16FC" w:rsidRPr="008F16FC" w:rsidRDefault="008F16FC" w:rsidP="008F16FC">
            <w:pPr>
              <w:jc w:val="right"/>
              <w:rPr>
                <w:color w:val="000000"/>
                <w:sz w:val="20"/>
                <w:szCs w:val="20"/>
              </w:rPr>
            </w:pPr>
          </w:p>
        </w:tc>
      </w:tr>
      <w:tr w:rsidR="008F16FC" w:rsidRPr="008F16FC" w14:paraId="44879B68" w14:textId="77777777" w:rsidTr="008F16FC">
        <w:trPr>
          <w:gridAfter w:val="1"/>
          <w:wAfter w:w="191" w:type="dxa"/>
          <w:trHeight w:val="255"/>
        </w:trPr>
        <w:tc>
          <w:tcPr>
            <w:tcW w:w="4307" w:type="dxa"/>
            <w:gridSpan w:val="4"/>
            <w:tcBorders>
              <w:top w:val="nil"/>
              <w:left w:val="nil"/>
              <w:bottom w:val="nil"/>
              <w:right w:val="nil"/>
            </w:tcBorders>
            <w:shd w:val="clear" w:color="auto" w:fill="auto"/>
            <w:noWrap/>
            <w:vAlign w:val="center"/>
            <w:hideMark/>
          </w:tcPr>
          <w:p w14:paraId="5BDAB342" w14:textId="77777777" w:rsidR="008F16FC" w:rsidRPr="008F16FC" w:rsidRDefault="008F16FC" w:rsidP="008F16FC">
            <w:pPr>
              <w:jc w:val="both"/>
              <w:rPr>
                <w:color w:val="000000"/>
                <w:sz w:val="20"/>
                <w:szCs w:val="20"/>
                <w:lang w:val="es-ES"/>
              </w:rPr>
            </w:pPr>
            <w:r w:rsidRPr="008F16FC">
              <w:rPr>
                <w:color w:val="000000"/>
                <w:sz w:val="20"/>
                <w:szCs w:val="20"/>
                <w:lang w:val="es-ES"/>
              </w:rPr>
              <w:t>Resultados de Inversiones en Asociadas</w:t>
            </w:r>
          </w:p>
        </w:tc>
        <w:tc>
          <w:tcPr>
            <w:tcW w:w="1200" w:type="dxa"/>
            <w:tcBorders>
              <w:top w:val="nil"/>
              <w:left w:val="nil"/>
              <w:bottom w:val="nil"/>
              <w:right w:val="nil"/>
            </w:tcBorders>
            <w:shd w:val="clear" w:color="auto" w:fill="auto"/>
            <w:noWrap/>
            <w:vAlign w:val="bottom"/>
          </w:tcPr>
          <w:p w14:paraId="701BCBC8" w14:textId="77777777" w:rsidR="008F16FC" w:rsidRPr="008F16FC" w:rsidRDefault="008F16FC" w:rsidP="008F16FC">
            <w:pPr>
              <w:rPr>
                <w:color w:val="000000"/>
                <w:sz w:val="20"/>
                <w:szCs w:val="20"/>
                <w:lang w:val="es-MX"/>
              </w:rPr>
            </w:pPr>
            <w:r w:rsidRPr="008F16FC">
              <w:rPr>
                <w:color w:val="000000"/>
                <w:sz w:val="20"/>
                <w:szCs w:val="20"/>
                <w:lang w:val="es-MX"/>
              </w:rPr>
              <w:t>13.696</w:t>
            </w:r>
          </w:p>
        </w:tc>
        <w:tc>
          <w:tcPr>
            <w:tcW w:w="1200" w:type="dxa"/>
            <w:tcBorders>
              <w:top w:val="nil"/>
              <w:left w:val="nil"/>
              <w:bottom w:val="nil"/>
              <w:right w:val="nil"/>
            </w:tcBorders>
            <w:vAlign w:val="bottom"/>
          </w:tcPr>
          <w:p w14:paraId="7565AB91" w14:textId="77777777" w:rsidR="008F16FC" w:rsidRPr="008F16FC" w:rsidRDefault="008F16FC" w:rsidP="008F16FC">
            <w:pPr>
              <w:rPr>
                <w:color w:val="000000"/>
                <w:sz w:val="20"/>
                <w:szCs w:val="20"/>
                <w:lang w:val="es-MX"/>
              </w:rPr>
            </w:pPr>
            <w:r w:rsidRPr="008F16FC">
              <w:rPr>
                <w:color w:val="000000"/>
                <w:sz w:val="20"/>
                <w:szCs w:val="20"/>
              </w:rPr>
              <w:t>4.219</w:t>
            </w:r>
          </w:p>
        </w:tc>
        <w:tc>
          <w:tcPr>
            <w:tcW w:w="1105" w:type="dxa"/>
            <w:gridSpan w:val="4"/>
            <w:tcBorders>
              <w:top w:val="nil"/>
              <w:left w:val="nil"/>
              <w:bottom w:val="nil"/>
              <w:right w:val="nil"/>
            </w:tcBorders>
            <w:shd w:val="clear" w:color="auto" w:fill="auto"/>
            <w:noWrap/>
            <w:vAlign w:val="bottom"/>
          </w:tcPr>
          <w:p w14:paraId="5873D9E0" w14:textId="77777777" w:rsidR="008F16FC" w:rsidRPr="008F16FC" w:rsidRDefault="008F16FC" w:rsidP="008F16FC">
            <w:pPr>
              <w:jc w:val="right"/>
              <w:rPr>
                <w:color w:val="000000"/>
                <w:sz w:val="20"/>
                <w:szCs w:val="20"/>
                <w:lang w:val="es-MX"/>
              </w:rPr>
            </w:pPr>
            <w:r w:rsidRPr="008F16FC">
              <w:rPr>
                <w:rFonts w:eastAsia="Calibri"/>
                <w:color w:val="000000"/>
                <w:sz w:val="20"/>
                <w:szCs w:val="20"/>
                <w:lang w:val="es-MX"/>
              </w:rPr>
              <w:t>9.477</w:t>
            </w:r>
          </w:p>
        </w:tc>
        <w:tc>
          <w:tcPr>
            <w:tcW w:w="1134" w:type="dxa"/>
            <w:tcBorders>
              <w:top w:val="nil"/>
              <w:left w:val="nil"/>
              <w:bottom w:val="nil"/>
              <w:right w:val="nil"/>
            </w:tcBorders>
            <w:shd w:val="clear" w:color="auto" w:fill="auto"/>
            <w:vAlign w:val="bottom"/>
          </w:tcPr>
          <w:p w14:paraId="6F7A5E7C" w14:textId="77777777" w:rsidR="008F16FC" w:rsidRPr="008F16FC" w:rsidRDefault="008F16FC" w:rsidP="008F16FC">
            <w:pPr>
              <w:jc w:val="right"/>
              <w:rPr>
                <w:color w:val="000000"/>
                <w:sz w:val="20"/>
                <w:szCs w:val="20"/>
                <w:lang w:val="es-MX"/>
              </w:rPr>
            </w:pPr>
            <w:r w:rsidRPr="008F16FC">
              <w:rPr>
                <w:rFonts w:eastAsia="Calibri"/>
                <w:color w:val="000000"/>
                <w:sz w:val="20"/>
                <w:szCs w:val="20"/>
                <w:lang w:val="es-MX"/>
              </w:rPr>
              <w:t>225%</w:t>
            </w:r>
          </w:p>
        </w:tc>
      </w:tr>
      <w:tr w:rsidR="008F16FC" w:rsidRPr="008F16FC" w14:paraId="28D1D5AA" w14:textId="77777777" w:rsidTr="008F16FC">
        <w:trPr>
          <w:gridAfter w:val="1"/>
          <w:wAfter w:w="191" w:type="dxa"/>
          <w:trHeight w:val="255"/>
        </w:trPr>
        <w:tc>
          <w:tcPr>
            <w:tcW w:w="4307" w:type="dxa"/>
            <w:gridSpan w:val="4"/>
            <w:tcBorders>
              <w:top w:val="nil"/>
              <w:left w:val="nil"/>
              <w:bottom w:val="nil"/>
              <w:right w:val="nil"/>
            </w:tcBorders>
            <w:shd w:val="clear" w:color="auto" w:fill="auto"/>
            <w:noWrap/>
            <w:vAlign w:val="center"/>
            <w:hideMark/>
          </w:tcPr>
          <w:p w14:paraId="2161AF0A" w14:textId="77777777" w:rsidR="008F16FC" w:rsidRPr="008F16FC" w:rsidRDefault="008F16FC" w:rsidP="008F16FC">
            <w:pPr>
              <w:rPr>
                <w:color w:val="000000"/>
                <w:sz w:val="20"/>
                <w:szCs w:val="20"/>
              </w:rPr>
            </w:pPr>
            <w:r w:rsidRPr="008F16FC">
              <w:rPr>
                <w:color w:val="000000"/>
                <w:sz w:val="20"/>
                <w:szCs w:val="20"/>
              </w:rPr>
              <w:t>Resultados Financieros</w:t>
            </w:r>
          </w:p>
        </w:tc>
        <w:tc>
          <w:tcPr>
            <w:tcW w:w="1200" w:type="dxa"/>
            <w:tcBorders>
              <w:top w:val="nil"/>
              <w:left w:val="nil"/>
              <w:bottom w:val="nil"/>
              <w:right w:val="nil"/>
            </w:tcBorders>
            <w:shd w:val="clear" w:color="auto" w:fill="auto"/>
            <w:noWrap/>
            <w:vAlign w:val="bottom"/>
          </w:tcPr>
          <w:p w14:paraId="3B84C655" w14:textId="77777777" w:rsidR="008F16FC" w:rsidRPr="008F16FC" w:rsidRDefault="008F16FC" w:rsidP="008F16FC">
            <w:pPr>
              <w:rPr>
                <w:color w:val="000000"/>
                <w:sz w:val="20"/>
                <w:szCs w:val="20"/>
              </w:rPr>
            </w:pPr>
            <w:r w:rsidRPr="008F16FC">
              <w:rPr>
                <w:color w:val="000000"/>
                <w:sz w:val="20"/>
                <w:szCs w:val="20"/>
              </w:rPr>
              <w:t>77.499</w:t>
            </w:r>
          </w:p>
        </w:tc>
        <w:tc>
          <w:tcPr>
            <w:tcW w:w="1200" w:type="dxa"/>
            <w:tcBorders>
              <w:top w:val="nil"/>
              <w:left w:val="nil"/>
              <w:bottom w:val="nil"/>
              <w:right w:val="nil"/>
            </w:tcBorders>
            <w:vAlign w:val="bottom"/>
          </w:tcPr>
          <w:p w14:paraId="6FB99174" w14:textId="77777777" w:rsidR="008F16FC" w:rsidRPr="008F16FC" w:rsidRDefault="008F16FC" w:rsidP="008F16FC">
            <w:pPr>
              <w:rPr>
                <w:color w:val="000000"/>
                <w:sz w:val="20"/>
                <w:szCs w:val="20"/>
              </w:rPr>
            </w:pPr>
            <w:r w:rsidRPr="008F16FC">
              <w:rPr>
                <w:color w:val="000000"/>
                <w:sz w:val="20"/>
                <w:szCs w:val="20"/>
              </w:rPr>
              <w:t>23.035</w:t>
            </w:r>
          </w:p>
        </w:tc>
        <w:tc>
          <w:tcPr>
            <w:tcW w:w="1105" w:type="dxa"/>
            <w:gridSpan w:val="4"/>
            <w:tcBorders>
              <w:top w:val="nil"/>
              <w:left w:val="nil"/>
              <w:bottom w:val="nil"/>
              <w:right w:val="nil"/>
            </w:tcBorders>
            <w:shd w:val="clear" w:color="auto" w:fill="auto"/>
            <w:noWrap/>
            <w:vAlign w:val="bottom"/>
          </w:tcPr>
          <w:p w14:paraId="3D0E0288" w14:textId="77777777" w:rsidR="008F16FC" w:rsidRPr="008F16FC" w:rsidRDefault="008F16FC" w:rsidP="008F16FC">
            <w:pPr>
              <w:jc w:val="right"/>
              <w:rPr>
                <w:color w:val="000000"/>
                <w:sz w:val="20"/>
                <w:szCs w:val="20"/>
              </w:rPr>
            </w:pPr>
            <w:r w:rsidRPr="008F16FC">
              <w:rPr>
                <w:rFonts w:eastAsia="Calibri"/>
                <w:color w:val="000000"/>
                <w:sz w:val="20"/>
                <w:szCs w:val="20"/>
                <w:lang w:val="es-MX"/>
              </w:rPr>
              <w:t>54.464</w:t>
            </w:r>
          </w:p>
        </w:tc>
        <w:tc>
          <w:tcPr>
            <w:tcW w:w="1134" w:type="dxa"/>
            <w:tcBorders>
              <w:top w:val="nil"/>
              <w:left w:val="nil"/>
              <w:bottom w:val="nil"/>
              <w:right w:val="nil"/>
            </w:tcBorders>
            <w:shd w:val="clear" w:color="auto" w:fill="auto"/>
            <w:vAlign w:val="bottom"/>
          </w:tcPr>
          <w:p w14:paraId="5D83EAC1" w14:textId="77777777" w:rsidR="008F16FC" w:rsidRPr="008F16FC" w:rsidRDefault="008F16FC" w:rsidP="008F16FC">
            <w:pPr>
              <w:jc w:val="right"/>
              <w:rPr>
                <w:color w:val="000000"/>
                <w:sz w:val="20"/>
                <w:szCs w:val="20"/>
              </w:rPr>
            </w:pPr>
            <w:r w:rsidRPr="008F16FC">
              <w:rPr>
                <w:rFonts w:eastAsia="Calibri"/>
                <w:color w:val="000000"/>
                <w:sz w:val="20"/>
                <w:szCs w:val="20"/>
                <w:lang w:val="es-MX"/>
              </w:rPr>
              <w:t>236%</w:t>
            </w:r>
          </w:p>
        </w:tc>
      </w:tr>
      <w:tr w:rsidR="008F16FC" w:rsidRPr="008F16FC" w14:paraId="685F2B6A" w14:textId="77777777" w:rsidTr="008F16FC">
        <w:trPr>
          <w:gridAfter w:val="1"/>
          <w:wAfter w:w="191" w:type="dxa"/>
          <w:trHeight w:val="255"/>
        </w:trPr>
        <w:tc>
          <w:tcPr>
            <w:tcW w:w="4307" w:type="dxa"/>
            <w:gridSpan w:val="4"/>
            <w:tcBorders>
              <w:top w:val="nil"/>
              <w:left w:val="nil"/>
              <w:bottom w:val="nil"/>
              <w:right w:val="nil"/>
            </w:tcBorders>
            <w:shd w:val="clear" w:color="auto" w:fill="auto"/>
            <w:noWrap/>
            <w:vAlign w:val="center"/>
            <w:hideMark/>
          </w:tcPr>
          <w:p w14:paraId="14FEB5A6" w14:textId="77777777" w:rsidR="008F16FC" w:rsidRPr="008F16FC" w:rsidRDefault="008F16FC" w:rsidP="008F16FC">
            <w:pPr>
              <w:rPr>
                <w:color w:val="000000"/>
                <w:sz w:val="20"/>
                <w:szCs w:val="20"/>
                <w:lang w:val="es-ES"/>
              </w:rPr>
            </w:pPr>
            <w:r w:rsidRPr="008F16FC">
              <w:rPr>
                <w:color w:val="000000"/>
                <w:sz w:val="20"/>
                <w:szCs w:val="20"/>
                <w:lang w:val="es-ES"/>
              </w:rPr>
              <w:t>Resultados de la posición monetaria neta (RECPAM)</w:t>
            </w:r>
          </w:p>
        </w:tc>
        <w:tc>
          <w:tcPr>
            <w:tcW w:w="1200" w:type="dxa"/>
            <w:tcBorders>
              <w:top w:val="nil"/>
              <w:left w:val="nil"/>
              <w:bottom w:val="nil"/>
              <w:right w:val="nil"/>
            </w:tcBorders>
            <w:shd w:val="clear" w:color="auto" w:fill="auto"/>
            <w:noWrap/>
            <w:vAlign w:val="bottom"/>
          </w:tcPr>
          <w:p w14:paraId="0A8B6172" w14:textId="77777777" w:rsidR="008F16FC" w:rsidRPr="008F16FC" w:rsidRDefault="008F16FC" w:rsidP="008F16FC">
            <w:pPr>
              <w:rPr>
                <w:color w:val="000000"/>
                <w:sz w:val="20"/>
                <w:szCs w:val="20"/>
                <w:lang w:val="es-MX"/>
              </w:rPr>
            </w:pPr>
            <w:r w:rsidRPr="008F16FC">
              <w:rPr>
                <w:color w:val="000000"/>
                <w:sz w:val="20"/>
                <w:szCs w:val="20"/>
                <w:lang w:val="es-MX"/>
              </w:rPr>
              <w:t>(329.751)</w:t>
            </w:r>
          </w:p>
        </w:tc>
        <w:tc>
          <w:tcPr>
            <w:tcW w:w="1200" w:type="dxa"/>
            <w:tcBorders>
              <w:top w:val="nil"/>
              <w:left w:val="nil"/>
              <w:bottom w:val="nil"/>
              <w:right w:val="nil"/>
            </w:tcBorders>
            <w:vAlign w:val="bottom"/>
          </w:tcPr>
          <w:p w14:paraId="20261879" w14:textId="77777777" w:rsidR="008F16FC" w:rsidRPr="008F16FC" w:rsidRDefault="008F16FC" w:rsidP="008F16FC">
            <w:pPr>
              <w:rPr>
                <w:color w:val="000000"/>
                <w:sz w:val="20"/>
                <w:szCs w:val="20"/>
                <w:lang w:val="es-MX"/>
              </w:rPr>
            </w:pPr>
            <w:r w:rsidRPr="008F16FC">
              <w:rPr>
                <w:color w:val="000000"/>
                <w:sz w:val="20"/>
                <w:szCs w:val="20"/>
                <w:lang w:val="es-MX"/>
              </w:rPr>
              <w:t>(643.210)</w:t>
            </w:r>
          </w:p>
        </w:tc>
        <w:tc>
          <w:tcPr>
            <w:tcW w:w="1105" w:type="dxa"/>
            <w:gridSpan w:val="4"/>
            <w:tcBorders>
              <w:top w:val="nil"/>
              <w:left w:val="nil"/>
              <w:bottom w:val="nil"/>
              <w:right w:val="nil"/>
            </w:tcBorders>
            <w:shd w:val="clear" w:color="auto" w:fill="auto"/>
            <w:noWrap/>
            <w:vAlign w:val="bottom"/>
          </w:tcPr>
          <w:p w14:paraId="7085AD6D" w14:textId="77777777" w:rsidR="008F16FC" w:rsidRPr="008F16FC" w:rsidRDefault="008F16FC" w:rsidP="008F16FC">
            <w:pPr>
              <w:jc w:val="right"/>
              <w:rPr>
                <w:color w:val="000000"/>
                <w:sz w:val="20"/>
                <w:szCs w:val="20"/>
                <w:lang w:val="es-MX"/>
              </w:rPr>
            </w:pPr>
            <w:r w:rsidRPr="008F16FC">
              <w:rPr>
                <w:rFonts w:eastAsia="Calibri"/>
                <w:color w:val="000000"/>
                <w:sz w:val="20"/>
                <w:szCs w:val="20"/>
                <w:lang w:val="es-MX"/>
              </w:rPr>
              <w:t>313.459</w:t>
            </w:r>
          </w:p>
        </w:tc>
        <w:tc>
          <w:tcPr>
            <w:tcW w:w="1134" w:type="dxa"/>
            <w:tcBorders>
              <w:top w:val="nil"/>
              <w:left w:val="nil"/>
              <w:bottom w:val="nil"/>
              <w:right w:val="nil"/>
            </w:tcBorders>
            <w:shd w:val="clear" w:color="auto" w:fill="auto"/>
            <w:vAlign w:val="bottom"/>
          </w:tcPr>
          <w:p w14:paraId="535B15C6" w14:textId="77777777" w:rsidR="008F16FC" w:rsidRPr="008F16FC" w:rsidRDefault="008F16FC" w:rsidP="008F16FC">
            <w:pPr>
              <w:jc w:val="right"/>
              <w:rPr>
                <w:color w:val="000000"/>
                <w:sz w:val="20"/>
                <w:szCs w:val="20"/>
                <w:lang w:val="es-MX"/>
              </w:rPr>
            </w:pPr>
            <w:r w:rsidRPr="008F16FC">
              <w:rPr>
                <w:rFonts w:eastAsia="Calibri"/>
                <w:color w:val="000000"/>
                <w:sz w:val="20"/>
                <w:szCs w:val="20"/>
                <w:lang w:val="es-MX"/>
              </w:rPr>
              <w:t xml:space="preserve">  49%</w:t>
            </w:r>
          </w:p>
        </w:tc>
      </w:tr>
      <w:tr w:rsidR="008F16FC" w:rsidRPr="008F16FC" w14:paraId="1F6FE36F" w14:textId="77777777" w:rsidTr="008F16FC">
        <w:trPr>
          <w:gridAfter w:val="1"/>
          <w:wAfter w:w="191" w:type="dxa"/>
          <w:trHeight w:val="255"/>
        </w:trPr>
        <w:tc>
          <w:tcPr>
            <w:tcW w:w="4307" w:type="dxa"/>
            <w:gridSpan w:val="4"/>
            <w:tcBorders>
              <w:top w:val="nil"/>
              <w:left w:val="nil"/>
              <w:bottom w:val="nil"/>
              <w:right w:val="nil"/>
            </w:tcBorders>
            <w:shd w:val="clear" w:color="000000" w:fill="D9D9D9"/>
            <w:noWrap/>
            <w:vAlign w:val="center"/>
            <w:hideMark/>
          </w:tcPr>
          <w:p w14:paraId="26115D39" w14:textId="77777777" w:rsidR="008F16FC" w:rsidRPr="008F16FC" w:rsidRDefault="008F16FC" w:rsidP="008F16FC">
            <w:pPr>
              <w:jc w:val="both"/>
              <w:rPr>
                <w:b/>
                <w:bCs/>
                <w:color w:val="000000"/>
                <w:sz w:val="20"/>
                <w:szCs w:val="20"/>
                <w:lang w:val="es-ES"/>
              </w:rPr>
            </w:pPr>
            <w:r w:rsidRPr="008F16FC">
              <w:rPr>
                <w:b/>
                <w:bCs/>
                <w:color w:val="000000"/>
                <w:sz w:val="20"/>
                <w:szCs w:val="20"/>
                <w:lang w:val="es-ES"/>
              </w:rPr>
              <w:t>Ganancia antes del impuesto a las ganancias</w:t>
            </w:r>
          </w:p>
        </w:tc>
        <w:tc>
          <w:tcPr>
            <w:tcW w:w="1200" w:type="dxa"/>
            <w:tcBorders>
              <w:top w:val="nil"/>
              <w:left w:val="nil"/>
              <w:bottom w:val="nil"/>
              <w:right w:val="nil"/>
            </w:tcBorders>
            <w:shd w:val="clear" w:color="000000" w:fill="D9D9D9"/>
            <w:noWrap/>
            <w:vAlign w:val="bottom"/>
          </w:tcPr>
          <w:p w14:paraId="033213C6" w14:textId="77777777" w:rsidR="008F16FC" w:rsidRPr="008F16FC" w:rsidRDefault="008F16FC" w:rsidP="008F16FC">
            <w:pPr>
              <w:rPr>
                <w:b/>
                <w:bCs/>
                <w:color w:val="000000"/>
                <w:sz w:val="20"/>
                <w:szCs w:val="20"/>
                <w:lang w:val="es-MX"/>
              </w:rPr>
            </w:pPr>
            <w:r w:rsidRPr="008F16FC">
              <w:rPr>
                <w:b/>
                <w:bCs/>
                <w:color w:val="000000"/>
                <w:sz w:val="20"/>
                <w:szCs w:val="20"/>
                <w:lang w:val="es-MX"/>
              </w:rPr>
              <w:t>387.132</w:t>
            </w:r>
          </w:p>
        </w:tc>
        <w:tc>
          <w:tcPr>
            <w:tcW w:w="1200" w:type="dxa"/>
            <w:tcBorders>
              <w:top w:val="nil"/>
              <w:left w:val="nil"/>
              <w:bottom w:val="nil"/>
              <w:right w:val="nil"/>
            </w:tcBorders>
            <w:shd w:val="clear" w:color="000000" w:fill="D9D9D9"/>
            <w:vAlign w:val="bottom"/>
          </w:tcPr>
          <w:p w14:paraId="332D5205" w14:textId="77777777" w:rsidR="008F16FC" w:rsidRPr="008F16FC" w:rsidRDefault="008F16FC" w:rsidP="008F16FC">
            <w:pPr>
              <w:rPr>
                <w:b/>
                <w:bCs/>
                <w:color w:val="000000"/>
                <w:sz w:val="20"/>
                <w:szCs w:val="20"/>
                <w:lang w:val="es-MX"/>
              </w:rPr>
            </w:pPr>
            <w:r w:rsidRPr="008F16FC">
              <w:rPr>
                <w:b/>
                <w:bCs/>
                <w:color w:val="000000"/>
                <w:sz w:val="20"/>
                <w:szCs w:val="20"/>
              </w:rPr>
              <w:t>639.955</w:t>
            </w:r>
          </w:p>
        </w:tc>
        <w:tc>
          <w:tcPr>
            <w:tcW w:w="1105" w:type="dxa"/>
            <w:gridSpan w:val="4"/>
            <w:tcBorders>
              <w:top w:val="nil"/>
              <w:left w:val="nil"/>
              <w:bottom w:val="nil"/>
              <w:right w:val="nil"/>
            </w:tcBorders>
            <w:shd w:val="clear" w:color="000000" w:fill="D9D9D9"/>
            <w:noWrap/>
            <w:vAlign w:val="bottom"/>
          </w:tcPr>
          <w:p w14:paraId="6CB06168" w14:textId="77777777" w:rsidR="008F16FC" w:rsidRPr="008F16FC" w:rsidRDefault="008F16FC" w:rsidP="008F16FC">
            <w:pPr>
              <w:jc w:val="right"/>
              <w:rPr>
                <w:b/>
                <w:bCs/>
                <w:color w:val="000000"/>
                <w:sz w:val="20"/>
                <w:szCs w:val="20"/>
                <w:lang w:val="es-MX"/>
              </w:rPr>
            </w:pPr>
            <w:r w:rsidRPr="008F16FC">
              <w:rPr>
                <w:rFonts w:eastAsia="Calibri"/>
                <w:color w:val="000000"/>
                <w:sz w:val="20"/>
                <w:szCs w:val="20"/>
                <w:lang w:val="es-MX"/>
              </w:rPr>
              <w:t>-252.823</w:t>
            </w:r>
          </w:p>
        </w:tc>
        <w:tc>
          <w:tcPr>
            <w:tcW w:w="1134" w:type="dxa"/>
            <w:tcBorders>
              <w:top w:val="nil"/>
              <w:left w:val="nil"/>
              <w:bottom w:val="nil"/>
              <w:right w:val="nil"/>
            </w:tcBorders>
            <w:shd w:val="clear" w:color="000000" w:fill="D9D9D9"/>
            <w:vAlign w:val="bottom"/>
          </w:tcPr>
          <w:p w14:paraId="4595D096" w14:textId="77777777" w:rsidR="008F16FC" w:rsidRPr="008F16FC" w:rsidRDefault="008F16FC" w:rsidP="008F16FC">
            <w:pPr>
              <w:jc w:val="right"/>
              <w:rPr>
                <w:b/>
                <w:bCs/>
                <w:color w:val="000000"/>
                <w:sz w:val="20"/>
                <w:szCs w:val="20"/>
                <w:lang w:val="es-MX"/>
              </w:rPr>
            </w:pPr>
            <w:r w:rsidRPr="008F16FC">
              <w:rPr>
                <w:rFonts w:eastAsia="Calibri"/>
                <w:color w:val="000000"/>
                <w:sz w:val="20"/>
                <w:szCs w:val="20"/>
                <w:lang w:val="es-MX"/>
              </w:rPr>
              <w:t xml:space="preserve"> -40%</w:t>
            </w:r>
          </w:p>
        </w:tc>
      </w:tr>
      <w:tr w:rsidR="008F16FC" w:rsidRPr="008F16FC" w14:paraId="3E7562B1" w14:textId="77777777" w:rsidTr="008F16FC">
        <w:trPr>
          <w:gridAfter w:val="1"/>
          <w:wAfter w:w="191" w:type="dxa"/>
          <w:trHeight w:val="300"/>
        </w:trPr>
        <w:tc>
          <w:tcPr>
            <w:tcW w:w="4307" w:type="dxa"/>
            <w:gridSpan w:val="4"/>
            <w:tcBorders>
              <w:top w:val="nil"/>
              <w:left w:val="nil"/>
              <w:bottom w:val="nil"/>
              <w:right w:val="nil"/>
            </w:tcBorders>
            <w:shd w:val="clear" w:color="auto" w:fill="auto"/>
            <w:noWrap/>
            <w:vAlign w:val="bottom"/>
            <w:hideMark/>
          </w:tcPr>
          <w:p w14:paraId="2274E41B" w14:textId="77777777" w:rsidR="008F16FC" w:rsidRPr="008F16FC" w:rsidRDefault="008F16FC" w:rsidP="008F16FC">
            <w:pPr>
              <w:rPr>
                <w:color w:val="000000"/>
                <w:sz w:val="20"/>
                <w:szCs w:val="20"/>
                <w:lang w:val="es-MX"/>
              </w:rPr>
            </w:pPr>
          </w:p>
        </w:tc>
        <w:tc>
          <w:tcPr>
            <w:tcW w:w="1200" w:type="dxa"/>
            <w:tcBorders>
              <w:top w:val="nil"/>
              <w:left w:val="nil"/>
              <w:bottom w:val="nil"/>
              <w:right w:val="nil"/>
            </w:tcBorders>
            <w:shd w:val="clear" w:color="auto" w:fill="auto"/>
            <w:noWrap/>
            <w:vAlign w:val="bottom"/>
          </w:tcPr>
          <w:p w14:paraId="795F9DEC" w14:textId="77777777" w:rsidR="008F16FC" w:rsidRPr="008F16FC" w:rsidRDefault="008F16FC" w:rsidP="008F16FC">
            <w:pPr>
              <w:rPr>
                <w:color w:val="000000"/>
                <w:sz w:val="20"/>
                <w:szCs w:val="20"/>
                <w:lang w:val="es-MX"/>
              </w:rPr>
            </w:pPr>
          </w:p>
        </w:tc>
        <w:tc>
          <w:tcPr>
            <w:tcW w:w="1200" w:type="dxa"/>
            <w:tcBorders>
              <w:top w:val="nil"/>
              <w:left w:val="nil"/>
              <w:bottom w:val="nil"/>
              <w:right w:val="nil"/>
            </w:tcBorders>
            <w:vAlign w:val="bottom"/>
          </w:tcPr>
          <w:p w14:paraId="643A56D3" w14:textId="77777777" w:rsidR="008F16FC" w:rsidRPr="008F16FC" w:rsidRDefault="008F16FC" w:rsidP="008F16FC">
            <w:pPr>
              <w:rPr>
                <w:color w:val="000000"/>
                <w:sz w:val="20"/>
                <w:szCs w:val="20"/>
                <w:lang w:val="es-MX"/>
              </w:rPr>
            </w:pPr>
          </w:p>
        </w:tc>
        <w:tc>
          <w:tcPr>
            <w:tcW w:w="1105" w:type="dxa"/>
            <w:gridSpan w:val="4"/>
            <w:tcBorders>
              <w:top w:val="nil"/>
              <w:left w:val="nil"/>
              <w:bottom w:val="nil"/>
              <w:right w:val="nil"/>
            </w:tcBorders>
            <w:shd w:val="clear" w:color="auto" w:fill="auto"/>
            <w:noWrap/>
            <w:vAlign w:val="bottom"/>
          </w:tcPr>
          <w:p w14:paraId="2D21D2AA" w14:textId="77777777" w:rsidR="008F16FC" w:rsidRPr="008F16FC" w:rsidRDefault="008F16FC" w:rsidP="008F16FC">
            <w:pPr>
              <w:jc w:val="right"/>
              <w:rPr>
                <w:color w:val="000000"/>
                <w:sz w:val="20"/>
                <w:szCs w:val="20"/>
                <w:lang w:val="es-MX"/>
              </w:rPr>
            </w:pPr>
          </w:p>
        </w:tc>
        <w:tc>
          <w:tcPr>
            <w:tcW w:w="1134" w:type="dxa"/>
            <w:tcBorders>
              <w:top w:val="nil"/>
              <w:left w:val="nil"/>
              <w:bottom w:val="nil"/>
              <w:right w:val="nil"/>
            </w:tcBorders>
            <w:shd w:val="clear" w:color="auto" w:fill="auto"/>
            <w:vAlign w:val="bottom"/>
          </w:tcPr>
          <w:p w14:paraId="059BA0D3" w14:textId="77777777" w:rsidR="008F16FC" w:rsidRPr="008F16FC" w:rsidRDefault="008F16FC" w:rsidP="008F16FC">
            <w:pPr>
              <w:jc w:val="right"/>
              <w:rPr>
                <w:color w:val="000000"/>
                <w:sz w:val="20"/>
                <w:szCs w:val="20"/>
                <w:lang w:val="es-MX"/>
              </w:rPr>
            </w:pPr>
          </w:p>
        </w:tc>
      </w:tr>
      <w:tr w:rsidR="008F16FC" w:rsidRPr="008F16FC" w14:paraId="3E785DA7" w14:textId="77777777" w:rsidTr="008F16FC">
        <w:trPr>
          <w:gridAfter w:val="1"/>
          <w:wAfter w:w="191" w:type="dxa"/>
          <w:trHeight w:val="255"/>
        </w:trPr>
        <w:tc>
          <w:tcPr>
            <w:tcW w:w="4307" w:type="dxa"/>
            <w:gridSpan w:val="4"/>
            <w:tcBorders>
              <w:top w:val="nil"/>
              <w:left w:val="nil"/>
              <w:bottom w:val="nil"/>
              <w:right w:val="nil"/>
            </w:tcBorders>
            <w:shd w:val="clear" w:color="auto" w:fill="auto"/>
            <w:noWrap/>
            <w:vAlign w:val="center"/>
            <w:hideMark/>
          </w:tcPr>
          <w:p w14:paraId="3858084D" w14:textId="77777777" w:rsidR="008F16FC" w:rsidRPr="008F16FC" w:rsidRDefault="008F16FC" w:rsidP="008F16FC">
            <w:pPr>
              <w:jc w:val="both"/>
              <w:rPr>
                <w:color w:val="000000"/>
                <w:sz w:val="20"/>
                <w:szCs w:val="20"/>
                <w:lang w:val="es-ES"/>
              </w:rPr>
            </w:pPr>
            <w:r w:rsidRPr="008F16FC">
              <w:rPr>
                <w:color w:val="000000"/>
                <w:sz w:val="20"/>
                <w:szCs w:val="20"/>
                <w:lang w:val="es-ES"/>
              </w:rPr>
              <w:t>(Gasto) Ingreso por impuesto a las ganancias</w:t>
            </w:r>
          </w:p>
        </w:tc>
        <w:tc>
          <w:tcPr>
            <w:tcW w:w="1200" w:type="dxa"/>
            <w:tcBorders>
              <w:top w:val="nil"/>
              <w:left w:val="nil"/>
              <w:bottom w:val="nil"/>
              <w:right w:val="nil"/>
            </w:tcBorders>
            <w:shd w:val="clear" w:color="auto" w:fill="auto"/>
            <w:noWrap/>
            <w:vAlign w:val="bottom"/>
          </w:tcPr>
          <w:p w14:paraId="2443504F" w14:textId="77777777" w:rsidR="008F16FC" w:rsidRPr="008F16FC" w:rsidRDefault="008F16FC" w:rsidP="008F16FC">
            <w:pPr>
              <w:rPr>
                <w:color w:val="000000"/>
                <w:sz w:val="20"/>
                <w:szCs w:val="20"/>
                <w:lang w:val="es-MX"/>
              </w:rPr>
            </w:pPr>
            <w:r w:rsidRPr="008F16FC">
              <w:rPr>
                <w:color w:val="000000"/>
                <w:sz w:val="20"/>
                <w:szCs w:val="20"/>
                <w:lang w:val="es-MX"/>
              </w:rPr>
              <w:t>(309.733)</w:t>
            </w:r>
          </w:p>
        </w:tc>
        <w:tc>
          <w:tcPr>
            <w:tcW w:w="1200" w:type="dxa"/>
            <w:tcBorders>
              <w:top w:val="nil"/>
              <w:left w:val="nil"/>
              <w:bottom w:val="nil"/>
              <w:right w:val="nil"/>
            </w:tcBorders>
            <w:vAlign w:val="bottom"/>
          </w:tcPr>
          <w:p w14:paraId="456CB47A" w14:textId="77777777" w:rsidR="008F16FC" w:rsidRPr="008F16FC" w:rsidRDefault="008F16FC" w:rsidP="008F16FC">
            <w:pPr>
              <w:rPr>
                <w:color w:val="000000"/>
                <w:sz w:val="20"/>
                <w:szCs w:val="20"/>
                <w:lang w:val="es-MX"/>
              </w:rPr>
            </w:pPr>
            <w:r w:rsidRPr="008F16FC">
              <w:rPr>
                <w:color w:val="000000"/>
                <w:sz w:val="20"/>
                <w:szCs w:val="20"/>
              </w:rPr>
              <w:t>(338.211)</w:t>
            </w:r>
          </w:p>
        </w:tc>
        <w:tc>
          <w:tcPr>
            <w:tcW w:w="1105" w:type="dxa"/>
            <w:gridSpan w:val="4"/>
            <w:tcBorders>
              <w:top w:val="nil"/>
              <w:left w:val="nil"/>
              <w:bottom w:val="nil"/>
              <w:right w:val="nil"/>
            </w:tcBorders>
            <w:shd w:val="clear" w:color="auto" w:fill="auto"/>
            <w:noWrap/>
            <w:vAlign w:val="bottom"/>
          </w:tcPr>
          <w:p w14:paraId="765474A0" w14:textId="77777777" w:rsidR="008F16FC" w:rsidRPr="008F16FC" w:rsidRDefault="008F16FC" w:rsidP="008F16FC">
            <w:pPr>
              <w:jc w:val="right"/>
              <w:rPr>
                <w:color w:val="000000"/>
                <w:sz w:val="20"/>
                <w:szCs w:val="20"/>
                <w:lang w:val="es-MX"/>
              </w:rPr>
            </w:pPr>
            <w:r w:rsidRPr="008F16FC">
              <w:rPr>
                <w:rFonts w:eastAsia="Calibri"/>
                <w:color w:val="000000"/>
                <w:sz w:val="20"/>
                <w:szCs w:val="20"/>
                <w:lang w:val="es-MX"/>
              </w:rPr>
              <w:t xml:space="preserve">   28.478</w:t>
            </w:r>
          </w:p>
        </w:tc>
        <w:tc>
          <w:tcPr>
            <w:tcW w:w="1134" w:type="dxa"/>
            <w:tcBorders>
              <w:top w:val="nil"/>
              <w:left w:val="nil"/>
              <w:bottom w:val="nil"/>
              <w:right w:val="nil"/>
            </w:tcBorders>
            <w:shd w:val="clear" w:color="auto" w:fill="auto"/>
            <w:vAlign w:val="bottom"/>
          </w:tcPr>
          <w:p w14:paraId="210B02D5" w14:textId="77777777" w:rsidR="008F16FC" w:rsidRPr="008F16FC" w:rsidRDefault="008F16FC" w:rsidP="008F16FC">
            <w:pPr>
              <w:jc w:val="right"/>
              <w:rPr>
                <w:color w:val="000000"/>
                <w:sz w:val="20"/>
                <w:szCs w:val="20"/>
                <w:lang w:val="es-MX"/>
              </w:rPr>
            </w:pPr>
            <w:r w:rsidRPr="008F16FC">
              <w:rPr>
                <w:rFonts w:eastAsia="Calibri"/>
                <w:color w:val="000000"/>
                <w:sz w:val="20"/>
                <w:szCs w:val="20"/>
                <w:lang w:val="es-MX"/>
              </w:rPr>
              <w:t xml:space="preserve">   8%</w:t>
            </w:r>
          </w:p>
        </w:tc>
      </w:tr>
      <w:tr w:rsidR="008F16FC" w:rsidRPr="008F16FC" w14:paraId="00BCAF86" w14:textId="77777777" w:rsidTr="008F16FC">
        <w:trPr>
          <w:gridAfter w:val="1"/>
          <w:wAfter w:w="191" w:type="dxa"/>
          <w:trHeight w:val="255"/>
        </w:trPr>
        <w:tc>
          <w:tcPr>
            <w:tcW w:w="4307" w:type="dxa"/>
            <w:gridSpan w:val="4"/>
            <w:tcBorders>
              <w:top w:val="nil"/>
              <w:left w:val="nil"/>
              <w:bottom w:val="nil"/>
              <w:right w:val="nil"/>
            </w:tcBorders>
            <w:shd w:val="clear" w:color="000000" w:fill="A6A6A6"/>
            <w:noWrap/>
            <w:vAlign w:val="center"/>
            <w:hideMark/>
          </w:tcPr>
          <w:p w14:paraId="2AAD92F5" w14:textId="77777777" w:rsidR="008F16FC" w:rsidRPr="008F16FC" w:rsidRDefault="008F16FC" w:rsidP="008F16FC">
            <w:pPr>
              <w:rPr>
                <w:b/>
                <w:bCs/>
                <w:color w:val="000000"/>
                <w:sz w:val="20"/>
                <w:szCs w:val="20"/>
              </w:rPr>
            </w:pPr>
            <w:r w:rsidRPr="008F16FC">
              <w:rPr>
                <w:b/>
                <w:bCs/>
                <w:color w:val="000000"/>
                <w:sz w:val="20"/>
                <w:szCs w:val="20"/>
              </w:rPr>
              <w:t>Ganancia del período</w:t>
            </w:r>
          </w:p>
        </w:tc>
        <w:tc>
          <w:tcPr>
            <w:tcW w:w="1200" w:type="dxa"/>
            <w:tcBorders>
              <w:top w:val="nil"/>
              <w:left w:val="nil"/>
              <w:bottom w:val="nil"/>
              <w:right w:val="nil"/>
            </w:tcBorders>
            <w:shd w:val="clear" w:color="000000" w:fill="A6A6A6"/>
            <w:noWrap/>
            <w:vAlign w:val="bottom"/>
          </w:tcPr>
          <w:p w14:paraId="5FEB78D3" w14:textId="77777777" w:rsidR="008F16FC" w:rsidRPr="008F16FC" w:rsidRDefault="008F16FC" w:rsidP="008F16FC">
            <w:pPr>
              <w:rPr>
                <w:b/>
                <w:bCs/>
                <w:color w:val="000000"/>
                <w:sz w:val="20"/>
                <w:szCs w:val="20"/>
              </w:rPr>
            </w:pPr>
            <w:r w:rsidRPr="008F16FC">
              <w:rPr>
                <w:b/>
                <w:bCs/>
                <w:color w:val="000000"/>
                <w:sz w:val="20"/>
                <w:szCs w:val="20"/>
              </w:rPr>
              <w:t>77.399</w:t>
            </w:r>
          </w:p>
        </w:tc>
        <w:tc>
          <w:tcPr>
            <w:tcW w:w="1200" w:type="dxa"/>
            <w:tcBorders>
              <w:top w:val="nil"/>
              <w:left w:val="nil"/>
              <w:bottom w:val="nil"/>
              <w:right w:val="nil"/>
            </w:tcBorders>
            <w:shd w:val="clear" w:color="000000" w:fill="A6A6A6"/>
            <w:vAlign w:val="bottom"/>
          </w:tcPr>
          <w:p w14:paraId="67871CDA" w14:textId="77777777" w:rsidR="008F16FC" w:rsidRPr="008F16FC" w:rsidRDefault="008F16FC" w:rsidP="008F16FC">
            <w:pPr>
              <w:rPr>
                <w:b/>
                <w:bCs/>
                <w:color w:val="000000"/>
                <w:sz w:val="20"/>
                <w:szCs w:val="20"/>
              </w:rPr>
            </w:pPr>
            <w:r w:rsidRPr="008F16FC">
              <w:rPr>
                <w:b/>
                <w:bCs/>
                <w:color w:val="000000"/>
                <w:sz w:val="20"/>
                <w:szCs w:val="20"/>
              </w:rPr>
              <w:t>301.743</w:t>
            </w:r>
          </w:p>
        </w:tc>
        <w:tc>
          <w:tcPr>
            <w:tcW w:w="1105" w:type="dxa"/>
            <w:gridSpan w:val="4"/>
            <w:tcBorders>
              <w:top w:val="nil"/>
              <w:left w:val="nil"/>
              <w:bottom w:val="nil"/>
              <w:right w:val="nil"/>
            </w:tcBorders>
            <w:shd w:val="clear" w:color="000000" w:fill="A6A6A6"/>
            <w:noWrap/>
            <w:vAlign w:val="bottom"/>
          </w:tcPr>
          <w:p w14:paraId="456ACE1B" w14:textId="77777777" w:rsidR="008F16FC" w:rsidRPr="008F16FC" w:rsidRDefault="008F16FC" w:rsidP="008F16FC">
            <w:pPr>
              <w:jc w:val="right"/>
              <w:rPr>
                <w:b/>
                <w:bCs/>
                <w:color w:val="000000"/>
                <w:sz w:val="20"/>
                <w:szCs w:val="20"/>
              </w:rPr>
            </w:pPr>
            <w:r w:rsidRPr="008F16FC">
              <w:rPr>
                <w:rFonts w:eastAsia="Calibri"/>
                <w:color w:val="000000"/>
                <w:sz w:val="20"/>
                <w:szCs w:val="20"/>
                <w:lang w:val="es-MX"/>
              </w:rPr>
              <w:t>-224.344</w:t>
            </w:r>
          </w:p>
        </w:tc>
        <w:tc>
          <w:tcPr>
            <w:tcW w:w="1134" w:type="dxa"/>
            <w:tcBorders>
              <w:top w:val="nil"/>
              <w:left w:val="nil"/>
              <w:bottom w:val="nil"/>
              <w:right w:val="nil"/>
            </w:tcBorders>
            <w:shd w:val="clear" w:color="000000" w:fill="A6A6A6"/>
            <w:vAlign w:val="bottom"/>
          </w:tcPr>
          <w:p w14:paraId="2D71C5C4" w14:textId="77777777" w:rsidR="008F16FC" w:rsidRPr="008F16FC" w:rsidRDefault="008F16FC" w:rsidP="008F16FC">
            <w:pPr>
              <w:jc w:val="right"/>
              <w:rPr>
                <w:b/>
                <w:bCs/>
                <w:color w:val="000000"/>
                <w:sz w:val="20"/>
                <w:szCs w:val="20"/>
              </w:rPr>
            </w:pPr>
            <w:r w:rsidRPr="008F16FC">
              <w:rPr>
                <w:rFonts w:eastAsia="Calibri"/>
                <w:color w:val="000000"/>
                <w:sz w:val="20"/>
                <w:szCs w:val="20"/>
                <w:lang w:val="es-MX"/>
              </w:rPr>
              <w:t>-74%</w:t>
            </w:r>
          </w:p>
        </w:tc>
      </w:tr>
      <w:tr w:rsidR="008F16FC" w:rsidRPr="008F16FC" w14:paraId="240CEBAB" w14:textId="77777777" w:rsidTr="008F16FC">
        <w:trPr>
          <w:gridAfter w:val="1"/>
          <w:wAfter w:w="191" w:type="dxa"/>
          <w:trHeight w:val="300"/>
        </w:trPr>
        <w:tc>
          <w:tcPr>
            <w:tcW w:w="4307" w:type="dxa"/>
            <w:gridSpan w:val="4"/>
            <w:tcBorders>
              <w:top w:val="nil"/>
              <w:left w:val="nil"/>
              <w:bottom w:val="nil"/>
              <w:right w:val="nil"/>
            </w:tcBorders>
            <w:shd w:val="clear" w:color="auto" w:fill="auto"/>
            <w:noWrap/>
            <w:vAlign w:val="bottom"/>
            <w:hideMark/>
          </w:tcPr>
          <w:p w14:paraId="61A64773" w14:textId="77777777" w:rsidR="008F16FC" w:rsidRPr="008F16FC" w:rsidRDefault="008F16FC" w:rsidP="008F16FC">
            <w:pPr>
              <w:rPr>
                <w:color w:val="000000"/>
                <w:sz w:val="20"/>
                <w:szCs w:val="20"/>
              </w:rPr>
            </w:pPr>
          </w:p>
        </w:tc>
        <w:tc>
          <w:tcPr>
            <w:tcW w:w="1200" w:type="dxa"/>
            <w:tcBorders>
              <w:top w:val="nil"/>
              <w:left w:val="nil"/>
              <w:bottom w:val="nil"/>
              <w:right w:val="nil"/>
            </w:tcBorders>
            <w:shd w:val="clear" w:color="auto" w:fill="auto"/>
            <w:noWrap/>
            <w:vAlign w:val="bottom"/>
            <w:hideMark/>
          </w:tcPr>
          <w:p w14:paraId="430FE138" w14:textId="77777777" w:rsidR="008F16FC" w:rsidRPr="008F16FC" w:rsidRDefault="008F16FC" w:rsidP="008F16FC">
            <w:pPr>
              <w:rPr>
                <w:color w:val="000000"/>
                <w:sz w:val="20"/>
                <w:szCs w:val="20"/>
              </w:rPr>
            </w:pPr>
          </w:p>
        </w:tc>
        <w:tc>
          <w:tcPr>
            <w:tcW w:w="1200" w:type="dxa"/>
            <w:tcBorders>
              <w:top w:val="nil"/>
              <w:left w:val="nil"/>
              <w:bottom w:val="nil"/>
              <w:right w:val="nil"/>
            </w:tcBorders>
            <w:vAlign w:val="bottom"/>
          </w:tcPr>
          <w:p w14:paraId="533FE980" w14:textId="77777777" w:rsidR="008F16FC" w:rsidRPr="008F16FC" w:rsidRDefault="008F16FC" w:rsidP="008F16FC">
            <w:pPr>
              <w:rPr>
                <w:color w:val="000000"/>
                <w:sz w:val="20"/>
                <w:szCs w:val="20"/>
              </w:rPr>
            </w:pPr>
          </w:p>
        </w:tc>
        <w:tc>
          <w:tcPr>
            <w:tcW w:w="1105" w:type="dxa"/>
            <w:gridSpan w:val="4"/>
            <w:tcBorders>
              <w:top w:val="nil"/>
              <w:left w:val="nil"/>
              <w:bottom w:val="nil"/>
              <w:right w:val="nil"/>
            </w:tcBorders>
            <w:shd w:val="clear" w:color="auto" w:fill="auto"/>
            <w:noWrap/>
            <w:vAlign w:val="bottom"/>
          </w:tcPr>
          <w:p w14:paraId="55EDAA44" w14:textId="77777777" w:rsidR="008F16FC" w:rsidRPr="008F16FC" w:rsidRDefault="008F16FC" w:rsidP="008F16FC">
            <w:pPr>
              <w:rPr>
                <w:color w:val="000000"/>
                <w:sz w:val="20"/>
                <w:szCs w:val="20"/>
              </w:rPr>
            </w:pPr>
          </w:p>
        </w:tc>
        <w:tc>
          <w:tcPr>
            <w:tcW w:w="1134" w:type="dxa"/>
            <w:tcBorders>
              <w:top w:val="nil"/>
              <w:left w:val="nil"/>
              <w:bottom w:val="nil"/>
              <w:right w:val="nil"/>
            </w:tcBorders>
            <w:shd w:val="clear" w:color="auto" w:fill="auto"/>
            <w:vAlign w:val="center"/>
          </w:tcPr>
          <w:p w14:paraId="19A9D995" w14:textId="77777777" w:rsidR="008F16FC" w:rsidRPr="008F16FC" w:rsidRDefault="008F16FC" w:rsidP="008F16FC">
            <w:pPr>
              <w:rPr>
                <w:color w:val="000000"/>
                <w:sz w:val="20"/>
                <w:szCs w:val="20"/>
              </w:rPr>
            </w:pPr>
          </w:p>
        </w:tc>
      </w:tr>
      <w:tr w:rsidR="008F16FC" w:rsidRPr="008F16FC" w14:paraId="58BFDF68" w14:textId="77777777" w:rsidTr="008F16FC">
        <w:trPr>
          <w:gridAfter w:val="9"/>
          <w:wAfter w:w="5351" w:type="dxa"/>
          <w:trHeight w:val="300"/>
        </w:trPr>
        <w:tc>
          <w:tcPr>
            <w:tcW w:w="1074" w:type="dxa"/>
            <w:tcBorders>
              <w:top w:val="nil"/>
              <w:left w:val="nil"/>
              <w:bottom w:val="nil"/>
              <w:right w:val="nil"/>
            </w:tcBorders>
            <w:vAlign w:val="center"/>
          </w:tcPr>
          <w:p w14:paraId="1EB9BDFD" w14:textId="77777777" w:rsidR="008F16FC" w:rsidRPr="008F16FC" w:rsidRDefault="008F16FC" w:rsidP="008F16FC">
            <w:pPr>
              <w:rPr>
                <w:b/>
                <w:bCs/>
                <w:color w:val="000000"/>
                <w:sz w:val="20"/>
                <w:szCs w:val="20"/>
                <w:lang w:val="es-ES"/>
              </w:rPr>
            </w:pPr>
          </w:p>
        </w:tc>
        <w:tc>
          <w:tcPr>
            <w:tcW w:w="1356" w:type="dxa"/>
            <w:vAlign w:val="bottom"/>
          </w:tcPr>
          <w:p w14:paraId="56BA5598" w14:textId="77777777" w:rsidR="008F16FC" w:rsidRPr="008F16FC" w:rsidRDefault="008F16FC" w:rsidP="008F16FC">
            <w:pPr>
              <w:rPr>
                <w:rFonts w:eastAsia="Calibri"/>
                <w:sz w:val="22"/>
                <w:szCs w:val="22"/>
                <w:lang w:val="es-MX"/>
              </w:rPr>
            </w:pPr>
          </w:p>
        </w:tc>
        <w:tc>
          <w:tcPr>
            <w:tcW w:w="1356" w:type="dxa"/>
            <w:vAlign w:val="bottom"/>
          </w:tcPr>
          <w:p w14:paraId="45729B62" w14:textId="77777777" w:rsidR="008F16FC" w:rsidRPr="008F16FC" w:rsidRDefault="008F16FC" w:rsidP="008F16FC">
            <w:pPr>
              <w:rPr>
                <w:rFonts w:eastAsia="Calibri"/>
                <w:sz w:val="22"/>
                <w:szCs w:val="22"/>
                <w:lang w:val="es-MX"/>
              </w:rPr>
            </w:pPr>
          </w:p>
        </w:tc>
      </w:tr>
      <w:tr w:rsidR="008F16FC" w:rsidRPr="00512442" w14:paraId="0C17B746" w14:textId="77777777" w:rsidTr="008F16FC">
        <w:trPr>
          <w:trHeight w:val="300"/>
        </w:trPr>
        <w:tc>
          <w:tcPr>
            <w:tcW w:w="6707" w:type="dxa"/>
            <w:gridSpan w:val="6"/>
            <w:tcBorders>
              <w:top w:val="nil"/>
              <w:left w:val="nil"/>
              <w:bottom w:val="nil"/>
              <w:right w:val="nil"/>
            </w:tcBorders>
            <w:shd w:val="clear" w:color="auto" w:fill="auto"/>
            <w:noWrap/>
            <w:vAlign w:val="center"/>
            <w:hideMark/>
          </w:tcPr>
          <w:p w14:paraId="53EA8CB2" w14:textId="77777777" w:rsidR="008F16FC" w:rsidRPr="008F16FC" w:rsidRDefault="008F16FC" w:rsidP="008F16FC">
            <w:pPr>
              <w:jc w:val="both"/>
              <w:rPr>
                <w:b/>
                <w:bCs/>
                <w:color w:val="000000"/>
                <w:sz w:val="20"/>
                <w:szCs w:val="20"/>
                <w:lang w:val="es-ES"/>
              </w:rPr>
            </w:pPr>
            <w:r w:rsidRPr="008F16FC">
              <w:rPr>
                <w:b/>
                <w:bCs/>
                <w:color w:val="000000"/>
                <w:sz w:val="20"/>
                <w:szCs w:val="20"/>
                <w:lang w:val="es-ES"/>
              </w:rPr>
              <w:t>Que se clasificará en resultados</w:t>
            </w:r>
          </w:p>
        </w:tc>
        <w:tc>
          <w:tcPr>
            <w:tcW w:w="1074" w:type="dxa"/>
            <w:gridSpan w:val="3"/>
            <w:tcBorders>
              <w:top w:val="nil"/>
              <w:left w:val="nil"/>
              <w:bottom w:val="nil"/>
              <w:right w:val="nil"/>
            </w:tcBorders>
            <w:shd w:val="clear" w:color="auto" w:fill="auto"/>
            <w:vAlign w:val="bottom"/>
          </w:tcPr>
          <w:p w14:paraId="6824626D" w14:textId="77777777" w:rsidR="008F16FC" w:rsidRPr="008F16FC" w:rsidRDefault="008F16FC" w:rsidP="008F16FC">
            <w:pPr>
              <w:rPr>
                <w:b/>
                <w:bCs/>
                <w:color w:val="000000"/>
                <w:sz w:val="20"/>
                <w:szCs w:val="20"/>
                <w:lang w:val="es-ES"/>
              </w:rPr>
            </w:pPr>
          </w:p>
        </w:tc>
        <w:tc>
          <w:tcPr>
            <w:tcW w:w="1356" w:type="dxa"/>
            <w:gridSpan w:val="3"/>
            <w:vAlign w:val="bottom"/>
          </w:tcPr>
          <w:p w14:paraId="56E0E0AA" w14:textId="77777777" w:rsidR="008F16FC" w:rsidRPr="008F16FC" w:rsidRDefault="008F16FC" w:rsidP="008F16FC">
            <w:pPr>
              <w:rPr>
                <w:rFonts w:eastAsia="Calibri"/>
                <w:sz w:val="22"/>
                <w:szCs w:val="22"/>
                <w:lang w:val="es-MX"/>
              </w:rPr>
            </w:pPr>
          </w:p>
        </w:tc>
      </w:tr>
      <w:tr w:rsidR="008F16FC" w:rsidRPr="008F16FC" w14:paraId="53CEF384" w14:textId="77777777" w:rsidTr="008F16FC">
        <w:trPr>
          <w:gridAfter w:val="1"/>
          <w:wAfter w:w="191" w:type="dxa"/>
          <w:trHeight w:val="248"/>
        </w:trPr>
        <w:tc>
          <w:tcPr>
            <w:tcW w:w="4307" w:type="dxa"/>
            <w:gridSpan w:val="4"/>
            <w:tcBorders>
              <w:top w:val="nil"/>
              <w:left w:val="nil"/>
              <w:bottom w:val="nil"/>
              <w:right w:val="nil"/>
            </w:tcBorders>
            <w:shd w:val="clear" w:color="auto" w:fill="auto"/>
            <w:noWrap/>
            <w:vAlign w:val="center"/>
            <w:hideMark/>
          </w:tcPr>
          <w:p w14:paraId="04DE9FEC" w14:textId="77777777" w:rsidR="008F16FC" w:rsidRPr="008F16FC" w:rsidRDefault="008F16FC" w:rsidP="008F16FC">
            <w:pPr>
              <w:rPr>
                <w:color w:val="000000"/>
                <w:sz w:val="20"/>
                <w:szCs w:val="20"/>
              </w:rPr>
            </w:pPr>
            <w:r w:rsidRPr="008F16FC">
              <w:rPr>
                <w:color w:val="000000"/>
                <w:sz w:val="20"/>
                <w:szCs w:val="20"/>
              </w:rPr>
              <w:t>Diferencias de conversión</w:t>
            </w:r>
          </w:p>
        </w:tc>
        <w:tc>
          <w:tcPr>
            <w:tcW w:w="1200" w:type="dxa"/>
            <w:tcBorders>
              <w:top w:val="nil"/>
              <w:left w:val="nil"/>
              <w:bottom w:val="nil"/>
              <w:right w:val="nil"/>
            </w:tcBorders>
            <w:shd w:val="clear" w:color="auto" w:fill="auto"/>
            <w:noWrap/>
            <w:vAlign w:val="bottom"/>
          </w:tcPr>
          <w:p w14:paraId="6BA9C9A5" w14:textId="77777777" w:rsidR="008F16FC" w:rsidRPr="008F16FC" w:rsidRDefault="008F16FC" w:rsidP="008F16FC">
            <w:pPr>
              <w:jc w:val="right"/>
              <w:rPr>
                <w:color w:val="000000"/>
                <w:sz w:val="20"/>
                <w:szCs w:val="20"/>
              </w:rPr>
            </w:pPr>
            <w:r w:rsidRPr="008F16FC">
              <w:rPr>
                <w:b/>
                <w:bCs/>
                <w:color w:val="000000"/>
                <w:sz w:val="20"/>
                <w:szCs w:val="20"/>
                <w:lang w:val="es-ES"/>
              </w:rPr>
              <w:t xml:space="preserve">            (9.777)</w:t>
            </w:r>
          </w:p>
        </w:tc>
        <w:tc>
          <w:tcPr>
            <w:tcW w:w="1312" w:type="dxa"/>
            <w:gridSpan w:val="2"/>
            <w:tcBorders>
              <w:top w:val="nil"/>
              <w:left w:val="nil"/>
              <w:bottom w:val="nil"/>
              <w:right w:val="nil"/>
            </w:tcBorders>
            <w:vAlign w:val="bottom"/>
          </w:tcPr>
          <w:p w14:paraId="6BA99F86" w14:textId="77777777" w:rsidR="008F16FC" w:rsidRPr="008F16FC" w:rsidRDefault="008F16FC" w:rsidP="008F16FC">
            <w:pPr>
              <w:jc w:val="center"/>
              <w:rPr>
                <w:b/>
                <w:bCs/>
                <w:color w:val="000000"/>
                <w:sz w:val="20"/>
                <w:szCs w:val="20"/>
                <w:lang w:val="es-ES"/>
              </w:rPr>
            </w:pPr>
            <w:r w:rsidRPr="008F16FC">
              <w:rPr>
                <w:color w:val="000000"/>
                <w:sz w:val="20"/>
                <w:szCs w:val="20"/>
              </w:rPr>
              <w:t xml:space="preserve">     (55.169)</w:t>
            </w:r>
          </w:p>
        </w:tc>
        <w:tc>
          <w:tcPr>
            <w:tcW w:w="828" w:type="dxa"/>
            <w:tcBorders>
              <w:top w:val="nil"/>
              <w:left w:val="nil"/>
              <w:bottom w:val="nil"/>
              <w:right w:val="nil"/>
            </w:tcBorders>
            <w:shd w:val="clear" w:color="auto" w:fill="auto"/>
            <w:noWrap/>
            <w:vAlign w:val="bottom"/>
          </w:tcPr>
          <w:p w14:paraId="6559B6C3" w14:textId="77777777" w:rsidR="008F16FC" w:rsidRPr="008F16FC" w:rsidRDefault="008F16FC" w:rsidP="008F16FC">
            <w:pPr>
              <w:jc w:val="right"/>
              <w:rPr>
                <w:color w:val="000000"/>
                <w:sz w:val="20"/>
                <w:szCs w:val="20"/>
                <w:highlight w:val="yellow"/>
              </w:rPr>
            </w:pPr>
            <w:r w:rsidRPr="008F16FC">
              <w:rPr>
                <w:rFonts w:eastAsia="Calibri"/>
                <w:color w:val="000000"/>
                <w:sz w:val="20"/>
                <w:szCs w:val="20"/>
                <w:lang w:val="es-MX"/>
              </w:rPr>
              <w:t xml:space="preserve">  45.392</w:t>
            </w:r>
          </w:p>
        </w:tc>
        <w:tc>
          <w:tcPr>
            <w:tcW w:w="1299" w:type="dxa"/>
            <w:gridSpan w:val="3"/>
            <w:tcBorders>
              <w:top w:val="nil"/>
              <w:left w:val="nil"/>
              <w:bottom w:val="nil"/>
              <w:right w:val="nil"/>
            </w:tcBorders>
            <w:shd w:val="clear" w:color="auto" w:fill="auto"/>
            <w:vAlign w:val="bottom"/>
          </w:tcPr>
          <w:p w14:paraId="3DC54403" w14:textId="77777777" w:rsidR="008F16FC" w:rsidRPr="008F16FC" w:rsidRDefault="008F16FC" w:rsidP="008F16FC">
            <w:pPr>
              <w:jc w:val="right"/>
              <w:rPr>
                <w:color w:val="000000"/>
                <w:sz w:val="20"/>
                <w:szCs w:val="20"/>
                <w:highlight w:val="yellow"/>
              </w:rPr>
            </w:pPr>
            <w:r w:rsidRPr="008F16FC">
              <w:rPr>
                <w:rFonts w:eastAsia="Calibri"/>
                <w:color w:val="000000"/>
                <w:sz w:val="20"/>
                <w:szCs w:val="20"/>
                <w:lang w:val="es-MX"/>
              </w:rPr>
              <w:t>82%</w:t>
            </w:r>
          </w:p>
        </w:tc>
      </w:tr>
      <w:tr w:rsidR="008F16FC" w:rsidRPr="008F16FC" w14:paraId="1FEF23D8" w14:textId="77777777" w:rsidTr="008F16FC">
        <w:trPr>
          <w:gridAfter w:val="1"/>
          <w:wAfter w:w="191" w:type="dxa"/>
          <w:trHeight w:val="255"/>
        </w:trPr>
        <w:tc>
          <w:tcPr>
            <w:tcW w:w="4307" w:type="dxa"/>
            <w:gridSpan w:val="4"/>
            <w:tcBorders>
              <w:top w:val="nil"/>
              <w:left w:val="nil"/>
              <w:bottom w:val="nil"/>
              <w:right w:val="nil"/>
            </w:tcBorders>
            <w:shd w:val="clear" w:color="auto" w:fill="auto"/>
            <w:noWrap/>
            <w:vAlign w:val="center"/>
            <w:hideMark/>
          </w:tcPr>
          <w:p w14:paraId="4560F348" w14:textId="77777777" w:rsidR="008F16FC" w:rsidRPr="008F16FC" w:rsidRDefault="008F16FC" w:rsidP="008F16FC">
            <w:pPr>
              <w:rPr>
                <w:color w:val="000000"/>
                <w:sz w:val="20"/>
                <w:szCs w:val="20"/>
              </w:rPr>
            </w:pPr>
            <w:r w:rsidRPr="008F16FC">
              <w:rPr>
                <w:color w:val="000000"/>
                <w:sz w:val="20"/>
                <w:szCs w:val="20"/>
              </w:rPr>
              <w:t>Superávit de revaluación</w:t>
            </w:r>
          </w:p>
        </w:tc>
        <w:tc>
          <w:tcPr>
            <w:tcW w:w="1200" w:type="dxa"/>
            <w:tcBorders>
              <w:top w:val="nil"/>
              <w:left w:val="nil"/>
              <w:bottom w:val="nil"/>
              <w:right w:val="nil"/>
            </w:tcBorders>
            <w:shd w:val="clear" w:color="auto" w:fill="auto"/>
            <w:noWrap/>
            <w:vAlign w:val="bottom"/>
          </w:tcPr>
          <w:p w14:paraId="3361F350" w14:textId="77777777" w:rsidR="008F16FC" w:rsidRPr="008F16FC" w:rsidRDefault="008F16FC" w:rsidP="008F16FC">
            <w:pPr>
              <w:jc w:val="right"/>
              <w:rPr>
                <w:color w:val="000000"/>
                <w:sz w:val="20"/>
                <w:szCs w:val="20"/>
              </w:rPr>
            </w:pPr>
            <w:r w:rsidRPr="008F16FC">
              <w:rPr>
                <w:color w:val="000000"/>
                <w:sz w:val="20"/>
                <w:szCs w:val="20"/>
              </w:rPr>
              <w:t>313.205</w:t>
            </w:r>
          </w:p>
        </w:tc>
        <w:tc>
          <w:tcPr>
            <w:tcW w:w="1200" w:type="dxa"/>
            <w:tcBorders>
              <w:top w:val="nil"/>
              <w:left w:val="nil"/>
              <w:bottom w:val="nil"/>
              <w:right w:val="nil"/>
            </w:tcBorders>
            <w:vAlign w:val="bottom"/>
          </w:tcPr>
          <w:p w14:paraId="4FC01BF4" w14:textId="77777777" w:rsidR="008F16FC" w:rsidRPr="008F16FC" w:rsidRDefault="008F16FC" w:rsidP="008F16FC">
            <w:pPr>
              <w:jc w:val="right"/>
              <w:rPr>
                <w:b/>
                <w:bCs/>
                <w:color w:val="000000"/>
                <w:sz w:val="20"/>
                <w:szCs w:val="20"/>
                <w:lang w:val="es-ES"/>
              </w:rPr>
            </w:pPr>
            <w:r w:rsidRPr="008F16FC">
              <w:rPr>
                <w:color w:val="000000"/>
                <w:sz w:val="20"/>
                <w:szCs w:val="20"/>
              </w:rPr>
              <w:t>(176.720)</w:t>
            </w:r>
          </w:p>
        </w:tc>
        <w:tc>
          <w:tcPr>
            <w:tcW w:w="940" w:type="dxa"/>
            <w:gridSpan w:val="2"/>
            <w:tcBorders>
              <w:top w:val="nil"/>
              <w:left w:val="nil"/>
              <w:bottom w:val="nil"/>
              <w:right w:val="nil"/>
            </w:tcBorders>
            <w:shd w:val="clear" w:color="auto" w:fill="auto"/>
            <w:noWrap/>
            <w:vAlign w:val="center"/>
          </w:tcPr>
          <w:p w14:paraId="17FD3BF4" w14:textId="77777777" w:rsidR="008F16FC" w:rsidRPr="008F16FC" w:rsidRDefault="008F16FC" w:rsidP="008F16FC">
            <w:pPr>
              <w:jc w:val="right"/>
              <w:rPr>
                <w:color w:val="000000"/>
                <w:sz w:val="20"/>
                <w:szCs w:val="20"/>
                <w:highlight w:val="yellow"/>
              </w:rPr>
            </w:pPr>
            <w:r w:rsidRPr="008F16FC">
              <w:rPr>
                <w:rFonts w:eastAsia="Calibri"/>
                <w:color w:val="000000"/>
                <w:sz w:val="20"/>
                <w:szCs w:val="20"/>
                <w:lang w:val="es-MX"/>
              </w:rPr>
              <w:t>136.485</w:t>
            </w:r>
          </w:p>
        </w:tc>
        <w:tc>
          <w:tcPr>
            <w:tcW w:w="1299" w:type="dxa"/>
            <w:gridSpan w:val="3"/>
            <w:tcBorders>
              <w:top w:val="nil"/>
              <w:left w:val="nil"/>
              <w:bottom w:val="nil"/>
              <w:right w:val="nil"/>
            </w:tcBorders>
            <w:shd w:val="clear" w:color="auto" w:fill="auto"/>
            <w:vAlign w:val="bottom"/>
          </w:tcPr>
          <w:p w14:paraId="68F1D116" w14:textId="77777777" w:rsidR="008F16FC" w:rsidRPr="008F16FC" w:rsidRDefault="008F16FC" w:rsidP="008F16FC">
            <w:pPr>
              <w:jc w:val="right"/>
              <w:rPr>
                <w:color w:val="000000"/>
                <w:sz w:val="20"/>
                <w:szCs w:val="20"/>
                <w:highlight w:val="yellow"/>
              </w:rPr>
            </w:pPr>
            <w:r w:rsidRPr="008F16FC">
              <w:rPr>
                <w:rFonts w:eastAsia="Calibri"/>
                <w:color w:val="000000"/>
                <w:sz w:val="20"/>
                <w:szCs w:val="20"/>
                <w:lang w:val="es-MX"/>
              </w:rPr>
              <w:t>77%</w:t>
            </w:r>
          </w:p>
        </w:tc>
      </w:tr>
      <w:tr w:rsidR="008F16FC" w:rsidRPr="008F16FC" w14:paraId="3188521C" w14:textId="77777777" w:rsidTr="008F16FC">
        <w:trPr>
          <w:gridAfter w:val="1"/>
          <w:wAfter w:w="191" w:type="dxa"/>
          <w:trHeight w:val="255"/>
        </w:trPr>
        <w:tc>
          <w:tcPr>
            <w:tcW w:w="4307" w:type="dxa"/>
            <w:gridSpan w:val="4"/>
            <w:tcBorders>
              <w:top w:val="nil"/>
              <w:left w:val="nil"/>
              <w:bottom w:val="nil"/>
              <w:right w:val="nil"/>
            </w:tcBorders>
            <w:shd w:val="clear" w:color="000000" w:fill="A6A6A6"/>
            <w:noWrap/>
            <w:vAlign w:val="center"/>
            <w:hideMark/>
          </w:tcPr>
          <w:p w14:paraId="343EC9B2" w14:textId="77777777" w:rsidR="008F16FC" w:rsidRPr="008F16FC" w:rsidRDefault="008F16FC" w:rsidP="008F16FC">
            <w:pPr>
              <w:rPr>
                <w:b/>
                <w:bCs/>
                <w:color w:val="000000"/>
                <w:sz w:val="20"/>
                <w:szCs w:val="20"/>
              </w:rPr>
            </w:pPr>
            <w:r w:rsidRPr="008F16FC">
              <w:rPr>
                <w:b/>
                <w:bCs/>
                <w:color w:val="000000"/>
                <w:sz w:val="20"/>
                <w:szCs w:val="20"/>
              </w:rPr>
              <w:t>Total</w:t>
            </w:r>
          </w:p>
        </w:tc>
        <w:tc>
          <w:tcPr>
            <w:tcW w:w="1200" w:type="dxa"/>
            <w:tcBorders>
              <w:top w:val="nil"/>
              <w:left w:val="nil"/>
              <w:bottom w:val="nil"/>
              <w:right w:val="nil"/>
            </w:tcBorders>
            <w:shd w:val="clear" w:color="000000" w:fill="A6A6A6"/>
            <w:noWrap/>
            <w:vAlign w:val="bottom"/>
          </w:tcPr>
          <w:p w14:paraId="67CC7C4A" w14:textId="77777777" w:rsidR="008F16FC" w:rsidRPr="008F16FC" w:rsidRDefault="008F16FC" w:rsidP="008F16FC">
            <w:pPr>
              <w:jc w:val="right"/>
              <w:rPr>
                <w:b/>
                <w:bCs/>
                <w:color w:val="000000"/>
                <w:sz w:val="20"/>
                <w:szCs w:val="20"/>
              </w:rPr>
            </w:pPr>
            <w:r w:rsidRPr="008F16FC">
              <w:rPr>
                <w:b/>
                <w:bCs/>
                <w:color w:val="000000"/>
                <w:sz w:val="20"/>
                <w:szCs w:val="20"/>
              </w:rPr>
              <w:t>303.428</w:t>
            </w:r>
          </w:p>
        </w:tc>
        <w:tc>
          <w:tcPr>
            <w:tcW w:w="1200" w:type="dxa"/>
            <w:tcBorders>
              <w:top w:val="nil"/>
              <w:left w:val="nil"/>
              <w:bottom w:val="nil"/>
              <w:right w:val="nil"/>
            </w:tcBorders>
            <w:shd w:val="clear" w:color="000000" w:fill="A6A6A6"/>
            <w:vAlign w:val="bottom"/>
          </w:tcPr>
          <w:p w14:paraId="2AC91FCA" w14:textId="77777777" w:rsidR="008F16FC" w:rsidRPr="008F16FC" w:rsidRDefault="008F16FC" w:rsidP="008F16FC">
            <w:pPr>
              <w:jc w:val="right"/>
              <w:rPr>
                <w:b/>
                <w:bCs/>
                <w:color w:val="000000"/>
                <w:sz w:val="20"/>
                <w:szCs w:val="20"/>
              </w:rPr>
            </w:pPr>
            <w:r w:rsidRPr="008F16FC">
              <w:rPr>
                <w:b/>
                <w:bCs/>
                <w:color w:val="000000"/>
                <w:sz w:val="20"/>
                <w:szCs w:val="20"/>
              </w:rPr>
              <w:t>(231.889)</w:t>
            </w:r>
          </w:p>
        </w:tc>
        <w:tc>
          <w:tcPr>
            <w:tcW w:w="940" w:type="dxa"/>
            <w:gridSpan w:val="2"/>
            <w:tcBorders>
              <w:top w:val="nil"/>
              <w:left w:val="nil"/>
              <w:bottom w:val="nil"/>
              <w:right w:val="nil"/>
            </w:tcBorders>
            <w:shd w:val="clear" w:color="000000" w:fill="A6A6A6"/>
            <w:noWrap/>
            <w:vAlign w:val="center"/>
          </w:tcPr>
          <w:p w14:paraId="00D55A5C" w14:textId="77777777" w:rsidR="008F16FC" w:rsidRPr="008F16FC" w:rsidRDefault="008F16FC" w:rsidP="008F16FC">
            <w:pPr>
              <w:jc w:val="right"/>
              <w:rPr>
                <w:b/>
                <w:bCs/>
                <w:color w:val="000000"/>
                <w:sz w:val="20"/>
                <w:szCs w:val="20"/>
                <w:highlight w:val="yellow"/>
              </w:rPr>
            </w:pPr>
            <w:r w:rsidRPr="008F16FC">
              <w:rPr>
                <w:rFonts w:eastAsia="Calibri"/>
                <w:color w:val="000000"/>
                <w:sz w:val="20"/>
                <w:szCs w:val="20"/>
                <w:lang w:val="es-MX"/>
              </w:rPr>
              <w:t>71.539</w:t>
            </w:r>
          </w:p>
        </w:tc>
        <w:tc>
          <w:tcPr>
            <w:tcW w:w="1299" w:type="dxa"/>
            <w:gridSpan w:val="3"/>
            <w:tcBorders>
              <w:top w:val="nil"/>
              <w:left w:val="nil"/>
              <w:bottom w:val="nil"/>
              <w:right w:val="nil"/>
            </w:tcBorders>
            <w:shd w:val="clear" w:color="000000" w:fill="A6A6A6"/>
            <w:vAlign w:val="bottom"/>
          </w:tcPr>
          <w:p w14:paraId="13F823F6" w14:textId="77777777" w:rsidR="008F16FC" w:rsidRPr="008F16FC" w:rsidRDefault="008F16FC" w:rsidP="008F16FC">
            <w:pPr>
              <w:jc w:val="right"/>
              <w:rPr>
                <w:b/>
                <w:bCs/>
                <w:color w:val="000000"/>
                <w:sz w:val="20"/>
                <w:szCs w:val="20"/>
                <w:highlight w:val="yellow"/>
              </w:rPr>
            </w:pPr>
            <w:r w:rsidRPr="008F16FC">
              <w:rPr>
                <w:rFonts w:eastAsia="Calibri"/>
                <w:color w:val="000000"/>
                <w:sz w:val="20"/>
                <w:szCs w:val="20"/>
                <w:lang w:val="es-MX"/>
              </w:rPr>
              <w:t>31%</w:t>
            </w:r>
          </w:p>
        </w:tc>
      </w:tr>
      <w:tr w:rsidR="008F16FC" w:rsidRPr="008F16FC" w14:paraId="357F652D" w14:textId="77777777" w:rsidTr="008F16FC">
        <w:trPr>
          <w:gridAfter w:val="1"/>
          <w:wAfter w:w="191" w:type="dxa"/>
          <w:trHeight w:val="255"/>
        </w:trPr>
        <w:tc>
          <w:tcPr>
            <w:tcW w:w="4307" w:type="dxa"/>
            <w:gridSpan w:val="4"/>
            <w:tcBorders>
              <w:top w:val="nil"/>
              <w:left w:val="nil"/>
              <w:bottom w:val="nil"/>
              <w:right w:val="nil"/>
            </w:tcBorders>
            <w:shd w:val="clear" w:color="000000" w:fill="A6A6A6"/>
            <w:noWrap/>
            <w:vAlign w:val="center"/>
            <w:hideMark/>
          </w:tcPr>
          <w:p w14:paraId="55C2D4EC" w14:textId="77777777" w:rsidR="008F16FC" w:rsidRPr="008F16FC" w:rsidRDefault="008F16FC" w:rsidP="008F16FC">
            <w:pPr>
              <w:jc w:val="both"/>
              <w:rPr>
                <w:b/>
                <w:bCs/>
                <w:color w:val="000000"/>
                <w:sz w:val="20"/>
                <w:szCs w:val="20"/>
                <w:lang w:val="es-ES"/>
              </w:rPr>
            </w:pPr>
            <w:r w:rsidRPr="008F16FC">
              <w:rPr>
                <w:b/>
                <w:bCs/>
                <w:color w:val="000000"/>
                <w:sz w:val="20"/>
                <w:szCs w:val="20"/>
                <w:lang w:val="es-ES"/>
              </w:rPr>
              <w:t>Resultado integral total del período</w:t>
            </w:r>
          </w:p>
        </w:tc>
        <w:tc>
          <w:tcPr>
            <w:tcW w:w="1200" w:type="dxa"/>
            <w:tcBorders>
              <w:top w:val="nil"/>
              <w:left w:val="nil"/>
              <w:bottom w:val="nil"/>
              <w:right w:val="nil"/>
            </w:tcBorders>
            <w:shd w:val="clear" w:color="000000" w:fill="A6A6A6"/>
            <w:noWrap/>
            <w:vAlign w:val="bottom"/>
          </w:tcPr>
          <w:p w14:paraId="2E6F54A3" w14:textId="77777777" w:rsidR="008F16FC" w:rsidRPr="008F16FC" w:rsidRDefault="008F16FC" w:rsidP="008F16FC">
            <w:pPr>
              <w:jc w:val="right"/>
              <w:rPr>
                <w:b/>
                <w:bCs/>
                <w:color w:val="000000"/>
                <w:sz w:val="20"/>
                <w:szCs w:val="20"/>
                <w:lang w:val="es-MX"/>
              </w:rPr>
            </w:pPr>
            <w:r w:rsidRPr="008F16FC">
              <w:rPr>
                <w:b/>
                <w:bCs/>
                <w:color w:val="000000"/>
                <w:sz w:val="20"/>
                <w:szCs w:val="20"/>
                <w:lang w:val="es-MX"/>
              </w:rPr>
              <w:t>380.827</w:t>
            </w:r>
          </w:p>
        </w:tc>
        <w:tc>
          <w:tcPr>
            <w:tcW w:w="1200" w:type="dxa"/>
            <w:tcBorders>
              <w:top w:val="nil"/>
              <w:left w:val="nil"/>
              <w:bottom w:val="nil"/>
              <w:right w:val="nil"/>
            </w:tcBorders>
            <w:shd w:val="clear" w:color="000000" w:fill="A6A6A6"/>
            <w:vAlign w:val="bottom"/>
          </w:tcPr>
          <w:p w14:paraId="000ECCC8" w14:textId="77777777" w:rsidR="008F16FC" w:rsidRPr="008F16FC" w:rsidRDefault="008F16FC" w:rsidP="008F16FC">
            <w:pPr>
              <w:jc w:val="right"/>
              <w:rPr>
                <w:b/>
                <w:bCs/>
                <w:color w:val="000000"/>
                <w:sz w:val="20"/>
                <w:szCs w:val="20"/>
                <w:lang w:val="es-MX"/>
              </w:rPr>
            </w:pPr>
            <w:r w:rsidRPr="008F16FC">
              <w:rPr>
                <w:b/>
                <w:bCs/>
                <w:color w:val="000000"/>
                <w:sz w:val="20"/>
                <w:szCs w:val="20"/>
              </w:rPr>
              <w:t>69.854</w:t>
            </w:r>
          </w:p>
        </w:tc>
        <w:tc>
          <w:tcPr>
            <w:tcW w:w="940" w:type="dxa"/>
            <w:gridSpan w:val="2"/>
            <w:tcBorders>
              <w:top w:val="nil"/>
              <w:left w:val="nil"/>
              <w:bottom w:val="nil"/>
              <w:right w:val="nil"/>
            </w:tcBorders>
            <w:shd w:val="clear" w:color="000000" w:fill="A6A6A6"/>
            <w:noWrap/>
            <w:vAlign w:val="center"/>
          </w:tcPr>
          <w:p w14:paraId="52D2C6C8" w14:textId="77777777" w:rsidR="008F16FC" w:rsidRPr="008F16FC" w:rsidRDefault="008F16FC" w:rsidP="008F16FC">
            <w:pPr>
              <w:jc w:val="right"/>
              <w:rPr>
                <w:b/>
                <w:bCs/>
                <w:color w:val="000000"/>
                <w:sz w:val="20"/>
                <w:szCs w:val="20"/>
                <w:highlight w:val="yellow"/>
                <w:lang w:val="es-MX"/>
              </w:rPr>
            </w:pPr>
            <w:r w:rsidRPr="008F16FC">
              <w:rPr>
                <w:rFonts w:eastAsia="Calibri"/>
                <w:color w:val="000000"/>
                <w:sz w:val="20"/>
                <w:szCs w:val="20"/>
                <w:lang w:val="es-MX"/>
              </w:rPr>
              <w:t>310.973</w:t>
            </w:r>
          </w:p>
        </w:tc>
        <w:tc>
          <w:tcPr>
            <w:tcW w:w="1299" w:type="dxa"/>
            <w:gridSpan w:val="3"/>
            <w:tcBorders>
              <w:top w:val="nil"/>
              <w:left w:val="nil"/>
              <w:bottom w:val="nil"/>
              <w:right w:val="nil"/>
            </w:tcBorders>
            <w:shd w:val="clear" w:color="000000" w:fill="A6A6A6"/>
            <w:vAlign w:val="bottom"/>
          </w:tcPr>
          <w:p w14:paraId="7B20D459" w14:textId="77777777" w:rsidR="008F16FC" w:rsidRPr="008F16FC" w:rsidRDefault="008F16FC" w:rsidP="008F16FC">
            <w:pPr>
              <w:jc w:val="right"/>
              <w:rPr>
                <w:b/>
                <w:bCs/>
                <w:color w:val="000000"/>
                <w:sz w:val="20"/>
                <w:szCs w:val="20"/>
                <w:highlight w:val="yellow"/>
                <w:lang w:val="es-MX"/>
              </w:rPr>
            </w:pPr>
            <w:r w:rsidRPr="008F16FC">
              <w:rPr>
                <w:rFonts w:eastAsia="Calibri"/>
                <w:color w:val="000000"/>
                <w:sz w:val="20"/>
                <w:szCs w:val="20"/>
                <w:lang w:val="es-MX"/>
              </w:rPr>
              <w:t>445%</w:t>
            </w:r>
          </w:p>
        </w:tc>
      </w:tr>
    </w:tbl>
    <w:p w14:paraId="73593926" w14:textId="77777777" w:rsidR="008F16FC" w:rsidRPr="008F16FC" w:rsidRDefault="008F16FC" w:rsidP="008F16FC">
      <w:pPr>
        <w:widowControl w:val="0"/>
        <w:jc w:val="both"/>
        <w:rPr>
          <w:rFonts w:eastAsia="Calibri"/>
          <w:sz w:val="20"/>
          <w:szCs w:val="20"/>
          <w:lang w:val="es-MX"/>
        </w:rPr>
      </w:pPr>
    </w:p>
    <w:p w14:paraId="40F263C9" w14:textId="77777777" w:rsidR="008F16FC" w:rsidRPr="008F16FC" w:rsidRDefault="008F16FC" w:rsidP="008F16FC">
      <w:pPr>
        <w:widowControl w:val="0"/>
        <w:jc w:val="both"/>
        <w:rPr>
          <w:rFonts w:eastAsia="Calibri"/>
          <w:sz w:val="20"/>
          <w:szCs w:val="20"/>
          <w:lang w:val="es-MX"/>
        </w:rPr>
      </w:pPr>
      <w:r w:rsidRPr="008F16FC">
        <w:rPr>
          <w:rFonts w:eastAsia="Calibri"/>
          <w:sz w:val="20"/>
          <w:szCs w:val="20"/>
          <w:lang w:val="es-MX"/>
        </w:rPr>
        <w:t>Con respecto al período intermedio finalizado el 30 de septiembre de 2019, se observa una disminución de la ganancia neta en comparación al ejercicio finalizado el 30 de junio de 2019 debido a:</w:t>
      </w:r>
    </w:p>
    <w:p w14:paraId="2DEAEEF6" w14:textId="77777777" w:rsidR="008F16FC" w:rsidRPr="008F16FC" w:rsidRDefault="008F16FC" w:rsidP="008F16FC">
      <w:pPr>
        <w:widowControl w:val="0"/>
        <w:jc w:val="both"/>
        <w:rPr>
          <w:rFonts w:eastAsia="Calibri"/>
          <w:sz w:val="20"/>
          <w:szCs w:val="20"/>
          <w:highlight w:val="yellow"/>
          <w:lang w:val="es-MX"/>
        </w:rPr>
      </w:pPr>
    </w:p>
    <w:p w14:paraId="28DE1E26" w14:textId="77777777" w:rsidR="008F16FC" w:rsidRPr="008F16FC" w:rsidRDefault="008F16FC" w:rsidP="008F16FC">
      <w:pPr>
        <w:widowControl w:val="0"/>
        <w:jc w:val="both"/>
        <w:rPr>
          <w:rFonts w:eastAsia="Calibri"/>
          <w:sz w:val="20"/>
          <w:szCs w:val="20"/>
          <w:lang w:val="es-MX"/>
        </w:rPr>
      </w:pPr>
      <w:r w:rsidRPr="008F16FC">
        <w:rPr>
          <w:rFonts w:eastAsia="Calibri"/>
          <w:sz w:val="20"/>
          <w:szCs w:val="20"/>
          <w:lang w:val="es-MX"/>
        </w:rPr>
        <w:t>-El incremento de ventas por contratos de exportación, influenciado además por el tipo de cambio, especialmente en el área Nuclear y en el área SIT.</w:t>
      </w:r>
    </w:p>
    <w:p w14:paraId="6C3755EB" w14:textId="77777777" w:rsidR="008F16FC" w:rsidRPr="008F16FC" w:rsidRDefault="008F16FC" w:rsidP="008F16FC">
      <w:pPr>
        <w:widowControl w:val="0"/>
        <w:jc w:val="both"/>
        <w:rPr>
          <w:rFonts w:eastAsia="Calibri"/>
          <w:sz w:val="20"/>
          <w:szCs w:val="20"/>
          <w:lang w:val="es-MX"/>
        </w:rPr>
      </w:pPr>
      <w:r w:rsidRPr="008F16FC">
        <w:rPr>
          <w:rFonts w:eastAsia="Calibri"/>
          <w:sz w:val="20"/>
          <w:szCs w:val="20"/>
          <w:lang w:val="es-MX"/>
        </w:rPr>
        <w:t>-Se han sostenido las ventas de ingeniería, intensivas en mano de obra, con lo cual se obtienen márgenes brutos más relevantes.</w:t>
      </w:r>
    </w:p>
    <w:p w14:paraId="21E80877" w14:textId="77777777" w:rsidR="008F16FC" w:rsidRPr="008F16FC" w:rsidRDefault="008F16FC" w:rsidP="008F16FC">
      <w:pPr>
        <w:widowControl w:val="0"/>
        <w:jc w:val="both"/>
        <w:rPr>
          <w:rFonts w:eastAsia="Calibri"/>
          <w:sz w:val="20"/>
          <w:szCs w:val="20"/>
          <w:lang w:val="es-MX"/>
        </w:rPr>
      </w:pPr>
      <w:r w:rsidRPr="008F16FC">
        <w:rPr>
          <w:rFonts w:eastAsia="Calibri"/>
          <w:sz w:val="20"/>
          <w:szCs w:val="20"/>
          <w:lang w:val="es-MX"/>
        </w:rPr>
        <w:t>-Se han monitoreado los gastos de estructura para mantenerlos en valores adecuados en relación a las áreas productivas.</w:t>
      </w:r>
    </w:p>
    <w:p w14:paraId="5D998CE1" w14:textId="77777777" w:rsidR="008F16FC" w:rsidRPr="008F16FC" w:rsidRDefault="008F16FC" w:rsidP="008F16FC">
      <w:pPr>
        <w:widowControl w:val="0"/>
        <w:jc w:val="both"/>
        <w:rPr>
          <w:rFonts w:eastAsia="Calibri"/>
          <w:sz w:val="20"/>
          <w:szCs w:val="20"/>
          <w:lang w:val="es-MX"/>
        </w:rPr>
      </w:pPr>
      <w:r w:rsidRPr="008F16FC">
        <w:rPr>
          <w:rFonts w:eastAsia="Calibri"/>
          <w:sz w:val="20"/>
          <w:szCs w:val="20"/>
          <w:lang w:val="es-MX"/>
        </w:rPr>
        <w:t>-Los costos financieros se incrementaron por influencia del endeudamiento en moneda extranjera, que tiene su encaje en la generación de fondos futuros proveniente de las exportaciones y en el alza de tasas de interés e inflación.</w:t>
      </w:r>
    </w:p>
    <w:p w14:paraId="66BE70CC" w14:textId="77777777" w:rsidR="008F16FC" w:rsidRPr="008F16FC" w:rsidRDefault="008F16FC" w:rsidP="008F16FC">
      <w:pPr>
        <w:widowControl w:val="0"/>
        <w:jc w:val="both"/>
        <w:rPr>
          <w:rFonts w:eastAsia="Calibri"/>
          <w:sz w:val="20"/>
          <w:szCs w:val="20"/>
          <w:lang w:val="es-MX"/>
        </w:rPr>
      </w:pPr>
      <w:r w:rsidRPr="008F16FC">
        <w:rPr>
          <w:rFonts w:eastAsia="Calibri"/>
          <w:sz w:val="20"/>
          <w:szCs w:val="20"/>
          <w:lang w:val="es-MX"/>
        </w:rPr>
        <w:t xml:space="preserve">-El efecto de la evolución de los rubros arriba mencionados tuvo un impacto negativo en el cálculo del Impuesto a las Ganancias, incrementando fuertemente el monto resultante. </w:t>
      </w:r>
    </w:p>
    <w:p w14:paraId="32FA32E1" w14:textId="77777777" w:rsidR="008F16FC" w:rsidRPr="008F16FC" w:rsidRDefault="008F16FC" w:rsidP="008F16FC">
      <w:pPr>
        <w:widowControl w:val="0"/>
        <w:jc w:val="both"/>
        <w:rPr>
          <w:rFonts w:eastAsia="Calibri"/>
          <w:sz w:val="20"/>
          <w:szCs w:val="20"/>
          <w:lang w:val="es-MX"/>
        </w:rPr>
      </w:pPr>
    </w:p>
    <w:p w14:paraId="437EA360" w14:textId="77777777" w:rsidR="008F16FC" w:rsidRPr="008F16FC" w:rsidRDefault="008F16FC" w:rsidP="008F16FC">
      <w:pPr>
        <w:jc w:val="both"/>
        <w:rPr>
          <w:rFonts w:eastAsia="Calibri"/>
          <w:b/>
          <w:i/>
          <w:sz w:val="20"/>
          <w:szCs w:val="20"/>
          <w:lang w:val="es-MX"/>
        </w:rPr>
      </w:pPr>
      <w:r w:rsidRPr="008F16FC">
        <w:rPr>
          <w:rFonts w:eastAsia="Calibri"/>
          <w:b/>
          <w:i/>
          <w:sz w:val="20"/>
          <w:szCs w:val="20"/>
          <w:lang w:val="es-MX"/>
        </w:rPr>
        <w:t>Impacto de la Inflación / Devaluación del Peso</w:t>
      </w:r>
    </w:p>
    <w:p w14:paraId="6C4E7835" w14:textId="77777777" w:rsidR="008F16FC" w:rsidRPr="008F16FC" w:rsidRDefault="008F16FC" w:rsidP="008F16FC">
      <w:pPr>
        <w:jc w:val="both"/>
        <w:rPr>
          <w:rFonts w:eastAsia="Calibri"/>
          <w:b/>
          <w:i/>
          <w:sz w:val="20"/>
          <w:szCs w:val="20"/>
          <w:lang w:val="es-MX"/>
        </w:rPr>
      </w:pPr>
    </w:p>
    <w:p w14:paraId="19667D65" w14:textId="77777777" w:rsidR="008F16FC" w:rsidRPr="008F16FC" w:rsidRDefault="008F16FC" w:rsidP="008F16FC">
      <w:pPr>
        <w:spacing w:after="200"/>
        <w:jc w:val="both"/>
        <w:rPr>
          <w:lang w:val="es-ES"/>
        </w:rPr>
      </w:pPr>
      <w:r w:rsidRPr="008F16FC">
        <w:rPr>
          <w:sz w:val="20"/>
          <w:lang w:val="es-ES"/>
        </w:rPr>
        <w:t>La CNV ha emitido la Resolución General 777/2018 mediante la cual establece que las sociedades emisoras deberán aplicar el método de reexpresión de estados financieros en moneda homogénea, conforme lo establecido por la Norma Internacional de Contabilidad Nº 29 (NIC 29), siendo su aplicación obligatoria para aquellos estados financieros anuales, por períodos intermedios o especiales, que cierren a partir del 31 de diciembre de 2018.</w:t>
      </w:r>
    </w:p>
    <w:p w14:paraId="0BE55427" w14:textId="77777777" w:rsidR="008F16FC" w:rsidRPr="008F16FC" w:rsidRDefault="008F16FC" w:rsidP="008F16FC">
      <w:pPr>
        <w:spacing w:after="200"/>
        <w:jc w:val="both"/>
        <w:rPr>
          <w:lang w:val="es-ES"/>
        </w:rPr>
      </w:pPr>
      <w:r w:rsidRPr="008F16FC">
        <w:rPr>
          <w:sz w:val="20"/>
          <w:lang w:val="es-ES"/>
        </w:rPr>
        <w:t>La aplicación de la Resolución de CNV 777/2018 implica:</w:t>
      </w:r>
    </w:p>
    <w:p w14:paraId="77DA0214" w14:textId="77777777" w:rsidR="008F16FC" w:rsidRPr="008F16FC" w:rsidRDefault="008F16FC" w:rsidP="008F16FC">
      <w:pPr>
        <w:spacing w:after="200"/>
        <w:jc w:val="both"/>
        <w:rPr>
          <w:lang w:val="es-ES"/>
        </w:rPr>
      </w:pPr>
      <w:r w:rsidRPr="008F16FC">
        <w:rPr>
          <w:sz w:val="20"/>
          <w:lang w:val="es-ES"/>
        </w:rPr>
        <w:t>a) Reexpresar los saldos de activos y pasivos a la fecha de la transición (inicio del período comparativo o inicio del período actual según el caso), en moneda del inicio.</w:t>
      </w:r>
    </w:p>
    <w:p w14:paraId="018EB606" w14:textId="77777777" w:rsidR="008F16FC" w:rsidRPr="008F16FC" w:rsidRDefault="008F16FC" w:rsidP="008F16FC">
      <w:pPr>
        <w:spacing w:after="200"/>
        <w:jc w:val="both"/>
        <w:rPr>
          <w:lang w:val="es-ES"/>
        </w:rPr>
      </w:pPr>
      <w:r w:rsidRPr="008F16FC">
        <w:rPr>
          <w:sz w:val="20"/>
          <w:lang w:val="es-ES"/>
        </w:rPr>
        <w:t>b) Reexpresar los componentes del patrimonio (excluido el resultado acumulado) a la fecha de la transición, en moneda del inicio.</w:t>
      </w:r>
    </w:p>
    <w:p w14:paraId="5AE9C84A" w14:textId="77777777" w:rsidR="008F16FC" w:rsidRPr="008F16FC" w:rsidRDefault="008F16FC" w:rsidP="008F16FC">
      <w:pPr>
        <w:spacing w:after="200"/>
        <w:jc w:val="both"/>
        <w:rPr>
          <w:lang w:val="es-ES"/>
        </w:rPr>
      </w:pPr>
      <w:r w:rsidRPr="008F16FC">
        <w:rPr>
          <w:sz w:val="20"/>
          <w:lang w:val="es-ES"/>
        </w:rPr>
        <w:t>c) Determinar el resultado acumulado a la fecha de la transición, en moneda del inicio, por diferencia entre el patrimonio del punto a, y los componentes reexpresados del punto b).</w:t>
      </w:r>
    </w:p>
    <w:p w14:paraId="55B59CFE" w14:textId="77777777" w:rsidR="008F16FC" w:rsidRPr="008F16FC" w:rsidRDefault="008F16FC" w:rsidP="008F16FC">
      <w:pPr>
        <w:spacing w:after="200"/>
        <w:jc w:val="both"/>
        <w:rPr>
          <w:lang w:val="es-ES"/>
        </w:rPr>
      </w:pPr>
      <w:r w:rsidRPr="008F16FC">
        <w:rPr>
          <w:sz w:val="20"/>
          <w:lang w:val="es-ES"/>
        </w:rPr>
        <w:t>d) Reexpresar los componentes del patrimonio determinado en el punto b, y c, al cierre del período (o cierre del período comparativo según el caso), mediante la reexpresión por el coeficiente anual.</w:t>
      </w:r>
    </w:p>
    <w:p w14:paraId="3354A6F9" w14:textId="77777777" w:rsidR="008F16FC" w:rsidRPr="008F16FC" w:rsidRDefault="008F16FC" w:rsidP="008F16FC">
      <w:pPr>
        <w:spacing w:after="200"/>
        <w:jc w:val="both"/>
        <w:rPr>
          <w:lang w:val="es-ES"/>
        </w:rPr>
      </w:pPr>
      <w:r w:rsidRPr="008F16FC">
        <w:rPr>
          <w:sz w:val="20"/>
          <w:lang w:val="es-ES"/>
        </w:rPr>
        <w:t>e) Reexpresar los movimientos del patrimonio neto, ocurridos en el período (o en el período comparativo, según el caso), y obtención del patrimonio inicial más aportes y menos retiros en moneda de cierre del período (o cierre del período comparativo, según el caso).</w:t>
      </w:r>
    </w:p>
    <w:p w14:paraId="51966B1C" w14:textId="77777777" w:rsidR="008F16FC" w:rsidRPr="008F16FC" w:rsidRDefault="008F16FC" w:rsidP="008F16FC">
      <w:pPr>
        <w:spacing w:after="200"/>
        <w:jc w:val="both"/>
        <w:rPr>
          <w:lang w:val="es-ES"/>
        </w:rPr>
      </w:pPr>
      <w:r w:rsidRPr="008F16FC">
        <w:rPr>
          <w:sz w:val="20"/>
          <w:lang w:val="es-ES"/>
        </w:rPr>
        <w:t>f) Determinar los activos y pasivos al cierre del período (o cierre del período comparativo, según el caso), en moneda de cierre mediante la reexpresión de cada componente.</w:t>
      </w:r>
    </w:p>
    <w:p w14:paraId="1297E40C" w14:textId="77777777" w:rsidR="008F16FC" w:rsidRPr="008F16FC" w:rsidRDefault="008F16FC" w:rsidP="008F16FC">
      <w:pPr>
        <w:spacing w:after="200"/>
        <w:jc w:val="both"/>
        <w:rPr>
          <w:lang w:val="es-ES"/>
        </w:rPr>
      </w:pPr>
      <w:r w:rsidRPr="008F16FC">
        <w:rPr>
          <w:sz w:val="20"/>
          <w:lang w:val="es-ES"/>
        </w:rPr>
        <w:t>g) Determinación del valor del patrimonio neto al cierre del período (o cierre del período comparativo, según el caso), en moneda de cierre por diferencia entre el activo y el pasivo del inciso f).</w:t>
      </w:r>
    </w:p>
    <w:p w14:paraId="68144FC9" w14:textId="77777777" w:rsidR="008F16FC" w:rsidRPr="008F16FC" w:rsidRDefault="008F16FC" w:rsidP="008F16FC">
      <w:pPr>
        <w:spacing w:after="200"/>
        <w:jc w:val="both"/>
        <w:rPr>
          <w:lang w:val="es-ES"/>
        </w:rPr>
      </w:pPr>
      <w:r w:rsidRPr="008F16FC">
        <w:rPr>
          <w:sz w:val="20"/>
          <w:lang w:val="es-ES"/>
        </w:rPr>
        <w:t>h) Determinación de los resultados del ejercicio del período (o periodo comparativo, según el caso), en moneda de cierre por comparación entre el patrimonio determinado en el inciso g) y el patrimonio determinado en el inciso e).</w:t>
      </w:r>
    </w:p>
    <w:p w14:paraId="6E45D165" w14:textId="77777777" w:rsidR="008F16FC" w:rsidRPr="008F16FC" w:rsidRDefault="008F16FC" w:rsidP="008F16FC">
      <w:pPr>
        <w:spacing w:after="200"/>
        <w:jc w:val="both"/>
        <w:rPr>
          <w:lang w:val="es-ES"/>
        </w:rPr>
      </w:pPr>
      <w:r w:rsidRPr="008F16FC">
        <w:rPr>
          <w:sz w:val="20"/>
          <w:lang w:val="es-ES"/>
        </w:rPr>
        <w:t>i) Reexpresión de los componentes del estado de resultados (sin los resultados financieros y sin los resultados por tenencia) del período (o periodo comparativo, según el caso), en moneda de cierre.</w:t>
      </w:r>
    </w:p>
    <w:p w14:paraId="077F07CE" w14:textId="77777777" w:rsidR="008F16FC" w:rsidRPr="008F16FC" w:rsidRDefault="008F16FC" w:rsidP="008F16FC">
      <w:pPr>
        <w:spacing w:after="200"/>
        <w:jc w:val="both"/>
        <w:rPr>
          <w:lang w:val="es-ES"/>
        </w:rPr>
      </w:pPr>
      <w:r w:rsidRPr="008F16FC">
        <w:rPr>
          <w:sz w:val="20"/>
          <w:lang w:val="es-ES"/>
        </w:rPr>
        <w:t>j) Sólo en el marco de la RT 6: Determinación de los resultados financieros y por tenencia”, incluyendo el RECPAM por diferencia entre h) e i).</w:t>
      </w:r>
    </w:p>
    <w:p w14:paraId="2F5B23E8" w14:textId="77777777" w:rsidR="008F16FC" w:rsidRPr="008F16FC" w:rsidRDefault="008F16FC" w:rsidP="008F16FC">
      <w:pPr>
        <w:spacing w:after="200"/>
        <w:jc w:val="both"/>
        <w:rPr>
          <w:lang w:val="es-ES"/>
        </w:rPr>
      </w:pPr>
      <w:r w:rsidRPr="008F16FC">
        <w:rPr>
          <w:sz w:val="20"/>
          <w:lang w:val="es-ES"/>
        </w:rPr>
        <w:t>k) Sólo en el marco de la RT 6: Definir si se presentarán abiertos los resultados por tenencia (en términos reales) los resultados financieros (en términos reales o nominales), y el RECPAM, o en una sola línea (resultados financieros y por tenencia incluido el RECPAM) a nivel de la RT 6.</w:t>
      </w:r>
    </w:p>
    <w:p w14:paraId="567D4C5A" w14:textId="77777777" w:rsidR="008F16FC" w:rsidRPr="008F16FC" w:rsidRDefault="008F16FC" w:rsidP="008F16FC">
      <w:pPr>
        <w:spacing w:after="200"/>
        <w:jc w:val="both"/>
        <w:rPr>
          <w:lang w:val="es-ES"/>
        </w:rPr>
      </w:pPr>
      <w:r w:rsidRPr="008F16FC">
        <w:rPr>
          <w:sz w:val="20"/>
          <w:lang w:val="es-ES"/>
        </w:rPr>
        <w:t>l) Si se está reexpresando desde el inicio del período comparativo (requerido por la NIC 29 y optativo para determinados estados contables por la Res. 539-18), se continuará repitiendo la aplicación de los incisos f) a k), para el ejercicio corriente.</w:t>
      </w:r>
    </w:p>
    <w:p w14:paraId="1FE70711" w14:textId="77777777" w:rsidR="008F16FC" w:rsidRPr="008F16FC" w:rsidRDefault="008F16FC" w:rsidP="008F16FC">
      <w:pPr>
        <w:spacing w:after="200"/>
        <w:jc w:val="both"/>
        <w:rPr>
          <w:lang w:val="es-ES"/>
        </w:rPr>
      </w:pPr>
      <w:r w:rsidRPr="008F16FC">
        <w:rPr>
          <w:sz w:val="20"/>
          <w:u w:val="single"/>
          <w:lang w:val="es-ES"/>
        </w:rPr>
        <w:t>Anticuación de las partidas:</w:t>
      </w:r>
    </w:p>
    <w:p w14:paraId="7D06E001" w14:textId="77777777" w:rsidR="008F16FC" w:rsidRPr="008F16FC" w:rsidRDefault="008F16FC" w:rsidP="008F16FC">
      <w:pPr>
        <w:spacing w:after="200"/>
        <w:jc w:val="both"/>
        <w:rPr>
          <w:lang w:val="es-ES"/>
        </w:rPr>
      </w:pPr>
      <w:r w:rsidRPr="008F16FC">
        <w:rPr>
          <w:sz w:val="20"/>
          <w:lang w:val="es-ES"/>
        </w:rPr>
        <w:t>Implica la apertura del valor en libros en distintas partidas según las fechas de origen.</w:t>
      </w:r>
    </w:p>
    <w:p w14:paraId="0BCC757C" w14:textId="77777777" w:rsidR="008F16FC" w:rsidRPr="008F16FC" w:rsidRDefault="008F16FC" w:rsidP="008F16FC">
      <w:pPr>
        <w:spacing w:after="200"/>
        <w:jc w:val="both"/>
        <w:rPr>
          <w:lang w:val="es-ES"/>
        </w:rPr>
      </w:pPr>
      <w:r w:rsidRPr="008F16FC">
        <w:rPr>
          <w:sz w:val="20"/>
          <w:lang w:val="es-ES"/>
        </w:rPr>
        <w:t>Se agrupan las partidas que se originan en el mismo mes. También es posible agrupar las partidas en períodos mayores de un mes (por ejemplo, anual) y reexpresarlas mediante coeficientes promedios, siempre que el resultado de este agrupamiento no genere diferencias significativas con la reexpresión por cada mes.</w:t>
      </w:r>
    </w:p>
    <w:p w14:paraId="3DC3D7E9" w14:textId="77777777" w:rsidR="008F16FC" w:rsidRPr="008F16FC" w:rsidRDefault="008F16FC" w:rsidP="008F16FC">
      <w:pPr>
        <w:spacing w:after="200"/>
        <w:jc w:val="both"/>
        <w:rPr>
          <w:lang w:val="es-ES"/>
        </w:rPr>
      </w:pPr>
      <w:r w:rsidRPr="008F16FC">
        <w:rPr>
          <w:sz w:val="20"/>
          <w:lang w:val="es-ES"/>
        </w:rPr>
        <w:t>Las partidas expresadas en moneda de cierre no deben reexpresarse, por ejemplo: partidas monetarias, activos y obligaciones sujetas a indexación, partidas no monetarias que se registran por valores corrientes del final del período que se informa, etc.</w:t>
      </w:r>
    </w:p>
    <w:p w14:paraId="1D3ED286" w14:textId="77777777" w:rsidR="008F16FC" w:rsidRPr="008F16FC" w:rsidRDefault="008F16FC" w:rsidP="008F16FC">
      <w:pPr>
        <w:spacing w:after="200"/>
        <w:jc w:val="both"/>
        <w:rPr>
          <w:lang w:val="es-ES"/>
        </w:rPr>
      </w:pPr>
      <w:r w:rsidRPr="008F16FC">
        <w:rPr>
          <w:sz w:val="20"/>
          <w:u w:val="single"/>
          <w:lang w:val="es-ES"/>
        </w:rPr>
        <w:t>Reexpresión:</w:t>
      </w:r>
    </w:p>
    <w:p w14:paraId="0E1F2018" w14:textId="77777777" w:rsidR="008F16FC" w:rsidRPr="008F16FC" w:rsidRDefault="008F16FC" w:rsidP="008F16FC">
      <w:pPr>
        <w:spacing w:after="200"/>
        <w:jc w:val="both"/>
        <w:rPr>
          <w:lang w:val="es-ES"/>
        </w:rPr>
      </w:pPr>
      <w:r w:rsidRPr="008F16FC">
        <w:rPr>
          <w:sz w:val="20"/>
          <w:lang w:val="es-ES"/>
        </w:rPr>
        <w:t>Implica volver a expresar en moneda de poder adquisitivo de un determinado momento una partida que se encuentra expresada en moneda de poder adquisitivo de un momento diferente. Se obtiene multiplicando el valor de la partida por el coeficiente de reexpresión que corresponde al mes de origen de esa partida.</w:t>
      </w:r>
    </w:p>
    <w:p w14:paraId="5B1F0226" w14:textId="77777777" w:rsidR="008F16FC" w:rsidRPr="008F16FC" w:rsidRDefault="008F16FC" w:rsidP="008F16FC">
      <w:pPr>
        <w:spacing w:after="200"/>
        <w:jc w:val="both"/>
        <w:rPr>
          <w:lang w:val="es-ES"/>
        </w:rPr>
      </w:pPr>
      <w:r w:rsidRPr="008F16FC">
        <w:rPr>
          <w:sz w:val="20"/>
          <w:u w:val="single"/>
          <w:lang w:val="es-ES"/>
        </w:rPr>
        <w:t>Coeficiente de reexpresión:</w:t>
      </w:r>
    </w:p>
    <w:p w14:paraId="4FA245F1" w14:textId="77777777" w:rsidR="008F16FC" w:rsidRPr="008F16FC" w:rsidRDefault="008F16FC" w:rsidP="008F16FC">
      <w:pPr>
        <w:spacing w:after="200"/>
        <w:jc w:val="both"/>
        <w:rPr>
          <w:lang w:val="es-ES"/>
        </w:rPr>
      </w:pPr>
      <w:r w:rsidRPr="008F16FC">
        <w:rPr>
          <w:sz w:val="20"/>
          <w:lang w:val="es-ES"/>
        </w:rPr>
        <w:t>La RT 6 define que se aplicará como índice de precios: “La serie de índices que se utilizará es la resultante de combinar el Índice de Precios al Consumidor Nacional (IPC) publicado por el INDEC (mes base: diciembre de 2016) con el IPIM publicado por la FACPCE, tal como lo establece la resolución JG517/16”. La NIC 29 establece en diferentes párrafos que “se reexpresarán aplicando un índice general de precios.</w:t>
      </w:r>
    </w:p>
    <w:p w14:paraId="1F621C19" w14:textId="77777777" w:rsidR="008F16FC" w:rsidRPr="008F16FC" w:rsidRDefault="008F16FC" w:rsidP="008F16FC">
      <w:pPr>
        <w:spacing w:after="200"/>
        <w:jc w:val="both"/>
        <w:rPr>
          <w:lang w:val="es-ES"/>
        </w:rPr>
      </w:pPr>
      <w:r w:rsidRPr="008F16FC">
        <w:rPr>
          <w:sz w:val="20"/>
          <w:lang w:val="es-ES"/>
        </w:rPr>
        <w:t>Considerando lo mencionado por la RT 6, el índice de precios definido cumple con esta condición y corresponde, en consecuencia, aplicarlo en el marco de la NIC 29.</w:t>
      </w:r>
    </w:p>
    <w:p w14:paraId="11DCB3FE" w14:textId="77777777" w:rsidR="008F16FC" w:rsidRPr="008F16FC" w:rsidRDefault="008F16FC" w:rsidP="008F16FC">
      <w:pPr>
        <w:spacing w:after="200"/>
        <w:jc w:val="both"/>
        <w:rPr>
          <w:lang w:val="es-ES"/>
        </w:rPr>
      </w:pPr>
      <w:r w:rsidRPr="008F16FC">
        <w:rPr>
          <w:sz w:val="20"/>
          <w:lang w:val="es-ES"/>
        </w:rPr>
        <w:t>El coeficiente de reexpresión se obtiene mediante el cociente de dos índices. En el numerador el índice del mes al que se quiere llevar el valor de la partida (reexpresar) y en el denominador el índice del mes de origen de la partida.</w:t>
      </w:r>
    </w:p>
    <w:p w14:paraId="5AF1C0A2" w14:textId="77777777" w:rsidR="008F16FC" w:rsidRPr="008F16FC" w:rsidRDefault="008F16FC" w:rsidP="008F16FC">
      <w:pPr>
        <w:spacing w:after="200"/>
        <w:jc w:val="both"/>
        <w:rPr>
          <w:lang w:val="es-ES"/>
        </w:rPr>
      </w:pPr>
      <w:r w:rsidRPr="008F16FC">
        <w:rPr>
          <w:sz w:val="20"/>
          <w:lang w:val="es-ES"/>
        </w:rPr>
        <w:t xml:space="preserve">Cuando el período de origen sea mayor al mes, (habiendo cumplido las condiciones requeridas para esta agrupación), el denominador a considerar es el promedio simple de los índices del período considerado. </w:t>
      </w:r>
    </w:p>
    <w:p w14:paraId="0777EAE2" w14:textId="77777777" w:rsidR="008F16FC" w:rsidRPr="008F16FC" w:rsidRDefault="008F16FC" w:rsidP="008F16FC">
      <w:pPr>
        <w:spacing w:after="200"/>
        <w:jc w:val="both"/>
        <w:rPr>
          <w:lang w:val="es-ES"/>
        </w:rPr>
      </w:pPr>
      <w:r w:rsidRPr="008F16FC">
        <w:rPr>
          <w:sz w:val="20"/>
          <w:lang w:val="es-ES"/>
        </w:rPr>
        <w:t>En resumen, la aplicación del ajuste por inflación en los Estados Financieros ha impulsado a la Sociedad a tomar acciones para la adaptación de sistemas de información, para generar programas y capacitación profesional de los equipos de trabajo propios de la compañía, reforzar el análisis de riesgos, incrementar procesos de revisión de los asesores fiscales, contables y auditores externos, con un efecto multiplicador por las inversiones en subsidiarias, asociadas y negocios conjuntos, que ha demandado un enorme compromiso para lograr los objetivos que plantea la adaptación a los cambios impuestos por la normativa.</w:t>
      </w:r>
    </w:p>
    <w:p w14:paraId="1E7AA663" w14:textId="77777777" w:rsidR="008F16FC" w:rsidRPr="008F16FC" w:rsidRDefault="008F16FC" w:rsidP="008F16FC">
      <w:pPr>
        <w:widowControl w:val="0"/>
        <w:jc w:val="both"/>
        <w:rPr>
          <w:rFonts w:eastAsia="Calibri"/>
          <w:sz w:val="20"/>
          <w:szCs w:val="20"/>
          <w:lang w:val="es-MX"/>
        </w:rPr>
      </w:pPr>
      <w:r w:rsidRPr="008F16FC">
        <w:rPr>
          <w:rFonts w:eastAsia="Calibri"/>
          <w:sz w:val="20"/>
          <w:szCs w:val="20"/>
          <w:lang w:val="es-MX"/>
        </w:rPr>
        <w:t>Los efectos de la Devaluación del Peso tuvieron un impacto tanto patrimonial como de resultados, los cuales han sido explicados anteriormente al momento de analizar la evolución de los Resultados y del Patrimonio Neto.</w:t>
      </w:r>
    </w:p>
    <w:p w14:paraId="617C82A2" w14:textId="77777777" w:rsidR="008F16FC" w:rsidRPr="008F16FC" w:rsidRDefault="008F16FC" w:rsidP="008F16FC">
      <w:pPr>
        <w:widowControl w:val="0"/>
        <w:jc w:val="both"/>
        <w:rPr>
          <w:rFonts w:eastAsia="Calibri"/>
          <w:b/>
          <w:bCs/>
          <w:i/>
          <w:iCs/>
          <w:sz w:val="20"/>
          <w:szCs w:val="20"/>
          <w:lang w:val="es-MX"/>
        </w:rPr>
      </w:pPr>
      <w:r w:rsidRPr="008F16FC">
        <w:rPr>
          <w:rFonts w:eastAsia="Calibri"/>
          <w:b/>
          <w:bCs/>
          <w:i/>
          <w:iCs/>
          <w:sz w:val="20"/>
          <w:szCs w:val="20"/>
          <w:lang w:val="es-MX"/>
        </w:rPr>
        <w:t>Liquidez y recurso de capital</w:t>
      </w:r>
    </w:p>
    <w:p w14:paraId="00AC6064" w14:textId="77777777" w:rsidR="008F16FC" w:rsidRPr="008F16FC" w:rsidRDefault="008F16FC" w:rsidP="008F16FC">
      <w:pPr>
        <w:widowControl w:val="0"/>
        <w:jc w:val="both"/>
        <w:rPr>
          <w:rFonts w:eastAsia="Calibri"/>
          <w:b/>
          <w:bCs/>
          <w:i/>
          <w:iCs/>
          <w:sz w:val="20"/>
          <w:szCs w:val="20"/>
          <w:lang w:val="es-MX"/>
        </w:rPr>
      </w:pPr>
    </w:p>
    <w:p w14:paraId="6FFA8024" w14:textId="77777777" w:rsidR="008F16FC" w:rsidRPr="008F16FC" w:rsidRDefault="008F16FC" w:rsidP="008F16FC">
      <w:pPr>
        <w:autoSpaceDE w:val="0"/>
        <w:autoSpaceDN w:val="0"/>
        <w:adjustRightInd w:val="0"/>
        <w:jc w:val="both"/>
        <w:rPr>
          <w:rFonts w:eastAsia="Calibri"/>
          <w:color w:val="000000"/>
          <w:sz w:val="20"/>
          <w:szCs w:val="20"/>
          <w:lang w:val="es-MX"/>
        </w:rPr>
      </w:pPr>
      <w:r w:rsidRPr="008F16FC">
        <w:rPr>
          <w:rFonts w:eastAsia="Calibri"/>
          <w:color w:val="000000"/>
          <w:sz w:val="20"/>
          <w:szCs w:val="20"/>
          <w:lang w:val="es-MX"/>
        </w:rPr>
        <w:t>Tanto la liquidez como la rentabilidad han mejorado al 30.06.2019, especialmente por la ejecución de proyectos de exportación y la búsqueda permanente de herramientas financieras que permiten sostener los niveles de capital de trabajo requerido.</w:t>
      </w:r>
    </w:p>
    <w:p w14:paraId="7812DE89" w14:textId="77777777" w:rsidR="008F16FC" w:rsidRPr="008F16FC" w:rsidRDefault="008F16FC" w:rsidP="008F16FC">
      <w:pPr>
        <w:autoSpaceDE w:val="0"/>
        <w:autoSpaceDN w:val="0"/>
        <w:adjustRightInd w:val="0"/>
        <w:jc w:val="both"/>
        <w:rPr>
          <w:rFonts w:eastAsia="Calibri"/>
          <w:color w:val="000000"/>
          <w:sz w:val="20"/>
          <w:szCs w:val="20"/>
          <w:lang w:val="es-MX"/>
        </w:rPr>
      </w:pPr>
      <w:r w:rsidRPr="008F16FC">
        <w:rPr>
          <w:rFonts w:eastAsia="Calibri"/>
          <w:color w:val="000000"/>
          <w:sz w:val="20"/>
          <w:szCs w:val="20"/>
          <w:lang w:val="es-MX"/>
        </w:rPr>
        <w:t>La liquidez puede verse afectada por demoras presupuestarias de los clientes o porque la facturación se emite recién al finalizar ciertos hitos o etapas, debiendo sostener la empresa la ejecución de los contratos hasta alcanzar hitos facturables.</w:t>
      </w:r>
    </w:p>
    <w:p w14:paraId="06F02416" w14:textId="77777777" w:rsidR="008F16FC" w:rsidRPr="008F16FC" w:rsidRDefault="008F16FC" w:rsidP="008F16FC">
      <w:pPr>
        <w:autoSpaceDE w:val="0"/>
        <w:autoSpaceDN w:val="0"/>
        <w:adjustRightInd w:val="0"/>
        <w:jc w:val="both"/>
        <w:rPr>
          <w:rFonts w:eastAsia="Calibri"/>
          <w:color w:val="000000"/>
          <w:sz w:val="20"/>
          <w:szCs w:val="20"/>
          <w:lang w:val="es-MX"/>
        </w:rPr>
      </w:pPr>
      <w:r w:rsidRPr="008F16FC">
        <w:rPr>
          <w:rFonts w:eastAsia="Calibri"/>
          <w:color w:val="000000"/>
          <w:sz w:val="20"/>
          <w:szCs w:val="20"/>
          <w:lang w:val="es-MX"/>
        </w:rPr>
        <w:t xml:space="preserve"> </w:t>
      </w:r>
    </w:p>
    <w:p w14:paraId="45A50C46" w14:textId="77777777" w:rsidR="008F16FC" w:rsidRPr="008F16FC" w:rsidRDefault="008F16FC" w:rsidP="008F16FC">
      <w:pPr>
        <w:autoSpaceDE w:val="0"/>
        <w:autoSpaceDN w:val="0"/>
        <w:adjustRightInd w:val="0"/>
        <w:jc w:val="both"/>
        <w:rPr>
          <w:rFonts w:eastAsia="Calibri"/>
          <w:color w:val="000000"/>
          <w:sz w:val="20"/>
          <w:szCs w:val="20"/>
          <w:lang w:val="es-MX"/>
        </w:rPr>
      </w:pPr>
      <w:r w:rsidRPr="008F16FC">
        <w:rPr>
          <w:rFonts w:eastAsia="Calibri"/>
          <w:color w:val="000000"/>
          <w:sz w:val="20"/>
          <w:szCs w:val="20"/>
          <w:lang w:val="es-MX"/>
        </w:rPr>
        <w:t>El ratio de endeudamiento se encuentra en rangos típicos de empresas de proyectos como es INVAP, con curvas variables de acuerdo al mix de contratos de cada periodo, los cuales tienen curvas de inversión que pueden alcanzar más de cinco años de ejecución, en un contexto desafiante.</w:t>
      </w:r>
    </w:p>
    <w:p w14:paraId="67D4C0AE" w14:textId="77777777" w:rsidR="008F16FC" w:rsidRPr="008F16FC" w:rsidRDefault="008F16FC" w:rsidP="008F16FC">
      <w:pPr>
        <w:autoSpaceDE w:val="0"/>
        <w:autoSpaceDN w:val="0"/>
        <w:adjustRightInd w:val="0"/>
        <w:jc w:val="both"/>
        <w:rPr>
          <w:rFonts w:eastAsia="Calibri"/>
          <w:color w:val="000000"/>
          <w:sz w:val="20"/>
          <w:szCs w:val="20"/>
          <w:lang w:val="es-MX"/>
        </w:rPr>
      </w:pPr>
    </w:p>
    <w:p w14:paraId="67F0B896" w14:textId="77777777" w:rsidR="008F16FC" w:rsidRPr="008F16FC" w:rsidRDefault="008F16FC" w:rsidP="008F16FC">
      <w:pPr>
        <w:autoSpaceDE w:val="0"/>
        <w:autoSpaceDN w:val="0"/>
        <w:adjustRightInd w:val="0"/>
        <w:jc w:val="both"/>
        <w:rPr>
          <w:rFonts w:eastAsia="Calibri"/>
          <w:color w:val="000000"/>
          <w:sz w:val="20"/>
          <w:szCs w:val="20"/>
          <w:lang w:val="es-MX"/>
        </w:rPr>
      </w:pPr>
      <w:r w:rsidRPr="008F16FC">
        <w:rPr>
          <w:rFonts w:eastAsia="Calibri"/>
          <w:color w:val="000000"/>
          <w:sz w:val="20"/>
          <w:szCs w:val="20"/>
          <w:lang w:val="es-MX"/>
        </w:rPr>
        <w:t>Una de las herramientas más usadas en el marco de los contratos son los anticipos financieros de los clientes, cuya devolución se realiza proporcionalmente con cada certificado de avance que se factura al cliente.</w:t>
      </w:r>
    </w:p>
    <w:p w14:paraId="18E6497B" w14:textId="77777777" w:rsidR="008F16FC" w:rsidRPr="008F16FC" w:rsidRDefault="008F16FC" w:rsidP="008F16FC">
      <w:pPr>
        <w:autoSpaceDE w:val="0"/>
        <w:autoSpaceDN w:val="0"/>
        <w:adjustRightInd w:val="0"/>
        <w:jc w:val="both"/>
        <w:rPr>
          <w:rFonts w:eastAsia="Calibri"/>
          <w:color w:val="000000"/>
          <w:sz w:val="20"/>
          <w:szCs w:val="20"/>
          <w:lang w:val="es-MX"/>
        </w:rPr>
      </w:pPr>
    </w:p>
    <w:p w14:paraId="559DB83E" w14:textId="77777777" w:rsidR="008F16FC" w:rsidRPr="008F16FC" w:rsidRDefault="008F16FC" w:rsidP="008F16FC">
      <w:pPr>
        <w:autoSpaceDE w:val="0"/>
        <w:autoSpaceDN w:val="0"/>
        <w:adjustRightInd w:val="0"/>
        <w:jc w:val="both"/>
        <w:rPr>
          <w:rFonts w:eastAsia="Calibri"/>
          <w:color w:val="000000"/>
          <w:sz w:val="20"/>
          <w:szCs w:val="20"/>
          <w:lang w:val="es-MX"/>
        </w:rPr>
      </w:pPr>
      <w:r w:rsidRPr="008F16FC">
        <w:rPr>
          <w:rFonts w:eastAsia="Calibri"/>
          <w:color w:val="000000"/>
          <w:sz w:val="20"/>
          <w:szCs w:val="20"/>
          <w:lang w:val="es-MX"/>
        </w:rPr>
        <w:t xml:space="preserve">Se monitorea en forma permanente el flujo de ingresos y egresos, los cobros, los pagos a proveedores, el planeamiento de compras, la proyección de ventas de las áreas de negocios y la aplicación de herramientas financieras. </w:t>
      </w:r>
    </w:p>
    <w:p w14:paraId="1EB20415" w14:textId="77777777" w:rsidR="008F16FC" w:rsidRPr="008F16FC" w:rsidRDefault="008F16FC" w:rsidP="008F16FC">
      <w:pPr>
        <w:autoSpaceDE w:val="0"/>
        <w:autoSpaceDN w:val="0"/>
        <w:adjustRightInd w:val="0"/>
        <w:jc w:val="both"/>
        <w:rPr>
          <w:rFonts w:eastAsia="Calibri"/>
          <w:color w:val="000000"/>
          <w:sz w:val="20"/>
          <w:szCs w:val="20"/>
          <w:lang w:val="es-MX"/>
        </w:rPr>
      </w:pPr>
    </w:p>
    <w:p w14:paraId="2E536023" w14:textId="77777777" w:rsidR="008F16FC" w:rsidRPr="008F16FC" w:rsidRDefault="008F16FC" w:rsidP="008F16FC">
      <w:pPr>
        <w:widowControl w:val="0"/>
        <w:jc w:val="both"/>
        <w:rPr>
          <w:rFonts w:eastAsia="Calibri"/>
          <w:sz w:val="20"/>
          <w:szCs w:val="20"/>
          <w:lang w:val="es-MX"/>
        </w:rPr>
      </w:pPr>
      <w:r w:rsidRPr="008F16FC">
        <w:rPr>
          <w:rFonts w:eastAsia="Calibri"/>
          <w:color w:val="000000"/>
          <w:sz w:val="20"/>
          <w:szCs w:val="20"/>
          <w:lang w:val="es-MX"/>
        </w:rPr>
        <w:t xml:space="preserve">Cabe aclarar que no se reciben aportes de la Provincia de Río Negro, sino que la empresa se sostiene exclusivamente del giro normal de sus operaciones. </w:t>
      </w:r>
    </w:p>
    <w:p w14:paraId="4F9BF5A2" w14:textId="77777777" w:rsidR="008F16FC" w:rsidRPr="008F16FC" w:rsidRDefault="008F16FC" w:rsidP="008F16FC">
      <w:pPr>
        <w:widowControl w:val="0"/>
        <w:jc w:val="both"/>
        <w:rPr>
          <w:rFonts w:eastAsia="Calibri"/>
          <w:sz w:val="20"/>
          <w:szCs w:val="20"/>
          <w:lang w:val="es-MX"/>
        </w:rPr>
      </w:pPr>
    </w:p>
    <w:p w14:paraId="2D2B164E" w14:textId="77777777" w:rsidR="008F16FC" w:rsidRPr="008F16FC" w:rsidRDefault="008F16FC" w:rsidP="008F16FC">
      <w:pPr>
        <w:jc w:val="both"/>
        <w:rPr>
          <w:rFonts w:eastAsia="Calibri"/>
          <w:i/>
          <w:sz w:val="20"/>
          <w:szCs w:val="20"/>
          <w:lang w:val="es-MX"/>
        </w:rPr>
      </w:pPr>
      <w:r w:rsidRPr="008F16FC">
        <w:rPr>
          <w:rFonts w:eastAsia="Calibri"/>
          <w:i/>
          <w:sz w:val="20"/>
          <w:szCs w:val="20"/>
          <w:lang w:val="es-MX"/>
        </w:rPr>
        <w:t>Nivel de Liquidez y financiación</w:t>
      </w:r>
    </w:p>
    <w:p w14:paraId="690368A1" w14:textId="77777777" w:rsidR="008F16FC" w:rsidRPr="008F16FC" w:rsidRDefault="008F16FC" w:rsidP="008F16FC">
      <w:pPr>
        <w:widowControl w:val="0"/>
        <w:jc w:val="both"/>
        <w:rPr>
          <w:rFonts w:eastAsia="Calibri"/>
          <w:sz w:val="20"/>
          <w:szCs w:val="20"/>
          <w:lang w:val="es-MX"/>
        </w:rPr>
      </w:pPr>
    </w:p>
    <w:p w14:paraId="42D1CE77" w14:textId="77777777" w:rsidR="008F16FC" w:rsidRPr="008F16FC" w:rsidRDefault="008F16FC" w:rsidP="008F16FC">
      <w:pPr>
        <w:widowControl w:val="0"/>
        <w:jc w:val="both"/>
        <w:rPr>
          <w:rFonts w:eastAsia="Calibri"/>
          <w:sz w:val="20"/>
          <w:szCs w:val="20"/>
          <w:lang w:val="es-MX"/>
        </w:rPr>
      </w:pPr>
      <w:r w:rsidRPr="008F16FC">
        <w:rPr>
          <w:rFonts w:eastAsia="Calibri"/>
          <w:sz w:val="20"/>
          <w:szCs w:val="20"/>
          <w:lang w:val="es-MX"/>
        </w:rPr>
        <w:t>La principal fuente de liquidez para INVAP es la generación de fondos por actividades operativas.</w:t>
      </w:r>
    </w:p>
    <w:p w14:paraId="05EA8D3E" w14:textId="77777777" w:rsidR="008F16FC" w:rsidRPr="008F16FC" w:rsidRDefault="008F16FC" w:rsidP="008F16FC">
      <w:pPr>
        <w:widowControl w:val="0"/>
        <w:jc w:val="both"/>
        <w:rPr>
          <w:rFonts w:eastAsia="Calibri"/>
          <w:b/>
          <w:sz w:val="20"/>
          <w:szCs w:val="20"/>
          <w:lang w:val="es-MX"/>
        </w:rPr>
      </w:pPr>
    </w:p>
    <w:p w14:paraId="1239271E" w14:textId="77777777" w:rsidR="008F16FC" w:rsidRPr="008F16FC" w:rsidRDefault="008F16FC" w:rsidP="008F16FC">
      <w:pPr>
        <w:jc w:val="both"/>
        <w:rPr>
          <w:rFonts w:eastAsia="Calibri"/>
          <w:sz w:val="20"/>
          <w:szCs w:val="20"/>
          <w:lang w:val="es-MX"/>
        </w:rPr>
      </w:pPr>
    </w:p>
    <w:p w14:paraId="359E6817" w14:textId="7586B328" w:rsidR="008F16FC" w:rsidRPr="008F16FC" w:rsidRDefault="008F16FC" w:rsidP="008F16FC">
      <w:pPr>
        <w:jc w:val="both"/>
        <w:rPr>
          <w:rFonts w:eastAsia="Calibri"/>
          <w:sz w:val="20"/>
          <w:szCs w:val="20"/>
          <w:lang w:val="es-MX"/>
        </w:rPr>
      </w:pPr>
      <w:r w:rsidRPr="008F16FC">
        <w:rPr>
          <w:rFonts w:eastAsia="Calibri"/>
          <w:sz w:val="20"/>
          <w:szCs w:val="20"/>
          <w:lang w:val="es-MX"/>
        </w:rPr>
        <w:t>Se detalla a continuación un resumen de la generación o aplicación de fondos de los ejercicios económicos anuales finalizados el 30 de junio de 2019 y 2018 expresados en miles de Pesos</w:t>
      </w:r>
      <w:r w:rsidR="000517F6">
        <w:rPr>
          <w:rFonts w:eastAsia="Calibri"/>
          <w:sz w:val="20"/>
          <w:szCs w:val="20"/>
          <w:lang w:val="es-MX"/>
        </w:rPr>
        <w:t xml:space="preserve"> </w:t>
      </w:r>
      <w:r w:rsidRPr="008F16FC">
        <w:rPr>
          <w:rFonts w:eastAsia="Calibri"/>
          <w:sz w:val="20"/>
          <w:szCs w:val="20"/>
          <w:lang w:val="es-MX"/>
        </w:rPr>
        <w:t>(*):</w:t>
      </w:r>
    </w:p>
    <w:p w14:paraId="190C0B0E" w14:textId="77777777" w:rsidR="008F16FC" w:rsidRPr="008F16FC" w:rsidRDefault="008F16FC" w:rsidP="008F16FC">
      <w:pPr>
        <w:jc w:val="both"/>
        <w:rPr>
          <w:rFonts w:eastAsia="Calibri"/>
          <w:sz w:val="20"/>
          <w:szCs w:val="20"/>
          <w:lang w:val="es-MX"/>
        </w:rPr>
      </w:pPr>
    </w:p>
    <w:tbl>
      <w:tblPr>
        <w:tblW w:w="9100" w:type="dxa"/>
        <w:tblInd w:w="55" w:type="dxa"/>
        <w:tblCellMar>
          <w:left w:w="70" w:type="dxa"/>
          <w:right w:w="70" w:type="dxa"/>
        </w:tblCellMar>
        <w:tblLook w:val="04A0" w:firstRow="1" w:lastRow="0" w:firstColumn="1" w:lastColumn="0" w:noHBand="0" w:noVBand="1"/>
      </w:tblPr>
      <w:tblGrid>
        <w:gridCol w:w="6420"/>
        <w:gridCol w:w="1340"/>
        <w:gridCol w:w="1340"/>
      </w:tblGrid>
      <w:tr w:rsidR="008F16FC" w:rsidRPr="008F16FC" w14:paraId="15ED2660" w14:textId="77777777" w:rsidTr="00BA304B">
        <w:trPr>
          <w:trHeight w:val="270"/>
        </w:trPr>
        <w:tc>
          <w:tcPr>
            <w:tcW w:w="642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E10E39C" w14:textId="77777777" w:rsidR="008F16FC" w:rsidRPr="008F16FC" w:rsidRDefault="008F16FC" w:rsidP="008F16FC">
            <w:pPr>
              <w:jc w:val="center"/>
              <w:rPr>
                <w:b/>
                <w:bCs/>
                <w:color w:val="000000"/>
                <w:sz w:val="20"/>
                <w:szCs w:val="20"/>
                <w:lang w:val="es-ES"/>
              </w:rPr>
            </w:pPr>
            <w:r w:rsidRPr="008F16FC">
              <w:rPr>
                <w:b/>
                <w:bCs/>
                <w:color w:val="000000"/>
                <w:sz w:val="20"/>
                <w:szCs w:val="20"/>
                <w:lang w:val="es-ES"/>
              </w:rPr>
              <w:t>Estado de Flujo de Efectivo - Consolidado</w:t>
            </w:r>
          </w:p>
        </w:tc>
        <w:tc>
          <w:tcPr>
            <w:tcW w:w="1340" w:type="dxa"/>
            <w:tcBorders>
              <w:top w:val="single" w:sz="8" w:space="0" w:color="auto"/>
              <w:left w:val="nil"/>
              <w:bottom w:val="single" w:sz="8" w:space="0" w:color="auto"/>
              <w:right w:val="single" w:sz="4" w:space="0" w:color="auto"/>
            </w:tcBorders>
            <w:shd w:val="clear" w:color="auto" w:fill="auto"/>
            <w:noWrap/>
            <w:vAlign w:val="center"/>
            <w:hideMark/>
          </w:tcPr>
          <w:p w14:paraId="68F8DB78" w14:textId="77777777" w:rsidR="008F16FC" w:rsidRPr="008F16FC" w:rsidRDefault="008F16FC" w:rsidP="008F16FC">
            <w:pPr>
              <w:jc w:val="center"/>
              <w:rPr>
                <w:b/>
                <w:bCs/>
                <w:color w:val="000000"/>
                <w:sz w:val="20"/>
                <w:szCs w:val="20"/>
              </w:rPr>
            </w:pPr>
            <w:r w:rsidRPr="008F16FC">
              <w:rPr>
                <w:b/>
                <w:bCs/>
                <w:color w:val="000000"/>
                <w:sz w:val="20"/>
                <w:szCs w:val="20"/>
              </w:rPr>
              <w:t>30.06.2019</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2E0877EA" w14:textId="77777777" w:rsidR="008F16FC" w:rsidRPr="008F16FC" w:rsidRDefault="008F16FC" w:rsidP="008F16FC">
            <w:pPr>
              <w:jc w:val="center"/>
              <w:rPr>
                <w:b/>
                <w:bCs/>
                <w:color w:val="000000"/>
                <w:sz w:val="20"/>
                <w:szCs w:val="20"/>
              </w:rPr>
            </w:pPr>
            <w:r w:rsidRPr="008F16FC">
              <w:rPr>
                <w:b/>
                <w:bCs/>
                <w:color w:val="000000"/>
                <w:sz w:val="20"/>
                <w:szCs w:val="20"/>
              </w:rPr>
              <w:t>30.06.2018</w:t>
            </w:r>
          </w:p>
        </w:tc>
      </w:tr>
      <w:tr w:rsidR="008F16FC" w:rsidRPr="008F16FC" w14:paraId="1F306771" w14:textId="77777777" w:rsidTr="00BA304B">
        <w:trPr>
          <w:trHeight w:val="75"/>
        </w:trPr>
        <w:tc>
          <w:tcPr>
            <w:tcW w:w="6420" w:type="dxa"/>
            <w:tcBorders>
              <w:top w:val="nil"/>
              <w:left w:val="single" w:sz="8" w:space="0" w:color="auto"/>
              <w:bottom w:val="nil"/>
              <w:right w:val="nil"/>
            </w:tcBorders>
            <w:shd w:val="clear" w:color="auto" w:fill="auto"/>
            <w:noWrap/>
            <w:vAlign w:val="bottom"/>
            <w:hideMark/>
          </w:tcPr>
          <w:p w14:paraId="45E5E699" w14:textId="77777777" w:rsidR="008F16FC" w:rsidRPr="008F16FC" w:rsidRDefault="008F16FC" w:rsidP="008F16FC">
            <w:pPr>
              <w:rPr>
                <w:color w:val="000000"/>
                <w:sz w:val="20"/>
                <w:szCs w:val="20"/>
              </w:rPr>
            </w:pPr>
            <w:r w:rsidRPr="008F16FC">
              <w:rPr>
                <w:color w:val="000000"/>
                <w:sz w:val="20"/>
                <w:szCs w:val="20"/>
              </w:rPr>
              <w:t> </w:t>
            </w:r>
          </w:p>
        </w:tc>
        <w:tc>
          <w:tcPr>
            <w:tcW w:w="1340" w:type="dxa"/>
            <w:tcBorders>
              <w:top w:val="nil"/>
              <w:left w:val="nil"/>
              <w:bottom w:val="nil"/>
              <w:right w:val="nil"/>
            </w:tcBorders>
            <w:shd w:val="clear" w:color="auto" w:fill="auto"/>
            <w:noWrap/>
            <w:vAlign w:val="center"/>
            <w:hideMark/>
          </w:tcPr>
          <w:p w14:paraId="1FCC5E7D" w14:textId="77777777" w:rsidR="008F16FC" w:rsidRPr="008F16FC" w:rsidRDefault="008F16FC" w:rsidP="008F16FC">
            <w:pPr>
              <w:jc w:val="center"/>
              <w:rPr>
                <w:b/>
                <w:bCs/>
                <w:color w:val="000000"/>
                <w:sz w:val="20"/>
                <w:szCs w:val="20"/>
              </w:rPr>
            </w:pPr>
          </w:p>
        </w:tc>
        <w:tc>
          <w:tcPr>
            <w:tcW w:w="1340" w:type="dxa"/>
            <w:tcBorders>
              <w:top w:val="nil"/>
              <w:left w:val="nil"/>
              <w:bottom w:val="nil"/>
              <w:right w:val="single" w:sz="8" w:space="0" w:color="auto"/>
            </w:tcBorders>
            <w:shd w:val="clear" w:color="auto" w:fill="auto"/>
            <w:noWrap/>
            <w:vAlign w:val="center"/>
            <w:hideMark/>
          </w:tcPr>
          <w:p w14:paraId="7E51B241" w14:textId="77777777" w:rsidR="008F16FC" w:rsidRPr="008F16FC" w:rsidRDefault="008F16FC" w:rsidP="008F16FC">
            <w:pPr>
              <w:jc w:val="center"/>
              <w:rPr>
                <w:b/>
                <w:bCs/>
                <w:color w:val="000000"/>
                <w:sz w:val="20"/>
                <w:szCs w:val="20"/>
              </w:rPr>
            </w:pPr>
          </w:p>
        </w:tc>
      </w:tr>
      <w:tr w:rsidR="008F16FC" w:rsidRPr="008F16FC" w14:paraId="70B292F6" w14:textId="77777777" w:rsidTr="00BA304B">
        <w:trPr>
          <w:trHeight w:val="402"/>
        </w:trPr>
        <w:tc>
          <w:tcPr>
            <w:tcW w:w="6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EFD2F65" w14:textId="77777777" w:rsidR="008F16FC" w:rsidRPr="008F16FC" w:rsidRDefault="008F16FC" w:rsidP="008F16FC">
            <w:pPr>
              <w:rPr>
                <w:b/>
                <w:bCs/>
                <w:color w:val="000000"/>
                <w:sz w:val="20"/>
                <w:szCs w:val="20"/>
                <w:lang w:val="es-ES"/>
              </w:rPr>
            </w:pPr>
            <w:r w:rsidRPr="008F16FC">
              <w:rPr>
                <w:b/>
                <w:bCs/>
                <w:color w:val="000000"/>
                <w:sz w:val="20"/>
                <w:szCs w:val="20"/>
                <w:lang w:val="es-ES"/>
              </w:rPr>
              <w:t>Flujo neto de efectivo generado por las actividades operativas</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72100B42" w14:textId="77777777" w:rsidR="008F16FC" w:rsidRPr="008F16FC" w:rsidRDefault="008F16FC" w:rsidP="008F16FC">
            <w:pPr>
              <w:jc w:val="center"/>
              <w:rPr>
                <w:color w:val="000000"/>
                <w:sz w:val="20"/>
                <w:szCs w:val="20"/>
              </w:rPr>
            </w:pPr>
            <w:r w:rsidRPr="008F16FC">
              <w:rPr>
                <w:color w:val="000000"/>
                <w:sz w:val="20"/>
                <w:szCs w:val="20"/>
              </w:rPr>
              <w:t>1.056.104</w:t>
            </w:r>
          </w:p>
        </w:tc>
        <w:tc>
          <w:tcPr>
            <w:tcW w:w="1340" w:type="dxa"/>
            <w:tcBorders>
              <w:top w:val="single" w:sz="8" w:space="0" w:color="auto"/>
              <w:left w:val="nil"/>
              <w:bottom w:val="single" w:sz="4" w:space="0" w:color="auto"/>
              <w:right w:val="single" w:sz="8" w:space="0" w:color="auto"/>
            </w:tcBorders>
            <w:shd w:val="clear" w:color="auto" w:fill="auto"/>
            <w:noWrap/>
            <w:vAlign w:val="bottom"/>
            <w:hideMark/>
          </w:tcPr>
          <w:p w14:paraId="6C8CCD73" w14:textId="77777777" w:rsidR="008F16FC" w:rsidRPr="008F16FC" w:rsidRDefault="008F16FC" w:rsidP="008F16FC">
            <w:pPr>
              <w:jc w:val="center"/>
              <w:rPr>
                <w:color w:val="000000"/>
                <w:sz w:val="20"/>
                <w:szCs w:val="20"/>
              </w:rPr>
            </w:pPr>
            <w:r w:rsidRPr="008F16FC">
              <w:rPr>
                <w:color w:val="000000"/>
                <w:sz w:val="20"/>
                <w:szCs w:val="20"/>
              </w:rPr>
              <w:t>791.624</w:t>
            </w:r>
          </w:p>
        </w:tc>
      </w:tr>
      <w:tr w:rsidR="008F16FC" w:rsidRPr="008F16FC" w14:paraId="5E3FD52F" w14:textId="77777777" w:rsidTr="00BA304B">
        <w:trPr>
          <w:trHeight w:val="402"/>
        </w:trPr>
        <w:tc>
          <w:tcPr>
            <w:tcW w:w="6420" w:type="dxa"/>
            <w:tcBorders>
              <w:top w:val="nil"/>
              <w:left w:val="single" w:sz="8" w:space="0" w:color="auto"/>
              <w:bottom w:val="single" w:sz="4" w:space="0" w:color="auto"/>
              <w:right w:val="single" w:sz="4" w:space="0" w:color="auto"/>
            </w:tcBorders>
            <w:shd w:val="clear" w:color="auto" w:fill="auto"/>
            <w:vAlign w:val="center"/>
            <w:hideMark/>
          </w:tcPr>
          <w:p w14:paraId="0DBCCDA6" w14:textId="77777777" w:rsidR="008F16FC" w:rsidRPr="008F16FC" w:rsidRDefault="008F16FC" w:rsidP="008F16FC">
            <w:pPr>
              <w:rPr>
                <w:b/>
                <w:bCs/>
                <w:color w:val="000000"/>
                <w:sz w:val="20"/>
                <w:szCs w:val="20"/>
                <w:lang w:val="es-ES"/>
              </w:rPr>
            </w:pPr>
            <w:r w:rsidRPr="008F16FC">
              <w:rPr>
                <w:b/>
                <w:bCs/>
                <w:color w:val="000000"/>
                <w:sz w:val="20"/>
                <w:szCs w:val="20"/>
                <w:lang w:val="es-ES"/>
              </w:rPr>
              <w:t>Flujo neto de efectivo utilizado en las actividades de inversión</w:t>
            </w:r>
          </w:p>
        </w:tc>
        <w:tc>
          <w:tcPr>
            <w:tcW w:w="1340" w:type="dxa"/>
            <w:tcBorders>
              <w:top w:val="nil"/>
              <w:left w:val="nil"/>
              <w:bottom w:val="single" w:sz="4" w:space="0" w:color="auto"/>
              <w:right w:val="single" w:sz="4" w:space="0" w:color="auto"/>
            </w:tcBorders>
            <w:shd w:val="clear" w:color="auto" w:fill="auto"/>
            <w:noWrap/>
            <w:vAlign w:val="bottom"/>
            <w:hideMark/>
          </w:tcPr>
          <w:p w14:paraId="1F2A0A89" w14:textId="77777777" w:rsidR="008F16FC" w:rsidRPr="008F16FC" w:rsidRDefault="008F16FC" w:rsidP="008F16FC">
            <w:pPr>
              <w:jc w:val="center"/>
              <w:rPr>
                <w:color w:val="000000"/>
                <w:sz w:val="20"/>
                <w:szCs w:val="20"/>
              </w:rPr>
            </w:pPr>
            <w:r w:rsidRPr="008F16FC">
              <w:rPr>
                <w:color w:val="000000"/>
                <w:sz w:val="20"/>
                <w:szCs w:val="20"/>
              </w:rPr>
              <w:t>(102.754)</w:t>
            </w:r>
          </w:p>
        </w:tc>
        <w:tc>
          <w:tcPr>
            <w:tcW w:w="1340" w:type="dxa"/>
            <w:tcBorders>
              <w:top w:val="nil"/>
              <w:left w:val="nil"/>
              <w:bottom w:val="single" w:sz="4" w:space="0" w:color="auto"/>
              <w:right w:val="single" w:sz="8" w:space="0" w:color="auto"/>
            </w:tcBorders>
            <w:shd w:val="clear" w:color="auto" w:fill="auto"/>
            <w:noWrap/>
            <w:vAlign w:val="bottom"/>
            <w:hideMark/>
          </w:tcPr>
          <w:p w14:paraId="2AE2EA36" w14:textId="77777777" w:rsidR="008F16FC" w:rsidRPr="008F16FC" w:rsidRDefault="008F16FC" w:rsidP="008F16FC">
            <w:pPr>
              <w:jc w:val="center"/>
              <w:rPr>
                <w:color w:val="000000"/>
                <w:sz w:val="20"/>
                <w:szCs w:val="20"/>
              </w:rPr>
            </w:pPr>
            <w:r w:rsidRPr="008F16FC">
              <w:rPr>
                <w:color w:val="000000"/>
                <w:sz w:val="20"/>
                <w:szCs w:val="20"/>
              </w:rPr>
              <w:t>(143.658)</w:t>
            </w:r>
          </w:p>
        </w:tc>
      </w:tr>
      <w:tr w:rsidR="008F16FC" w:rsidRPr="008F16FC" w14:paraId="78CA4324" w14:textId="77777777" w:rsidTr="00BA304B">
        <w:trPr>
          <w:trHeight w:val="402"/>
        </w:trPr>
        <w:tc>
          <w:tcPr>
            <w:tcW w:w="6420" w:type="dxa"/>
            <w:tcBorders>
              <w:top w:val="nil"/>
              <w:left w:val="single" w:sz="8" w:space="0" w:color="auto"/>
              <w:bottom w:val="single" w:sz="4" w:space="0" w:color="auto"/>
              <w:right w:val="single" w:sz="4" w:space="0" w:color="auto"/>
            </w:tcBorders>
            <w:shd w:val="clear" w:color="auto" w:fill="auto"/>
            <w:vAlign w:val="center"/>
            <w:hideMark/>
          </w:tcPr>
          <w:p w14:paraId="51E2556C" w14:textId="77777777" w:rsidR="008F16FC" w:rsidRPr="008F16FC" w:rsidRDefault="008F16FC" w:rsidP="008F16FC">
            <w:pPr>
              <w:rPr>
                <w:b/>
                <w:bCs/>
                <w:color w:val="000000"/>
                <w:sz w:val="20"/>
                <w:szCs w:val="20"/>
                <w:lang w:val="es-ES"/>
              </w:rPr>
            </w:pPr>
            <w:r w:rsidRPr="008F16FC">
              <w:rPr>
                <w:b/>
                <w:bCs/>
                <w:color w:val="000000"/>
                <w:sz w:val="20"/>
                <w:szCs w:val="20"/>
                <w:lang w:val="es-ES"/>
              </w:rPr>
              <w:t>Flujo de efectivo procedente de las actividades de financiación</w:t>
            </w:r>
          </w:p>
        </w:tc>
        <w:tc>
          <w:tcPr>
            <w:tcW w:w="1340" w:type="dxa"/>
            <w:tcBorders>
              <w:top w:val="nil"/>
              <w:left w:val="nil"/>
              <w:bottom w:val="single" w:sz="4" w:space="0" w:color="auto"/>
              <w:right w:val="single" w:sz="4" w:space="0" w:color="auto"/>
            </w:tcBorders>
            <w:shd w:val="clear" w:color="auto" w:fill="auto"/>
            <w:noWrap/>
            <w:vAlign w:val="bottom"/>
            <w:hideMark/>
          </w:tcPr>
          <w:p w14:paraId="72F3F8E8" w14:textId="77777777" w:rsidR="008F16FC" w:rsidRPr="008F16FC" w:rsidRDefault="008F16FC" w:rsidP="008F16FC">
            <w:pPr>
              <w:jc w:val="center"/>
              <w:rPr>
                <w:color w:val="000000"/>
                <w:sz w:val="20"/>
                <w:szCs w:val="20"/>
              </w:rPr>
            </w:pPr>
            <w:r w:rsidRPr="008F16FC">
              <w:rPr>
                <w:color w:val="000000"/>
                <w:sz w:val="20"/>
                <w:szCs w:val="20"/>
              </w:rPr>
              <w:t>(825.214)</w:t>
            </w:r>
          </w:p>
        </w:tc>
        <w:tc>
          <w:tcPr>
            <w:tcW w:w="1340" w:type="dxa"/>
            <w:tcBorders>
              <w:top w:val="nil"/>
              <w:left w:val="nil"/>
              <w:bottom w:val="single" w:sz="4" w:space="0" w:color="auto"/>
              <w:right w:val="single" w:sz="8" w:space="0" w:color="auto"/>
            </w:tcBorders>
            <w:shd w:val="clear" w:color="auto" w:fill="auto"/>
            <w:noWrap/>
            <w:vAlign w:val="bottom"/>
            <w:hideMark/>
          </w:tcPr>
          <w:p w14:paraId="14A0D2F8" w14:textId="77777777" w:rsidR="008F16FC" w:rsidRPr="008F16FC" w:rsidRDefault="008F16FC" w:rsidP="008F16FC">
            <w:pPr>
              <w:jc w:val="center"/>
              <w:rPr>
                <w:color w:val="000000"/>
                <w:sz w:val="20"/>
                <w:szCs w:val="20"/>
              </w:rPr>
            </w:pPr>
            <w:r w:rsidRPr="008F16FC">
              <w:rPr>
                <w:color w:val="000000"/>
                <w:sz w:val="20"/>
                <w:szCs w:val="20"/>
              </w:rPr>
              <w:t>356.277</w:t>
            </w:r>
          </w:p>
        </w:tc>
      </w:tr>
      <w:tr w:rsidR="008F16FC" w:rsidRPr="008F16FC" w14:paraId="624CDD77" w14:textId="77777777" w:rsidTr="00BA304B">
        <w:trPr>
          <w:trHeight w:val="402"/>
        </w:trPr>
        <w:tc>
          <w:tcPr>
            <w:tcW w:w="6420" w:type="dxa"/>
            <w:tcBorders>
              <w:top w:val="nil"/>
              <w:left w:val="single" w:sz="8" w:space="0" w:color="auto"/>
              <w:bottom w:val="single" w:sz="8" w:space="0" w:color="auto"/>
              <w:right w:val="single" w:sz="4" w:space="0" w:color="auto"/>
            </w:tcBorders>
            <w:shd w:val="clear" w:color="auto" w:fill="auto"/>
            <w:vAlign w:val="center"/>
            <w:hideMark/>
          </w:tcPr>
          <w:p w14:paraId="027EAE20" w14:textId="77777777" w:rsidR="008F16FC" w:rsidRPr="008F16FC" w:rsidRDefault="008F16FC" w:rsidP="008F16FC">
            <w:pPr>
              <w:rPr>
                <w:b/>
                <w:bCs/>
                <w:color w:val="000000"/>
                <w:sz w:val="20"/>
                <w:szCs w:val="20"/>
                <w:lang w:val="es-ES"/>
              </w:rPr>
            </w:pPr>
            <w:r w:rsidRPr="008F16FC">
              <w:rPr>
                <w:b/>
                <w:bCs/>
                <w:color w:val="000000"/>
                <w:sz w:val="20"/>
                <w:szCs w:val="20"/>
                <w:lang w:val="es-ES"/>
              </w:rPr>
              <w:t>Flujo neto del efectivo del ejercicio</w:t>
            </w:r>
          </w:p>
        </w:tc>
        <w:tc>
          <w:tcPr>
            <w:tcW w:w="1340" w:type="dxa"/>
            <w:tcBorders>
              <w:top w:val="nil"/>
              <w:left w:val="nil"/>
              <w:bottom w:val="single" w:sz="8" w:space="0" w:color="auto"/>
              <w:right w:val="single" w:sz="4" w:space="0" w:color="auto"/>
            </w:tcBorders>
            <w:shd w:val="clear" w:color="auto" w:fill="auto"/>
            <w:noWrap/>
            <w:vAlign w:val="bottom"/>
            <w:hideMark/>
          </w:tcPr>
          <w:p w14:paraId="50EAA06B" w14:textId="77777777" w:rsidR="008F16FC" w:rsidRPr="008F16FC" w:rsidRDefault="008F16FC" w:rsidP="008F16FC">
            <w:pPr>
              <w:jc w:val="center"/>
              <w:rPr>
                <w:b/>
                <w:bCs/>
                <w:color w:val="000000"/>
                <w:sz w:val="20"/>
                <w:szCs w:val="20"/>
              </w:rPr>
            </w:pPr>
            <w:r w:rsidRPr="008F16FC">
              <w:rPr>
                <w:b/>
                <w:bCs/>
                <w:color w:val="000000"/>
                <w:sz w:val="20"/>
                <w:szCs w:val="20"/>
              </w:rPr>
              <w:t>128.135</w:t>
            </w:r>
          </w:p>
        </w:tc>
        <w:tc>
          <w:tcPr>
            <w:tcW w:w="1340" w:type="dxa"/>
            <w:tcBorders>
              <w:top w:val="nil"/>
              <w:left w:val="nil"/>
              <w:bottom w:val="single" w:sz="8" w:space="0" w:color="auto"/>
              <w:right w:val="single" w:sz="8" w:space="0" w:color="auto"/>
            </w:tcBorders>
            <w:shd w:val="clear" w:color="auto" w:fill="auto"/>
            <w:noWrap/>
            <w:vAlign w:val="bottom"/>
            <w:hideMark/>
          </w:tcPr>
          <w:p w14:paraId="54191BD0" w14:textId="77777777" w:rsidR="008F16FC" w:rsidRPr="008F16FC" w:rsidRDefault="008F16FC" w:rsidP="008F16FC">
            <w:pPr>
              <w:jc w:val="center"/>
              <w:rPr>
                <w:b/>
                <w:bCs/>
                <w:color w:val="000000"/>
                <w:sz w:val="20"/>
                <w:szCs w:val="20"/>
              </w:rPr>
            </w:pPr>
            <w:r w:rsidRPr="008F16FC">
              <w:rPr>
                <w:b/>
                <w:bCs/>
                <w:color w:val="000000"/>
                <w:sz w:val="20"/>
                <w:szCs w:val="20"/>
              </w:rPr>
              <w:t>1.004.243</w:t>
            </w:r>
          </w:p>
        </w:tc>
      </w:tr>
    </w:tbl>
    <w:p w14:paraId="39D91571" w14:textId="77777777" w:rsidR="008F16FC" w:rsidRPr="008F16FC" w:rsidRDefault="008F16FC" w:rsidP="008F16FC">
      <w:pPr>
        <w:jc w:val="both"/>
        <w:rPr>
          <w:rFonts w:eastAsia="Calibri"/>
          <w:sz w:val="20"/>
          <w:szCs w:val="20"/>
          <w:lang w:val="es-MX"/>
        </w:rPr>
      </w:pPr>
    </w:p>
    <w:p w14:paraId="58186984" w14:textId="77777777" w:rsidR="008F16FC" w:rsidRPr="00512442" w:rsidRDefault="008F16FC" w:rsidP="008F16FC">
      <w:pPr>
        <w:jc w:val="both"/>
        <w:rPr>
          <w:rFonts w:eastAsia="Calibri"/>
          <w:i/>
          <w:sz w:val="20"/>
          <w:lang w:val="es-MX"/>
        </w:rPr>
      </w:pPr>
      <w:r w:rsidRPr="00512442">
        <w:rPr>
          <w:rFonts w:eastAsia="Calibri"/>
          <w:i/>
          <w:sz w:val="20"/>
          <w:lang w:val="es-MX"/>
        </w:rPr>
        <w:t>(*) La información corresponde al Estado de flujo de efectivo de los Estados Contables al 30 de junio de 2019 y 2018.</w:t>
      </w:r>
    </w:p>
    <w:p w14:paraId="3B94C226" w14:textId="77777777" w:rsidR="008F16FC" w:rsidRPr="008F16FC" w:rsidRDefault="008F16FC" w:rsidP="008F16FC">
      <w:pPr>
        <w:jc w:val="both"/>
        <w:rPr>
          <w:rFonts w:eastAsia="Calibri"/>
          <w:sz w:val="20"/>
          <w:szCs w:val="20"/>
          <w:lang w:val="es-MX"/>
        </w:rPr>
      </w:pPr>
    </w:p>
    <w:p w14:paraId="54E8F36F" w14:textId="77777777" w:rsidR="008F16FC" w:rsidRPr="008F16FC" w:rsidRDefault="008F16FC" w:rsidP="008F16FC">
      <w:pPr>
        <w:spacing w:after="200" w:line="276" w:lineRule="auto"/>
        <w:rPr>
          <w:b/>
          <w:i/>
          <w:color w:val="000000"/>
          <w:sz w:val="20"/>
          <w:lang w:val="es-ES"/>
        </w:rPr>
      </w:pPr>
      <w:r w:rsidRPr="008F16FC">
        <w:rPr>
          <w:b/>
          <w:i/>
          <w:color w:val="000000"/>
          <w:sz w:val="20"/>
          <w:lang w:val="es-ES"/>
        </w:rPr>
        <w:t>Actividades Operativas</w:t>
      </w:r>
    </w:p>
    <w:p w14:paraId="07CFDC0B" w14:textId="77777777" w:rsidR="008F16FC" w:rsidRPr="008F16FC" w:rsidRDefault="008F16FC" w:rsidP="008F16FC">
      <w:pPr>
        <w:jc w:val="both"/>
        <w:rPr>
          <w:rFonts w:cs="Arial"/>
          <w:color w:val="000000"/>
          <w:sz w:val="20"/>
          <w:lang w:val="es-ES"/>
        </w:rPr>
      </w:pPr>
      <w:r w:rsidRPr="008F16FC">
        <w:rPr>
          <w:rFonts w:cs="Arial"/>
          <w:color w:val="000000"/>
          <w:sz w:val="20"/>
          <w:lang w:val="es-ES"/>
        </w:rPr>
        <w:t>Los ingresos en general provienen de cobros a clientes por ventas y por la recepción de anticipos de clientes. Los egresos se originan en pagos a proveedores por la compra de suministros y por la contratación de servicios y en la cancelación de deudas fiscales, sociales y otros gastos operativos.</w:t>
      </w:r>
    </w:p>
    <w:p w14:paraId="4C3948FE" w14:textId="77777777" w:rsidR="008F16FC" w:rsidRPr="008F16FC" w:rsidRDefault="008F16FC" w:rsidP="008F16FC">
      <w:pPr>
        <w:jc w:val="both"/>
        <w:rPr>
          <w:rFonts w:cs="Arial"/>
          <w:color w:val="000000"/>
          <w:sz w:val="20"/>
          <w:lang w:val="es-ES"/>
        </w:rPr>
      </w:pPr>
    </w:p>
    <w:p w14:paraId="4CB21E8D" w14:textId="77777777" w:rsidR="008F16FC" w:rsidRPr="008F16FC" w:rsidRDefault="008F16FC" w:rsidP="008F16FC">
      <w:pPr>
        <w:jc w:val="both"/>
        <w:rPr>
          <w:b/>
          <w:i/>
          <w:color w:val="000000"/>
          <w:sz w:val="20"/>
          <w:lang w:val="es-ES"/>
        </w:rPr>
      </w:pPr>
      <w:r w:rsidRPr="008F16FC">
        <w:rPr>
          <w:b/>
          <w:i/>
          <w:color w:val="000000"/>
          <w:sz w:val="20"/>
          <w:lang w:val="es-ES"/>
        </w:rPr>
        <w:t>Actividades de Inversión</w:t>
      </w:r>
    </w:p>
    <w:p w14:paraId="684ADEBD" w14:textId="77777777" w:rsidR="008F16FC" w:rsidRPr="008F16FC" w:rsidRDefault="008F16FC" w:rsidP="008F16FC">
      <w:pPr>
        <w:jc w:val="both"/>
        <w:rPr>
          <w:rFonts w:cs="Arial"/>
          <w:color w:val="000000"/>
          <w:sz w:val="20"/>
          <w:lang w:val="es-ES"/>
        </w:rPr>
      </w:pPr>
    </w:p>
    <w:p w14:paraId="1B4FD87F" w14:textId="77777777" w:rsidR="008F16FC" w:rsidRPr="008F16FC" w:rsidRDefault="008F16FC" w:rsidP="008F16FC">
      <w:pPr>
        <w:jc w:val="both"/>
        <w:rPr>
          <w:rFonts w:cs="Arial"/>
          <w:color w:val="000000"/>
          <w:sz w:val="20"/>
          <w:lang w:val="es-ES"/>
        </w:rPr>
      </w:pPr>
      <w:r w:rsidRPr="008F16FC">
        <w:rPr>
          <w:rFonts w:cs="Arial"/>
          <w:color w:val="000000"/>
          <w:sz w:val="20"/>
          <w:lang w:val="es-ES"/>
        </w:rPr>
        <w:t>Las inversiones de la Sociedad están relacionadas con la adquisición de activos fijos e intangibles.</w:t>
      </w:r>
    </w:p>
    <w:p w14:paraId="61313FD3" w14:textId="77777777" w:rsidR="008F16FC" w:rsidRPr="008F16FC" w:rsidRDefault="008F16FC" w:rsidP="008F16FC">
      <w:pPr>
        <w:jc w:val="both"/>
        <w:rPr>
          <w:b/>
          <w:i/>
          <w:color w:val="000000"/>
          <w:sz w:val="20"/>
          <w:lang w:val="es-ES"/>
        </w:rPr>
      </w:pPr>
    </w:p>
    <w:p w14:paraId="396A6AA1" w14:textId="77777777" w:rsidR="008F16FC" w:rsidRPr="008F16FC" w:rsidRDefault="008F16FC" w:rsidP="008F16FC">
      <w:pPr>
        <w:jc w:val="both"/>
        <w:rPr>
          <w:b/>
          <w:i/>
          <w:color w:val="000000"/>
          <w:sz w:val="20"/>
          <w:lang w:val="es-ES"/>
        </w:rPr>
      </w:pPr>
      <w:r w:rsidRPr="008F16FC">
        <w:rPr>
          <w:b/>
          <w:i/>
          <w:color w:val="000000"/>
          <w:sz w:val="20"/>
          <w:lang w:val="es-ES"/>
        </w:rPr>
        <w:t>Actividades de Financiación</w:t>
      </w:r>
    </w:p>
    <w:p w14:paraId="42896852" w14:textId="77777777" w:rsidR="008F16FC" w:rsidRPr="008F16FC" w:rsidRDefault="008F16FC" w:rsidP="008F16FC">
      <w:pPr>
        <w:jc w:val="both"/>
        <w:rPr>
          <w:rFonts w:cs="Arial"/>
          <w:color w:val="000000"/>
          <w:sz w:val="20"/>
          <w:lang w:val="es-ES"/>
        </w:rPr>
      </w:pPr>
    </w:p>
    <w:p w14:paraId="2C73F6B8" w14:textId="77777777" w:rsidR="008F16FC" w:rsidRPr="008F16FC" w:rsidRDefault="008F16FC" w:rsidP="008F16FC">
      <w:pPr>
        <w:jc w:val="both"/>
        <w:rPr>
          <w:rFonts w:cs="Arial"/>
          <w:color w:val="000000"/>
          <w:sz w:val="20"/>
          <w:lang w:val="es-ES"/>
        </w:rPr>
      </w:pPr>
      <w:r w:rsidRPr="008F16FC">
        <w:rPr>
          <w:rFonts w:cs="Arial"/>
          <w:color w:val="000000"/>
          <w:sz w:val="20"/>
          <w:lang w:val="es-ES"/>
        </w:rPr>
        <w:t>Se trata de fondos provenientes de préstamos bancarios y de las obligaciones negociables, que se utilizaron en su mayoría para las actividades de inversión ya descriptas.</w:t>
      </w:r>
    </w:p>
    <w:p w14:paraId="04A2A31B" w14:textId="77777777" w:rsidR="008F16FC" w:rsidRPr="00512442" w:rsidRDefault="008F16FC" w:rsidP="00512442">
      <w:pPr>
        <w:tabs>
          <w:tab w:val="left" w:pos="7371"/>
        </w:tabs>
        <w:spacing w:line="240" w:lineRule="atLeast"/>
        <w:jc w:val="both"/>
        <w:outlineLvl w:val="0"/>
        <w:rPr>
          <w:rFonts w:eastAsia="Calibri"/>
          <w:sz w:val="20"/>
          <w:lang w:val="es-MX"/>
        </w:rPr>
      </w:pPr>
    </w:p>
    <w:p w14:paraId="6E57FBD4" w14:textId="4198206C" w:rsidR="008F16FC" w:rsidRPr="008F16FC" w:rsidRDefault="008F16FC" w:rsidP="008F16FC">
      <w:pPr>
        <w:jc w:val="both"/>
        <w:rPr>
          <w:rFonts w:eastAsia="Calibri"/>
          <w:sz w:val="20"/>
          <w:szCs w:val="20"/>
          <w:lang w:val="es-MX"/>
        </w:rPr>
      </w:pPr>
      <w:r w:rsidRPr="008F16FC">
        <w:rPr>
          <w:rFonts w:eastAsia="Calibri"/>
          <w:sz w:val="20"/>
          <w:szCs w:val="20"/>
          <w:lang w:val="es-MX"/>
        </w:rPr>
        <w:t>Se detalla a continuación un resumen de la generación o aplicación de fondos del ejercicio económico anual finalizado el 30 de junio de 2017 expresados en miles de Pesos:</w:t>
      </w:r>
    </w:p>
    <w:p w14:paraId="4064D69F" w14:textId="77777777" w:rsidR="008F16FC" w:rsidRPr="008F16FC" w:rsidRDefault="008F16FC" w:rsidP="008F16FC">
      <w:pPr>
        <w:jc w:val="both"/>
        <w:rPr>
          <w:rFonts w:eastAsia="Calibri"/>
          <w:sz w:val="20"/>
          <w:szCs w:val="20"/>
          <w:lang w:val="es-MX"/>
        </w:rPr>
      </w:pPr>
    </w:p>
    <w:tbl>
      <w:tblPr>
        <w:tblW w:w="7603" w:type="dxa"/>
        <w:tblInd w:w="212" w:type="dxa"/>
        <w:tblCellMar>
          <w:left w:w="70" w:type="dxa"/>
          <w:right w:w="70" w:type="dxa"/>
        </w:tblCellMar>
        <w:tblLook w:val="04A0" w:firstRow="1" w:lastRow="0" w:firstColumn="1" w:lastColumn="0" w:noHBand="0" w:noVBand="1"/>
      </w:tblPr>
      <w:tblGrid>
        <w:gridCol w:w="6263"/>
        <w:gridCol w:w="1340"/>
      </w:tblGrid>
      <w:tr w:rsidR="008F16FC" w:rsidRPr="008F16FC" w14:paraId="4A5A00C0" w14:textId="77777777" w:rsidTr="00BA304B">
        <w:trPr>
          <w:trHeight w:val="270"/>
        </w:trPr>
        <w:tc>
          <w:tcPr>
            <w:tcW w:w="626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78A6D19" w14:textId="77777777" w:rsidR="008F16FC" w:rsidRPr="008F16FC" w:rsidRDefault="008F16FC" w:rsidP="008F16FC">
            <w:pPr>
              <w:jc w:val="center"/>
              <w:rPr>
                <w:b/>
                <w:bCs/>
                <w:color w:val="000000"/>
                <w:sz w:val="20"/>
                <w:szCs w:val="20"/>
                <w:lang w:val="es-ES"/>
              </w:rPr>
            </w:pPr>
            <w:r w:rsidRPr="008F16FC">
              <w:rPr>
                <w:b/>
                <w:bCs/>
                <w:color w:val="000000"/>
                <w:sz w:val="20"/>
                <w:szCs w:val="20"/>
                <w:lang w:val="es-ES"/>
              </w:rPr>
              <w:t>Estado de Flujo de Efectivo - Consolidado</w:t>
            </w:r>
          </w:p>
        </w:tc>
        <w:tc>
          <w:tcPr>
            <w:tcW w:w="1340" w:type="dxa"/>
            <w:tcBorders>
              <w:top w:val="single" w:sz="8" w:space="0" w:color="auto"/>
              <w:left w:val="nil"/>
              <w:bottom w:val="single" w:sz="8" w:space="0" w:color="auto"/>
              <w:right w:val="single" w:sz="4" w:space="0" w:color="auto"/>
            </w:tcBorders>
            <w:shd w:val="clear" w:color="auto" w:fill="auto"/>
            <w:noWrap/>
            <w:vAlign w:val="center"/>
            <w:hideMark/>
          </w:tcPr>
          <w:p w14:paraId="14884209" w14:textId="77777777" w:rsidR="008F16FC" w:rsidRPr="008F16FC" w:rsidRDefault="008F16FC" w:rsidP="008F16FC">
            <w:pPr>
              <w:jc w:val="center"/>
              <w:rPr>
                <w:b/>
                <w:bCs/>
                <w:color w:val="000000"/>
                <w:sz w:val="20"/>
                <w:szCs w:val="20"/>
              </w:rPr>
            </w:pPr>
            <w:r w:rsidRPr="008F16FC">
              <w:rPr>
                <w:b/>
                <w:bCs/>
                <w:color w:val="000000"/>
                <w:sz w:val="20"/>
                <w:szCs w:val="20"/>
              </w:rPr>
              <w:t>30.06.2017</w:t>
            </w:r>
          </w:p>
        </w:tc>
      </w:tr>
      <w:tr w:rsidR="008F16FC" w:rsidRPr="008F16FC" w14:paraId="1AC88530" w14:textId="77777777" w:rsidTr="00BA304B">
        <w:trPr>
          <w:trHeight w:val="75"/>
        </w:trPr>
        <w:tc>
          <w:tcPr>
            <w:tcW w:w="6263" w:type="dxa"/>
            <w:tcBorders>
              <w:top w:val="nil"/>
              <w:left w:val="single" w:sz="8" w:space="0" w:color="auto"/>
              <w:bottom w:val="nil"/>
              <w:right w:val="nil"/>
            </w:tcBorders>
            <w:shd w:val="clear" w:color="auto" w:fill="auto"/>
            <w:noWrap/>
            <w:vAlign w:val="bottom"/>
            <w:hideMark/>
          </w:tcPr>
          <w:p w14:paraId="79DBA967" w14:textId="77777777" w:rsidR="008F16FC" w:rsidRPr="008F16FC" w:rsidRDefault="008F16FC" w:rsidP="008F16FC">
            <w:pPr>
              <w:rPr>
                <w:color w:val="000000"/>
                <w:sz w:val="20"/>
                <w:szCs w:val="20"/>
              </w:rPr>
            </w:pPr>
            <w:r w:rsidRPr="008F16FC">
              <w:rPr>
                <w:color w:val="000000"/>
                <w:sz w:val="20"/>
                <w:szCs w:val="20"/>
              </w:rPr>
              <w:t> </w:t>
            </w:r>
          </w:p>
        </w:tc>
        <w:tc>
          <w:tcPr>
            <w:tcW w:w="1340" w:type="dxa"/>
            <w:tcBorders>
              <w:top w:val="nil"/>
              <w:left w:val="nil"/>
              <w:bottom w:val="nil"/>
              <w:right w:val="nil"/>
            </w:tcBorders>
            <w:shd w:val="clear" w:color="auto" w:fill="auto"/>
            <w:noWrap/>
            <w:vAlign w:val="center"/>
            <w:hideMark/>
          </w:tcPr>
          <w:p w14:paraId="7AFEC495" w14:textId="77777777" w:rsidR="008F16FC" w:rsidRPr="008F16FC" w:rsidRDefault="008F16FC" w:rsidP="008F16FC">
            <w:pPr>
              <w:jc w:val="center"/>
              <w:rPr>
                <w:b/>
                <w:bCs/>
                <w:color w:val="000000"/>
                <w:sz w:val="20"/>
                <w:szCs w:val="20"/>
              </w:rPr>
            </w:pPr>
          </w:p>
        </w:tc>
      </w:tr>
      <w:tr w:rsidR="008F16FC" w:rsidRPr="008F16FC" w14:paraId="446A8EA3" w14:textId="77777777" w:rsidTr="00BA304B">
        <w:trPr>
          <w:trHeight w:val="402"/>
        </w:trPr>
        <w:tc>
          <w:tcPr>
            <w:tcW w:w="626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9AA3C0F" w14:textId="77777777" w:rsidR="008F16FC" w:rsidRPr="008F16FC" w:rsidRDefault="008F16FC" w:rsidP="008F16FC">
            <w:pPr>
              <w:rPr>
                <w:b/>
                <w:bCs/>
                <w:color w:val="000000"/>
                <w:sz w:val="20"/>
                <w:szCs w:val="20"/>
                <w:lang w:val="es-ES"/>
              </w:rPr>
            </w:pPr>
            <w:r w:rsidRPr="008F16FC">
              <w:rPr>
                <w:b/>
                <w:bCs/>
                <w:color w:val="000000"/>
                <w:sz w:val="20"/>
                <w:szCs w:val="20"/>
                <w:lang w:val="es-ES"/>
              </w:rPr>
              <w:t>Flujo neto de efectivo generado por las actividades operativas</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32CED913" w14:textId="77777777" w:rsidR="008F16FC" w:rsidRPr="008F16FC" w:rsidRDefault="008F16FC" w:rsidP="008F16FC">
            <w:pPr>
              <w:jc w:val="center"/>
              <w:rPr>
                <w:color w:val="000000"/>
                <w:sz w:val="20"/>
                <w:szCs w:val="20"/>
              </w:rPr>
            </w:pPr>
            <w:r w:rsidRPr="008F16FC">
              <w:rPr>
                <w:color w:val="000000"/>
                <w:sz w:val="20"/>
                <w:szCs w:val="20"/>
              </w:rPr>
              <w:t>(26.112)</w:t>
            </w:r>
          </w:p>
        </w:tc>
      </w:tr>
      <w:tr w:rsidR="008F16FC" w:rsidRPr="008F16FC" w14:paraId="5F5524F7" w14:textId="77777777" w:rsidTr="00BA304B">
        <w:trPr>
          <w:trHeight w:val="402"/>
        </w:trPr>
        <w:tc>
          <w:tcPr>
            <w:tcW w:w="6263" w:type="dxa"/>
            <w:tcBorders>
              <w:top w:val="nil"/>
              <w:left w:val="single" w:sz="8" w:space="0" w:color="auto"/>
              <w:bottom w:val="single" w:sz="4" w:space="0" w:color="auto"/>
              <w:right w:val="single" w:sz="4" w:space="0" w:color="auto"/>
            </w:tcBorders>
            <w:shd w:val="clear" w:color="auto" w:fill="auto"/>
            <w:vAlign w:val="center"/>
            <w:hideMark/>
          </w:tcPr>
          <w:p w14:paraId="46EEC9CC" w14:textId="77777777" w:rsidR="008F16FC" w:rsidRPr="008F16FC" w:rsidRDefault="008F16FC" w:rsidP="008F16FC">
            <w:pPr>
              <w:rPr>
                <w:b/>
                <w:bCs/>
                <w:color w:val="000000"/>
                <w:sz w:val="20"/>
                <w:szCs w:val="20"/>
                <w:lang w:val="es-ES"/>
              </w:rPr>
            </w:pPr>
            <w:r w:rsidRPr="008F16FC">
              <w:rPr>
                <w:b/>
                <w:bCs/>
                <w:color w:val="000000"/>
                <w:sz w:val="20"/>
                <w:szCs w:val="20"/>
                <w:lang w:val="es-ES"/>
              </w:rPr>
              <w:t>Flujo neto de efectivo utilizado en las actividades de inversión</w:t>
            </w:r>
          </w:p>
        </w:tc>
        <w:tc>
          <w:tcPr>
            <w:tcW w:w="1340" w:type="dxa"/>
            <w:tcBorders>
              <w:top w:val="nil"/>
              <w:left w:val="nil"/>
              <w:bottom w:val="single" w:sz="4" w:space="0" w:color="auto"/>
              <w:right w:val="single" w:sz="4" w:space="0" w:color="auto"/>
            </w:tcBorders>
            <w:shd w:val="clear" w:color="auto" w:fill="auto"/>
            <w:noWrap/>
            <w:vAlign w:val="bottom"/>
            <w:hideMark/>
          </w:tcPr>
          <w:p w14:paraId="51C074FE" w14:textId="77777777" w:rsidR="008F16FC" w:rsidRPr="008F16FC" w:rsidRDefault="008F16FC" w:rsidP="008F16FC">
            <w:pPr>
              <w:jc w:val="center"/>
              <w:rPr>
                <w:color w:val="000000"/>
                <w:sz w:val="20"/>
                <w:szCs w:val="20"/>
              </w:rPr>
            </w:pPr>
            <w:r w:rsidRPr="008F16FC">
              <w:rPr>
                <w:color w:val="000000"/>
                <w:sz w:val="20"/>
                <w:szCs w:val="20"/>
              </w:rPr>
              <w:t>(217.633)</w:t>
            </w:r>
          </w:p>
        </w:tc>
      </w:tr>
      <w:tr w:rsidR="008F16FC" w:rsidRPr="008F16FC" w14:paraId="11AFB803" w14:textId="77777777" w:rsidTr="00BA304B">
        <w:trPr>
          <w:trHeight w:val="402"/>
        </w:trPr>
        <w:tc>
          <w:tcPr>
            <w:tcW w:w="6263" w:type="dxa"/>
            <w:tcBorders>
              <w:top w:val="nil"/>
              <w:left w:val="single" w:sz="8" w:space="0" w:color="auto"/>
              <w:bottom w:val="single" w:sz="4" w:space="0" w:color="auto"/>
              <w:right w:val="single" w:sz="4" w:space="0" w:color="auto"/>
            </w:tcBorders>
            <w:shd w:val="clear" w:color="auto" w:fill="auto"/>
            <w:vAlign w:val="center"/>
            <w:hideMark/>
          </w:tcPr>
          <w:p w14:paraId="6077F8C3" w14:textId="77777777" w:rsidR="008F16FC" w:rsidRPr="008F16FC" w:rsidRDefault="008F16FC" w:rsidP="008F16FC">
            <w:pPr>
              <w:rPr>
                <w:b/>
                <w:bCs/>
                <w:color w:val="000000"/>
                <w:sz w:val="20"/>
                <w:szCs w:val="20"/>
                <w:lang w:val="es-ES"/>
              </w:rPr>
            </w:pPr>
            <w:r w:rsidRPr="008F16FC">
              <w:rPr>
                <w:b/>
                <w:bCs/>
                <w:color w:val="000000"/>
                <w:sz w:val="20"/>
                <w:szCs w:val="20"/>
                <w:lang w:val="es-ES"/>
              </w:rPr>
              <w:t>Flujo de efectivo procedente de las actividades de financiación</w:t>
            </w:r>
          </w:p>
        </w:tc>
        <w:tc>
          <w:tcPr>
            <w:tcW w:w="1340" w:type="dxa"/>
            <w:tcBorders>
              <w:top w:val="nil"/>
              <w:left w:val="nil"/>
              <w:bottom w:val="single" w:sz="4" w:space="0" w:color="auto"/>
              <w:right w:val="single" w:sz="4" w:space="0" w:color="auto"/>
            </w:tcBorders>
            <w:shd w:val="clear" w:color="auto" w:fill="auto"/>
            <w:noWrap/>
            <w:vAlign w:val="bottom"/>
            <w:hideMark/>
          </w:tcPr>
          <w:p w14:paraId="758F334B" w14:textId="77777777" w:rsidR="008F16FC" w:rsidRPr="008F16FC" w:rsidRDefault="008F16FC" w:rsidP="008F16FC">
            <w:pPr>
              <w:jc w:val="center"/>
              <w:rPr>
                <w:color w:val="000000"/>
                <w:sz w:val="20"/>
                <w:szCs w:val="20"/>
              </w:rPr>
            </w:pPr>
            <w:r w:rsidRPr="008F16FC">
              <w:rPr>
                <w:color w:val="000000"/>
                <w:sz w:val="20"/>
                <w:szCs w:val="20"/>
              </w:rPr>
              <w:t>(127.909)</w:t>
            </w:r>
          </w:p>
        </w:tc>
      </w:tr>
      <w:tr w:rsidR="008F16FC" w:rsidRPr="008F16FC" w14:paraId="19A95215" w14:textId="77777777" w:rsidTr="00BA304B">
        <w:trPr>
          <w:trHeight w:val="402"/>
        </w:trPr>
        <w:tc>
          <w:tcPr>
            <w:tcW w:w="6263" w:type="dxa"/>
            <w:tcBorders>
              <w:top w:val="nil"/>
              <w:left w:val="single" w:sz="8" w:space="0" w:color="auto"/>
              <w:bottom w:val="single" w:sz="8" w:space="0" w:color="auto"/>
              <w:right w:val="single" w:sz="4" w:space="0" w:color="auto"/>
            </w:tcBorders>
            <w:shd w:val="clear" w:color="auto" w:fill="auto"/>
            <w:vAlign w:val="center"/>
            <w:hideMark/>
          </w:tcPr>
          <w:p w14:paraId="1D3316FF" w14:textId="77777777" w:rsidR="008F16FC" w:rsidRPr="008F16FC" w:rsidRDefault="008F16FC" w:rsidP="008F16FC">
            <w:pPr>
              <w:rPr>
                <w:b/>
                <w:bCs/>
                <w:color w:val="000000"/>
                <w:sz w:val="20"/>
                <w:szCs w:val="20"/>
                <w:lang w:val="es-ES"/>
              </w:rPr>
            </w:pPr>
            <w:r w:rsidRPr="008F16FC">
              <w:rPr>
                <w:b/>
                <w:bCs/>
                <w:color w:val="000000"/>
                <w:sz w:val="20"/>
                <w:szCs w:val="20"/>
                <w:lang w:val="es-ES"/>
              </w:rPr>
              <w:t>Flujo neto del efectivo del ejercicio</w:t>
            </w:r>
          </w:p>
        </w:tc>
        <w:tc>
          <w:tcPr>
            <w:tcW w:w="1340" w:type="dxa"/>
            <w:tcBorders>
              <w:top w:val="nil"/>
              <w:left w:val="nil"/>
              <w:bottom w:val="single" w:sz="8" w:space="0" w:color="auto"/>
              <w:right w:val="single" w:sz="4" w:space="0" w:color="auto"/>
            </w:tcBorders>
            <w:shd w:val="clear" w:color="auto" w:fill="auto"/>
            <w:noWrap/>
            <w:vAlign w:val="bottom"/>
            <w:hideMark/>
          </w:tcPr>
          <w:p w14:paraId="4C05E830" w14:textId="77777777" w:rsidR="008F16FC" w:rsidRPr="008F16FC" w:rsidRDefault="008F16FC" w:rsidP="008F16FC">
            <w:pPr>
              <w:jc w:val="center"/>
              <w:rPr>
                <w:b/>
                <w:bCs/>
                <w:color w:val="000000"/>
                <w:sz w:val="20"/>
                <w:szCs w:val="20"/>
              </w:rPr>
            </w:pPr>
            <w:r w:rsidRPr="008F16FC">
              <w:rPr>
                <w:b/>
                <w:bCs/>
                <w:color w:val="000000"/>
                <w:sz w:val="20"/>
                <w:szCs w:val="20"/>
              </w:rPr>
              <w:t>(371.654)</w:t>
            </w:r>
          </w:p>
        </w:tc>
      </w:tr>
    </w:tbl>
    <w:p w14:paraId="0FBE9E8A" w14:textId="77777777" w:rsidR="008F16FC" w:rsidRPr="008F16FC" w:rsidRDefault="008F16FC" w:rsidP="008F16FC">
      <w:pPr>
        <w:jc w:val="both"/>
        <w:rPr>
          <w:rFonts w:eastAsia="Calibri"/>
          <w:sz w:val="20"/>
          <w:szCs w:val="20"/>
          <w:lang w:val="es-MX"/>
        </w:rPr>
      </w:pPr>
    </w:p>
    <w:p w14:paraId="1ED4BC5F" w14:textId="77777777" w:rsidR="008F16FC" w:rsidRPr="008F16FC" w:rsidRDefault="008F16FC" w:rsidP="008F16FC">
      <w:pPr>
        <w:jc w:val="both"/>
        <w:rPr>
          <w:rFonts w:eastAsia="Calibri"/>
          <w:sz w:val="20"/>
          <w:szCs w:val="20"/>
          <w:lang w:val="es-MX"/>
        </w:rPr>
      </w:pPr>
      <w:r w:rsidRPr="008F16FC">
        <w:rPr>
          <w:rFonts w:eastAsia="Calibri"/>
          <w:sz w:val="20"/>
          <w:szCs w:val="20"/>
          <w:lang w:val="es-MX"/>
        </w:rPr>
        <w:t>Se detalla a continuación un resumen de la generación o aplicación de fondos del período intermedio de tres meses finalizado el 30 de septiembre de 2019, en forma comparativa con el ejercicio económico finalizado el 30 de junio de 2019, expresados en miles de Pesos:</w:t>
      </w:r>
    </w:p>
    <w:p w14:paraId="624B50BE" w14:textId="77777777" w:rsidR="008F16FC" w:rsidRPr="008F16FC" w:rsidRDefault="008F16FC" w:rsidP="008F16FC">
      <w:pPr>
        <w:tabs>
          <w:tab w:val="left" w:pos="7371"/>
        </w:tabs>
        <w:spacing w:line="240" w:lineRule="atLeast"/>
        <w:jc w:val="both"/>
        <w:outlineLvl w:val="0"/>
        <w:rPr>
          <w:rFonts w:eastAsia="Calibri"/>
          <w:sz w:val="20"/>
          <w:szCs w:val="20"/>
          <w:lang w:val="es-MX"/>
        </w:rPr>
      </w:pPr>
    </w:p>
    <w:tbl>
      <w:tblPr>
        <w:tblW w:w="9100" w:type="dxa"/>
        <w:tblInd w:w="55" w:type="dxa"/>
        <w:tblCellMar>
          <w:left w:w="70" w:type="dxa"/>
          <w:right w:w="70" w:type="dxa"/>
        </w:tblCellMar>
        <w:tblLook w:val="04A0" w:firstRow="1" w:lastRow="0" w:firstColumn="1" w:lastColumn="0" w:noHBand="0" w:noVBand="1"/>
      </w:tblPr>
      <w:tblGrid>
        <w:gridCol w:w="6420"/>
        <w:gridCol w:w="1340"/>
        <w:gridCol w:w="1340"/>
      </w:tblGrid>
      <w:tr w:rsidR="008F16FC" w:rsidRPr="008F16FC" w14:paraId="0711DC35" w14:textId="77777777" w:rsidTr="008F16FC">
        <w:trPr>
          <w:trHeight w:val="270"/>
        </w:trPr>
        <w:tc>
          <w:tcPr>
            <w:tcW w:w="642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E6566C1" w14:textId="77777777" w:rsidR="008F16FC" w:rsidRPr="008F16FC" w:rsidRDefault="008F16FC" w:rsidP="008F16FC">
            <w:pPr>
              <w:jc w:val="center"/>
              <w:rPr>
                <w:b/>
                <w:bCs/>
                <w:color w:val="000000"/>
                <w:sz w:val="20"/>
                <w:szCs w:val="20"/>
                <w:lang w:val="es-ES"/>
              </w:rPr>
            </w:pPr>
            <w:r w:rsidRPr="008F16FC">
              <w:rPr>
                <w:b/>
                <w:bCs/>
                <w:color w:val="000000"/>
                <w:sz w:val="20"/>
                <w:szCs w:val="20"/>
                <w:lang w:val="es-ES"/>
              </w:rPr>
              <w:t>Estado de Flujo de Efectivo - Consolidado</w:t>
            </w:r>
          </w:p>
        </w:tc>
        <w:tc>
          <w:tcPr>
            <w:tcW w:w="1340" w:type="dxa"/>
            <w:tcBorders>
              <w:top w:val="single" w:sz="8" w:space="0" w:color="auto"/>
              <w:left w:val="nil"/>
              <w:bottom w:val="single" w:sz="4" w:space="0" w:color="auto"/>
              <w:right w:val="single" w:sz="4" w:space="0" w:color="auto"/>
            </w:tcBorders>
            <w:shd w:val="clear" w:color="auto" w:fill="auto"/>
            <w:noWrap/>
            <w:vAlign w:val="center"/>
            <w:hideMark/>
          </w:tcPr>
          <w:p w14:paraId="1324033C" w14:textId="77777777" w:rsidR="008F16FC" w:rsidRPr="008F16FC" w:rsidRDefault="008F16FC" w:rsidP="008F16FC">
            <w:pPr>
              <w:jc w:val="center"/>
              <w:rPr>
                <w:b/>
                <w:bCs/>
                <w:color w:val="000000"/>
                <w:sz w:val="20"/>
                <w:szCs w:val="20"/>
              </w:rPr>
            </w:pPr>
            <w:r w:rsidRPr="008F16FC">
              <w:rPr>
                <w:b/>
                <w:bCs/>
                <w:color w:val="000000"/>
                <w:sz w:val="20"/>
                <w:szCs w:val="20"/>
              </w:rPr>
              <w:t>Septiembre 2019</w:t>
            </w:r>
          </w:p>
        </w:tc>
        <w:tc>
          <w:tcPr>
            <w:tcW w:w="1340" w:type="dxa"/>
            <w:tcBorders>
              <w:top w:val="single" w:sz="4" w:space="0" w:color="auto"/>
              <w:left w:val="nil"/>
              <w:bottom w:val="single" w:sz="4" w:space="0" w:color="auto"/>
              <w:right w:val="single" w:sz="4" w:space="0" w:color="auto"/>
            </w:tcBorders>
            <w:vAlign w:val="center"/>
          </w:tcPr>
          <w:p w14:paraId="679CD7DB" w14:textId="77777777" w:rsidR="008F16FC" w:rsidRPr="008F16FC" w:rsidRDefault="008F16FC" w:rsidP="008F16FC">
            <w:pPr>
              <w:jc w:val="center"/>
              <w:rPr>
                <w:b/>
                <w:bCs/>
                <w:color w:val="000000"/>
                <w:sz w:val="20"/>
                <w:szCs w:val="20"/>
              </w:rPr>
            </w:pPr>
            <w:r w:rsidRPr="008F16FC">
              <w:rPr>
                <w:b/>
                <w:bCs/>
                <w:color w:val="000000"/>
                <w:sz w:val="20"/>
                <w:szCs w:val="20"/>
              </w:rPr>
              <w:t xml:space="preserve">Junio 2019 </w:t>
            </w:r>
          </w:p>
        </w:tc>
      </w:tr>
      <w:tr w:rsidR="008F16FC" w:rsidRPr="008F16FC" w14:paraId="253F225A" w14:textId="77777777" w:rsidTr="008F16FC">
        <w:trPr>
          <w:trHeight w:val="75"/>
        </w:trPr>
        <w:tc>
          <w:tcPr>
            <w:tcW w:w="6420" w:type="dxa"/>
            <w:tcBorders>
              <w:top w:val="nil"/>
              <w:left w:val="single" w:sz="8" w:space="0" w:color="auto"/>
              <w:bottom w:val="nil"/>
              <w:right w:val="nil"/>
            </w:tcBorders>
            <w:shd w:val="clear" w:color="auto" w:fill="auto"/>
            <w:noWrap/>
            <w:vAlign w:val="bottom"/>
            <w:hideMark/>
          </w:tcPr>
          <w:p w14:paraId="53398318" w14:textId="77777777" w:rsidR="008F16FC" w:rsidRPr="008F16FC" w:rsidRDefault="008F16FC" w:rsidP="008F16FC">
            <w:pPr>
              <w:rPr>
                <w:color w:val="000000"/>
                <w:sz w:val="20"/>
                <w:szCs w:val="20"/>
              </w:rPr>
            </w:pPr>
            <w:r w:rsidRPr="008F16FC">
              <w:rPr>
                <w:color w:val="000000"/>
                <w:sz w:val="20"/>
                <w:szCs w:val="20"/>
              </w:rPr>
              <w:t> </w:t>
            </w:r>
          </w:p>
        </w:tc>
        <w:tc>
          <w:tcPr>
            <w:tcW w:w="1340" w:type="dxa"/>
            <w:tcBorders>
              <w:top w:val="single" w:sz="4" w:space="0" w:color="auto"/>
              <w:left w:val="nil"/>
              <w:bottom w:val="single" w:sz="4" w:space="0" w:color="auto"/>
            </w:tcBorders>
            <w:shd w:val="clear" w:color="auto" w:fill="auto"/>
            <w:noWrap/>
            <w:vAlign w:val="center"/>
            <w:hideMark/>
          </w:tcPr>
          <w:p w14:paraId="6066FF24" w14:textId="77777777" w:rsidR="008F16FC" w:rsidRPr="008F16FC" w:rsidRDefault="008F16FC" w:rsidP="008F16FC">
            <w:pPr>
              <w:jc w:val="center"/>
              <w:rPr>
                <w:b/>
                <w:bCs/>
                <w:color w:val="000000"/>
                <w:sz w:val="20"/>
                <w:szCs w:val="20"/>
              </w:rPr>
            </w:pPr>
          </w:p>
        </w:tc>
        <w:tc>
          <w:tcPr>
            <w:tcW w:w="1340" w:type="dxa"/>
            <w:tcBorders>
              <w:top w:val="single" w:sz="4" w:space="0" w:color="auto"/>
              <w:bottom w:val="single" w:sz="4" w:space="0" w:color="auto"/>
            </w:tcBorders>
            <w:vAlign w:val="center"/>
          </w:tcPr>
          <w:p w14:paraId="6A56F698" w14:textId="77777777" w:rsidR="008F16FC" w:rsidRPr="008F16FC" w:rsidRDefault="008F16FC" w:rsidP="008F16FC">
            <w:pPr>
              <w:jc w:val="center"/>
              <w:rPr>
                <w:b/>
                <w:bCs/>
                <w:color w:val="000000"/>
                <w:sz w:val="20"/>
                <w:szCs w:val="20"/>
              </w:rPr>
            </w:pPr>
          </w:p>
        </w:tc>
      </w:tr>
      <w:tr w:rsidR="008F16FC" w:rsidRPr="008F16FC" w14:paraId="64ADE8BE" w14:textId="77777777" w:rsidTr="008F16FC">
        <w:trPr>
          <w:trHeight w:val="402"/>
        </w:trPr>
        <w:tc>
          <w:tcPr>
            <w:tcW w:w="64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2159736" w14:textId="77777777" w:rsidR="008F16FC" w:rsidRPr="008F16FC" w:rsidRDefault="008F16FC" w:rsidP="008F16FC">
            <w:pPr>
              <w:rPr>
                <w:b/>
                <w:bCs/>
                <w:color w:val="000000"/>
                <w:sz w:val="20"/>
                <w:szCs w:val="20"/>
                <w:lang w:val="es-ES"/>
              </w:rPr>
            </w:pPr>
            <w:r w:rsidRPr="008F16FC">
              <w:rPr>
                <w:b/>
                <w:bCs/>
                <w:color w:val="000000"/>
                <w:sz w:val="20"/>
                <w:szCs w:val="20"/>
                <w:lang w:val="es-ES"/>
              </w:rPr>
              <w:t>Flujo neto de efectivo generado por las actividades operativas</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156B528" w14:textId="77777777" w:rsidR="008F16FC" w:rsidRPr="008F16FC" w:rsidRDefault="008F16FC" w:rsidP="008F16FC">
            <w:pPr>
              <w:jc w:val="center"/>
              <w:rPr>
                <w:color w:val="000000"/>
                <w:sz w:val="20"/>
                <w:szCs w:val="20"/>
                <w:lang w:val="es-MX"/>
              </w:rPr>
            </w:pPr>
            <w:r w:rsidRPr="008F16FC">
              <w:rPr>
                <w:color w:val="000000"/>
                <w:sz w:val="20"/>
                <w:szCs w:val="20"/>
                <w:lang w:val="es-MX"/>
              </w:rPr>
              <w:t>357.364</w:t>
            </w:r>
          </w:p>
        </w:tc>
        <w:tc>
          <w:tcPr>
            <w:tcW w:w="1340" w:type="dxa"/>
            <w:tcBorders>
              <w:top w:val="single" w:sz="4" w:space="0" w:color="auto"/>
              <w:left w:val="nil"/>
              <w:bottom w:val="single" w:sz="4" w:space="0" w:color="auto"/>
              <w:right w:val="single" w:sz="4" w:space="0" w:color="auto"/>
            </w:tcBorders>
            <w:vAlign w:val="bottom"/>
          </w:tcPr>
          <w:p w14:paraId="46707E66" w14:textId="77777777" w:rsidR="008F16FC" w:rsidRPr="008F16FC" w:rsidRDefault="008F16FC" w:rsidP="008F16FC">
            <w:pPr>
              <w:jc w:val="center"/>
              <w:rPr>
                <w:color w:val="000000"/>
                <w:sz w:val="20"/>
                <w:szCs w:val="20"/>
                <w:lang w:val="es-MX"/>
              </w:rPr>
            </w:pPr>
            <w:r w:rsidRPr="008F16FC">
              <w:rPr>
                <w:color w:val="000000"/>
                <w:sz w:val="20"/>
                <w:szCs w:val="20"/>
              </w:rPr>
              <w:t>1.188.028</w:t>
            </w:r>
          </w:p>
        </w:tc>
      </w:tr>
      <w:tr w:rsidR="008F16FC" w:rsidRPr="008F16FC" w14:paraId="44E4C5CA" w14:textId="77777777" w:rsidTr="008F16FC">
        <w:trPr>
          <w:trHeight w:val="402"/>
        </w:trPr>
        <w:tc>
          <w:tcPr>
            <w:tcW w:w="6420" w:type="dxa"/>
            <w:tcBorders>
              <w:top w:val="nil"/>
              <w:left w:val="single" w:sz="8" w:space="0" w:color="auto"/>
              <w:bottom w:val="single" w:sz="4" w:space="0" w:color="auto"/>
              <w:right w:val="single" w:sz="4" w:space="0" w:color="auto"/>
            </w:tcBorders>
            <w:shd w:val="clear" w:color="auto" w:fill="auto"/>
            <w:vAlign w:val="center"/>
            <w:hideMark/>
          </w:tcPr>
          <w:p w14:paraId="7EC6AB1E" w14:textId="77777777" w:rsidR="008F16FC" w:rsidRPr="008F16FC" w:rsidRDefault="008F16FC" w:rsidP="008F16FC">
            <w:pPr>
              <w:rPr>
                <w:b/>
                <w:bCs/>
                <w:color w:val="000000"/>
                <w:sz w:val="20"/>
                <w:szCs w:val="20"/>
                <w:lang w:val="es-ES"/>
              </w:rPr>
            </w:pPr>
            <w:r w:rsidRPr="008F16FC">
              <w:rPr>
                <w:b/>
                <w:bCs/>
                <w:color w:val="000000"/>
                <w:sz w:val="20"/>
                <w:szCs w:val="20"/>
                <w:lang w:val="es-ES"/>
              </w:rPr>
              <w:t>Flujo neto de efectivo utilizado en las actividades de inversión</w:t>
            </w:r>
          </w:p>
        </w:tc>
        <w:tc>
          <w:tcPr>
            <w:tcW w:w="1340" w:type="dxa"/>
            <w:tcBorders>
              <w:top w:val="nil"/>
              <w:left w:val="nil"/>
              <w:bottom w:val="single" w:sz="4" w:space="0" w:color="auto"/>
              <w:right w:val="single" w:sz="4" w:space="0" w:color="auto"/>
            </w:tcBorders>
            <w:shd w:val="clear" w:color="auto" w:fill="auto"/>
            <w:noWrap/>
            <w:vAlign w:val="bottom"/>
          </w:tcPr>
          <w:p w14:paraId="269FA5E5" w14:textId="77777777" w:rsidR="008F16FC" w:rsidRPr="008F16FC" w:rsidRDefault="008F16FC" w:rsidP="008F16FC">
            <w:pPr>
              <w:jc w:val="center"/>
              <w:rPr>
                <w:color w:val="000000"/>
                <w:sz w:val="20"/>
                <w:szCs w:val="20"/>
                <w:lang w:val="es-MX"/>
              </w:rPr>
            </w:pPr>
            <w:r w:rsidRPr="008F16FC">
              <w:rPr>
                <w:color w:val="000000"/>
                <w:sz w:val="20"/>
                <w:szCs w:val="20"/>
                <w:lang w:val="es-MX"/>
              </w:rPr>
              <w:t>(19.731)</w:t>
            </w:r>
          </w:p>
        </w:tc>
        <w:tc>
          <w:tcPr>
            <w:tcW w:w="1340" w:type="dxa"/>
            <w:tcBorders>
              <w:top w:val="single" w:sz="4" w:space="0" w:color="auto"/>
              <w:left w:val="nil"/>
              <w:bottom w:val="single" w:sz="4" w:space="0" w:color="auto"/>
              <w:right w:val="single" w:sz="4" w:space="0" w:color="auto"/>
            </w:tcBorders>
            <w:vAlign w:val="bottom"/>
          </w:tcPr>
          <w:p w14:paraId="55AC0FBE" w14:textId="77777777" w:rsidR="008F16FC" w:rsidRPr="008F16FC" w:rsidRDefault="008F16FC" w:rsidP="008F16FC">
            <w:pPr>
              <w:jc w:val="center"/>
              <w:rPr>
                <w:color w:val="000000"/>
                <w:sz w:val="20"/>
                <w:szCs w:val="20"/>
                <w:lang w:val="es-MX"/>
              </w:rPr>
            </w:pPr>
            <w:r w:rsidRPr="008F16FC">
              <w:rPr>
                <w:color w:val="000000"/>
                <w:sz w:val="20"/>
                <w:szCs w:val="20"/>
              </w:rPr>
              <w:t>(115.590)</w:t>
            </w:r>
          </w:p>
        </w:tc>
      </w:tr>
      <w:tr w:rsidR="008F16FC" w:rsidRPr="008F16FC" w14:paraId="4634EBC1" w14:textId="77777777" w:rsidTr="008F16FC">
        <w:trPr>
          <w:trHeight w:val="402"/>
        </w:trPr>
        <w:tc>
          <w:tcPr>
            <w:tcW w:w="6420" w:type="dxa"/>
            <w:tcBorders>
              <w:top w:val="nil"/>
              <w:left w:val="single" w:sz="8" w:space="0" w:color="auto"/>
              <w:bottom w:val="single" w:sz="4" w:space="0" w:color="auto"/>
              <w:right w:val="single" w:sz="4" w:space="0" w:color="auto"/>
            </w:tcBorders>
            <w:shd w:val="clear" w:color="auto" w:fill="auto"/>
            <w:vAlign w:val="center"/>
            <w:hideMark/>
          </w:tcPr>
          <w:p w14:paraId="1784A117" w14:textId="77777777" w:rsidR="008F16FC" w:rsidRPr="008F16FC" w:rsidRDefault="008F16FC" w:rsidP="008F16FC">
            <w:pPr>
              <w:rPr>
                <w:b/>
                <w:bCs/>
                <w:color w:val="000000"/>
                <w:sz w:val="20"/>
                <w:szCs w:val="20"/>
                <w:lang w:val="es-ES"/>
              </w:rPr>
            </w:pPr>
            <w:r w:rsidRPr="008F16FC">
              <w:rPr>
                <w:b/>
                <w:bCs/>
                <w:color w:val="000000"/>
                <w:sz w:val="20"/>
                <w:szCs w:val="20"/>
                <w:lang w:val="es-ES"/>
              </w:rPr>
              <w:t>Flujo de efectivo procedente de las actividades de financiación</w:t>
            </w:r>
          </w:p>
        </w:tc>
        <w:tc>
          <w:tcPr>
            <w:tcW w:w="1340" w:type="dxa"/>
            <w:tcBorders>
              <w:top w:val="nil"/>
              <w:left w:val="nil"/>
              <w:bottom w:val="single" w:sz="4" w:space="0" w:color="auto"/>
              <w:right w:val="single" w:sz="4" w:space="0" w:color="auto"/>
            </w:tcBorders>
            <w:shd w:val="clear" w:color="auto" w:fill="auto"/>
            <w:noWrap/>
            <w:vAlign w:val="bottom"/>
          </w:tcPr>
          <w:p w14:paraId="5624A680" w14:textId="77777777" w:rsidR="008F16FC" w:rsidRPr="008F16FC" w:rsidRDefault="008F16FC" w:rsidP="008F16FC">
            <w:pPr>
              <w:jc w:val="center"/>
              <w:rPr>
                <w:color w:val="000000"/>
                <w:sz w:val="20"/>
                <w:szCs w:val="20"/>
                <w:lang w:val="es-MX"/>
              </w:rPr>
            </w:pPr>
            <w:r w:rsidRPr="008F16FC">
              <w:rPr>
                <w:color w:val="000000"/>
                <w:sz w:val="20"/>
                <w:szCs w:val="20"/>
                <w:lang w:val="es-MX"/>
              </w:rPr>
              <w:t>(340.828)</w:t>
            </w:r>
          </w:p>
        </w:tc>
        <w:tc>
          <w:tcPr>
            <w:tcW w:w="1340" w:type="dxa"/>
            <w:tcBorders>
              <w:top w:val="single" w:sz="4" w:space="0" w:color="auto"/>
              <w:left w:val="nil"/>
              <w:bottom w:val="single" w:sz="4" w:space="0" w:color="auto"/>
              <w:right w:val="single" w:sz="4" w:space="0" w:color="auto"/>
            </w:tcBorders>
            <w:vAlign w:val="bottom"/>
          </w:tcPr>
          <w:p w14:paraId="571470B6" w14:textId="77777777" w:rsidR="008F16FC" w:rsidRPr="008F16FC" w:rsidRDefault="008F16FC" w:rsidP="008F16FC">
            <w:pPr>
              <w:jc w:val="center"/>
              <w:rPr>
                <w:color w:val="000000"/>
                <w:sz w:val="20"/>
                <w:szCs w:val="20"/>
                <w:lang w:val="es-MX"/>
              </w:rPr>
            </w:pPr>
            <w:r w:rsidRPr="008F16FC">
              <w:rPr>
                <w:color w:val="000000"/>
                <w:sz w:val="20"/>
                <w:szCs w:val="20"/>
              </w:rPr>
              <w:t>(928.297)</w:t>
            </w:r>
          </w:p>
        </w:tc>
      </w:tr>
      <w:tr w:rsidR="008F16FC" w:rsidRPr="008F16FC" w14:paraId="3D55C69D" w14:textId="77777777" w:rsidTr="008F16FC">
        <w:trPr>
          <w:trHeight w:val="402"/>
        </w:trPr>
        <w:tc>
          <w:tcPr>
            <w:tcW w:w="6420" w:type="dxa"/>
            <w:tcBorders>
              <w:top w:val="nil"/>
              <w:left w:val="single" w:sz="8" w:space="0" w:color="auto"/>
              <w:bottom w:val="single" w:sz="8" w:space="0" w:color="auto"/>
              <w:right w:val="single" w:sz="4" w:space="0" w:color="auto"/>
            </w:tcBorders>
            <w:shd w:val="clear" w:color="auto" w:fill="auto"/>
            <w:vAlign w:val="center"/>
            <w:hideMark/>
          </w:tcPr>
          <w:p w14:paraId="77452BB1" w14:textId="77777777" w:rsidR="008F16FC" w:rsidRPr="008F16FC" w:rsidRDefault="008F16FC" w:rsidP="008F16FC">
            <w:pPr>
              <w:rPr>
                <w:b/>
                <w:bCs/>
                <w:color w:val="000000"/>
                <w:sz w:val="20"/>
                <w:szCs w:val="20"/>
                <w:lang w:val="es-ES"/>
              </w:rPr>
            </w:pPr>
            <w:r w:rsidRPr="008F16FC">
              <w:rPr>
                <w:b/>
                <w:bCs/>
                <w:color w:val="000000"/>
                <w:sz w:val="20"/>
                <w:szCs w:val="20"/>
                <w:lang w:val="es-ES"/>
              </w:rPr>
              <w:t>Flujo neto del efectivo del ejercicio</w:t>
            </w:r>
          </w:p>
        </w:tc>
        <w:tc>
          <w:tcPr>
            <w:tcW w:w="1340" w:type="dxa"/>
            <w:tcBorders>
              <w:top w:val="nil"/>
              <w:left w:val="nil"/>
              <w:bottom w:val="single" w:sz="8" w:space="0" w:color="auto"/>
              <w:right w:val="single" w:sz="4" w:space="0" w:color="auto"/>
            </w:tcBorders>
            <w:shd w:val="clear" w:color="auto" w:fill="auto"/>
            <w:noWrap/>
            <w:vAlign w:val="bottom"/>
          </w:tcPr>
          <w:p w14:paraId="33AA2AAD" w14:textId="77777777" w:rsidR="008F16FC" w:rsidRPr="008F16FC" w:rsidRDefault="008F16FC" w:rsidP="008F16FC">
            <w:pPr>
              <w:jc w:val="center"/>
              <w:rPr>
                <w:b/>
                <w:bCs/>
                <w:color w:val="000000"/>
                <w:sz w:val="20"/>
                <w:szCs w:val="20"/>
                <w:lang w:val="es-MX"/>
              </w:rPr>
            </w:pPr>
            <w:r w:rsidRPr="008F16FC">
              <w:rPr>
                <w:b/>
                <w:bCs/>
                <w:color w:val="000000"/>
                <w:sz w:val="20"/>
                <w:szCs w:val="20"/>
                <w:lang w:val="es-MX"/>
              </w:rPr>
              <w:t xml:space="preserve">      (3.194)</w:t>
            </w:r>
          </w:p>
        </w:tc>
        <w:tc>
          <w:tcPr>
            <w:tcW w:w="1340" w:type="dxa"/>
            <w:tcBorders>
              <w:top w:val="single" w:sz="4" w:space="0" w:color="auto"/>
              <w:left w:val="nil"/>
              <w:bottom w:val="single" w:sz="4" w:space="0" w:color="auto"/>
              <w:right w:val="single" w:sz="4" w:space="0" w:color="auto"/>
            </w:tcBorders>
            <w:vAlign w:val="bottom"/>
          </w:tcPr>
          <w:p w14:paraId="2233EE9D" w14:textId="77777777" w:rsidR="008F16FC" w:rsidRPr="008F16FC" w:rsidRDefault="008F16FC" w:rsidP="008F16FC">
            <w:pPr>
              <w:jc w:val="center"/>
              <w:rPr>
                <w:b/>
                <w:bCs/>
                <w:color w:val="000000"/>
                <w:sz w:val="20"/>
                <w:szCs w:val="20"/>
                <w:lang w:val="es-MX"/>
              </w:rPr>
            </w:pPr>
            <w:r w:rsidRPr="008F16FC">
              <w:rPr>
                <w:b/>
                <w:bCs/>
                <w:color w:val="000000"/>
                <w:sz w:val="20"/>
                <w:szCs w:val="20"/>
              </w:rPr>
              <w:t>144.141</w:t>
            </w:r>
          </w:p>
        </w:tc>
      </w:tr>
    </w:tbl>
    <w:p w14:paraId="1EB15D1D" w14:textId="77777777" w:rsidR="008F16FC" w:rsidRPr="008F16FC" w:rsidRDefault="008F16FC" w:rsidP="008F16FC">
      <w:pPr>
        <w:jc w:val="both"/>
        <w:rPr>
          <w:rFonts w:eastAsia="Calibri"/>
          <w:sz w:val="20"/>
          <w:szCs w:val="20"/>
          <w:lang w:val="es-MX"/>
        </w:rPr>
      </w:pPr>
    </w:p>
    <w:p w14:paraId="154DE07A" w14:textId="77777777" w:rsidR="008F16FC" w:rsidRPr="008F16FC" w:rsidRDefault="008F16FC" w:rsidP="008F16FC">
      <w:pPr>
        <w:jc w:val="both"/>
        <w:rPr>
          <w:rFonts w:eastAsia="Calibri"/>
          <w:sz w:val="20"/>
          <w:szCs w:val="20"/>
          <w:lang w:val="es-MX"/>
        </w:rPr>
      </w:pPr>
      <w:bookmarkStart w:id="47" w:name="_Hlk14254410"/>
      <w:r w:rsidRPr="008F16FC">
        <w:rPr>
          <w:rFonts w:eastAsia="Calibri"/>
          <w:sz w:val="20"/>
          <w:szCs w:val="20"/>
          <w:lang w:val="es-MX"/>
        </w:rPr>
        <w:t>A continuación, se detalla el nivel de inversión de la Compañía en los ejercicios económicos anuales finalizados el 30 de junio de 2019 y 2018, respecto de sus ventas expresados en miles de Pesos.</w:t>
      </w:r>
    </w:p>
    <w:p w14:paraId="67A971F9" w14:textId="77777777" w:rsidR="008F16FC" w:rsidRPr="008F16FC" w:rsidRDefault="008F16FC" w:rsidP="008F16FC">
      <w:pPr>
        <w:jc w:val="both"/>
        <w:rPr>
          <w:rFonts w:eastAsia="Calibri"/>
          <w:sz w:val="20"/>
          <w:szCs w:val="20"/>
          <w:lang w:val="es-MX"/>
        </w:rPr>
      </w:pPr>
    </w:p>
    <w:tbl>
      <w:tblPr>
        <w:tblW w:w="6220" w:type="dxa"/>
        <w:tblInd w:w="55" w:type="dxa"/>
        <w:tblCellMar>
          <w:left w:w="70" w:type="dxa"/>
          <w:right w:w="70" w:type="dxa"/>
        </w:tblCellMar>
        <w:tblLook w:val="04A0" w:firstRow="1" w:lastRow="0" w:firstColumn="1" w:lastColumn="0" w:noHBand="0" w:noVBand="1"/>
      </w:tblPr>
      <w:tblGrid>
        <w:gridCol w:w="3540"/>
        <w:gridCol w:w="1340"/>
        <w:gridCol w:w="1340"/>
      </w:tblGrid>
      <w:tr w:rsidR="008F16FC" w:rsidRPr="008F16FC" w14:paraId="0F005979" w14:textId="77777777" w:rsidTr="00BA304B">
        <w:trPr>
          <w:trHeight w:val="255"/>
        </w:trPr>
        <w:tc>
          <w:tcPr>
            <w:tcW w:w="3540" w:type="dxa"/>
            <w:tcBorders>
              <w:top w:val="nil"/>
              <w:left w:val="nil"/>
              <w:bottom w:val="nil"/>
              <w:right w:val="nil"/>
            </w:tcBorders>
            <w:shd w:val="clear" w:color="auto" w:fill="auto"/>
            <w:noWrap/>
            <w:vAlign w:val="bottom"/>
            <w:hideMark/>
          </w:tcPr>
          <w:p w14:paraId="6A864C80" w14:textId="77777777" w:rsidR="008F16FC" w:rsidRPr="008F16FC" w:rsidRDefault="008F16FC" w:rsidP="008F16FC">
            <w:pPr>
              <w:rPr>
                <w:color w:val="000000"/>
                <w:sz w:val="18"/>
                <w:szCs w:val="18"/>
                <w:lang w:val="es-ES"/>
              </w:rPr>
            </w:pPr>
            <w:bookmarkStart w:id="48" w:name="_Hlk25054721"/>
          </w:p>
        </w:tc>
        <w:tc>
          <w:tcPr>
            <w:tcW w:w="1340" w:type="dxa"/>
            <w:tcBorders>
              <w:top w:val="nil"/>
              <w:left w:val="nil"/>
              <w:bottom w:val="nil"/>
              <w:right w:val="nil"/>
            </w:tcBorders>
            <w:shd w:val="clear" w:color="auto" w:fill="auto"/>
            <w:noWrap/>
            <w:vAlign w:val="bottom"/>
            <w:hideMark/>
          </w:tcPr>
          <w:p w14:paraId="3D31ABAF" w14:textId="77777777" w:rsidR="008F16FC" w:rsidRPr="008F16FC" w:rsidRDefault="008F16FC" w:rsidP="008F16FC">
            <w:pPr>
              <w:jc w:val="center"/>
              <w:rPr>
                <w:b/>
                <w:bCs/>
                <w:color w:val="000000"/>
                <w:sz w:val="18"/>
                <w:szCs w:val="18"/>
              </w:rPr>
            </w:pPr>
            <w:r w:rsidRPr="008F16FC">
              <w:rPr>
                <w:b/>
                <w:bCs/>
                <w:color w:val="000000"/>
                <w:sz w:val="18"/>
                <w:szCs w:val="18"/>
              </w:rPr>
              <w:t>30/06/2019</w:t>
            </w:r>
          </w:p>
        </w:tc>
        <w:tc>
          <w:tcPr>
            <w:tcW w:w="1340" w:type="dxa"/>
            <w:tcBorders>
              <w:top w:val="nil"/>
              <w:left w:val="nil"/>
              <w:bottom w:val="nil"/>
              <w:right w:val="nil"/>
            </w:tcBorders>
            <w:shd w:val="clear" w:color="auto" w:fill="auto"/>
            <w:noWrap/>
            <w:vAlign w:val="bottom"/>
            <w:hideMark/>
          </w:tcPr>
          <w:p w14:paraId="3594229B" w14:textId="77777777" w:rsidR="008F16FC" w:rsidRPr="008F16FC" w:rsidRDefault="008F16FC" w:rsidP="008F16FC">
            <w:pPr>
              <w:jc w:val="center"/>
              <w:rPr>
                <w:b/>
                <w:bCs/>
                <w:color w:val="000000"/>
                <w:sz w:val="18"/>
                <w:szCs w:val="18"/>
              </w:rPr>
            </w:pPr>
            <w:r w:rsidRPr="008F16FC">
              <w:rPr>
                <w:b/>
                <w:bCs/>
                <w:color w:val="000000"/>
                <w:sz w:val="18"/>
                <w:szCs w:val="18"/>
              </w:rPr>
              <w:t>30/06/2018</w:t>
            </w:r>
          </w:p>
        </w:tc>
      </w:tr>
      <w:tr w:rsidR="008F16FC" w:rsidRPr="008F16FC" w14:paraId="4E5753E1" w14:textId="77777777" w:rsidTr="00BA304B">
        <w:trPr>
          <w:trHeight w:val="255"/>
        </w:trPr>
        <w:tc>
          <w:tcPr>
            <w:tcW w:w="3540" w:type="dxa"/>
            <w:tcBorders>
              <w:top w:val="nil"/>
              <w:left w:val="nil"/>
              <w:bottom w:val="nil"/>
              <w:right w:val="nil"/>
            </w:tcBorders>
            <w:shd w:val="clear" w:color="auto" w:fill="auto"/>
            <w:noWrap/>
            <w:vAlign w:val="bottom"/>
            <w:hideMark/>
          </w:tcPr>
          <w:p w14:paraId="1B751D2C" w14:textId="77777777" w:rsidR="008F16FC" w:rsidRPr="008F16FC" w:rsidRDefault="008F16FC" w:rsidP="008F16FC">
            <w:pPr>
              <w:rPr>
                <w:b/>
                <w:bCs/>
                <w:color w:val="000000"/>
                <w:sz w:val="18"/>
                <w:szCs w:val="18"/>
              </w:rPr>
            </w:pPr>
            <w:r w:rsidRPr="008F16FC">
              <w:rPr>
                <w:b/>
                <w:bCs/>
                <w:color w:val="000000"/>
                <w:sz w:val="18"/>
                <w:szCs w:val="18"/>
              </w:rPr>
              <w:t>Propiedades, planta y equipo</w:t>
            </w:r>
          </w:p>
        </w:tc>
        <w:tc>
          <w:tcPr>
            <w:tcW w:w="1340" w:type="dxa"/>
            <w:tcBorders>
              <w:top w:val="nil"/>
              <w:left w:val="nil"/>
              <w:bottom w:val="nil"/>
              <w:right w:val="nil"/>
            </w:tcBorders>
            <w:shd w:val="clear" w:color="auto" w:fill="auto"/>
            <w:noWrap/>
            <w:vAlign w:val="bottom"/>
            <w:hideMark/>
          </w:tcPr>
          <w:p w14:paraId="76ECECE2" w14:textId="77777777" w:rsidR="008F16FC" w:rsidRPr="008F16FC" w:rsidRDefault="008F16FC" w:rsidP="008F16FC">
            <w:pPr>
              <w:rPr>
                <w:color w:val="000000"/>
                <w:sz w:val="18"/>
                <w:szCs w:val="18"/>
              </w:rPr>
            </w:pPr>
          </w:p>
        </w:tc>
        <w:tc>
          <w:tcPr>
            <w:tcW w:w="1340" w:type="dxa"/>
            <w:tcBorders>
              <w:top w:val="nil"/>
              <w:left w:val="nil"/>
              <w:bottom w:val="nil"/>
              <w:right w:val="nil"/>
            </w:tcBorders>
            <w:shd w:val="clear" w:color="auto" w:fill="auto"/>
            <w:noWrap/>
            <w:vAlign w:val="bottom"/>
            <w:hideMark/>
          </w:tcPr>
          <w:p w14:paraId="7A489A60" w14:textId="77777777" w:rsidR="008F16FC" w:rsidRPr="008F16FC" w:rsidRDefault="008F16FC" w:rsidP="008F16FC">
            <w:pPr>
              <w:rPr>
                <w:color w:val="000000"/>
                <w:sz w:val="18"/>
                <w:szCs w:val="18"/>
              </w:rPr>
            </w:pPr>
          </w:p>
        </w:tc>
      </w:tr>
      <w:tr w:rsidR="008F16FC" w:rsidRPr="008F16FC" w14:paraId="5E9AAA53" w14:textId="77777777" w:rsidTr="00BA304B">
        <w:trPr>
          <w:trHeight w:val="255"/>
        </w:trPr>
        <w:tc>
          <w:tcPr>
            <w:tcW w:w="3540" w:type="dxa"/>
            <w:tcBorders>
              <w:top w:val="nil"/>
              <w:left w:val="nil"/>
              <w:bottom w:val="nil"/>
              <w:right w:val="nil"/>
            </w:tcBorders>
            <w:shd w:val="clear" w:color="auto" w:fill="auto"/>
            <w:noWrap/>
            <w:vAlign w:val="bottom"/>
            <w:hideMark/>
          </w:tcPr>
          <w:p w14:paraId="0739B416" w14:textId="77777777" w:rsidR="008F16FC" w:rsidRPr="008F16FC" w:rsidRDefault="008F16FC" w:rsidP="008F16FC">
            <w:pPr>
              <w:rPr>
                <w:color w:val="000000"/>
                <w:sz w:val="18"/>
                <w:szCs w:val="18"/>
              </w:rPr>
            </w:pPr>
            <w:r w:rsidRPr="008F16FC">
              <w:rPr>
                <w:color w:val="000000"/>
                <w:sz w:val="18"/>
                <w:szCs w:val="18"/>
              </w:rPr>
              <w:t>Edificios</w:t>
            </w:r>
          </w:p>
        </w:tc>
        <w:tc>
          <w:tcPr>
            <w:tcW w:w="1340" w:type="dxa"/>
            <w:tcBorders>
              <w:top w:val="nil"/>
              <w:left w:val="nil"/>
              <w:bottom w:val="nil"/>
              <w:right w:val="nil"/>
            </w:tcBorders>
            <w:shd w:val="clear" w:color="auto" w:fill="auto"/>
            <w:noWrap/>
            <w:vAlign w:val="bottom"/>
            <w:hideMark/>
          </w:tcPr>
          <w:p w14:paraId="4BBE5F32" w14:textId="77777777" w:rsidR="008F16FC" w:rsidRPr="008F16FC" w:rsidRDefault="008F16FC" w:rsidP="008F16FC">
            <w:pPr>
              <w:rPr>
                <w:color w:val="000000"/>
                <w:sz w:val="18"/>
                <w:szCs w:val="18"/>
              </w:rPr>
            </w:pPr>
            <w:r w:rsidRPr="008F16FC">
              <w:rPr>
                <w:color w:val="000000"/>
                <w:sz w:val="18"/>
                <w:szCs w:val="18"/>
              </w:rPr>
              <w:t xml:space="preserve">      1.266.005   </w:t>
            </w:r>
          </w:p>
        </w:tc>
        <w:tc>
          <w:tcPr>
            <w:tcW w:w="1340" w:type="dxa"/>
            <w:tcBorders>
              <w:top w:val="nil"/>
              <w:left w:val="nil"/>
              <w:bottom w:val="nil"/>
              <w:right w:val="nil"/>
            </w:tcBorders>
            <w:shd w:val="clear" w:color="auto" w:fill="auto"/>
            <w:noWrap/>
            <w:vAlign w:val="bottom"/>
            <w:hideMark/>
          </w:tcPr>
          <w:p w14:paraId="6156EBA3" w14:textId="77777777" w:rsidR="008F16FC" w:rsidRPr="008F16FC" w:rsidRDefault="008F16FC" w:rsidP="008F16FC">
            <w:pPr>
              <w:rPr>
                <w:color w:val="000000"/>
                <w:sz w:val="18"/>
                <w:szCs w:val="18"/>
              </w:rPr>
            </w:pPr>
            <w:r w:rsidRPr="008F16FC">
              <w:rPr>
                <w:color w:val="000000"/>
                <w:sz w:val="18"/>
                <w:szCs w:val="18"/>
              </w:rPr>
              <w:t xml:space="preserve">      1.492.200   </w:t>
            </w:r>
          </w:p>
        </w:tc>
      </w:tr>
      <w:tr w:rsidR="008F16FC" w:rsidRPr="008F16FC" w14:paraId="27FB35E8" w14:textId="77777777" w:rsidTr="00BA304B">
        <w:trPr>
          <w:trHeight w:val="255"/>
        </w:trPr>
        <w:tc>
          <w:tcPr>
            <w:tcW w:w="3540" w:type="dxa"/>
            <w:tcBorders>
              <w:top w:val="nil"/>
              <w:left w:val="nil"/>
              <w:bottom w:val="nil"/>
              <w:right w:val="nil"/>
            </w:tcBorders>
            <w:shd w:val="clear" w:color="auto" w:fill="auto"/>
            <w:noWrap/>
            <w:vAlign w:val="bottom"/>
            <w:hideMark/>
          </w:tcPr>
          <w:p w14:paraId="6E851162" w14:textId="77777777" w:rsidR="008F16FC" w:rsidRPr="008F16FC" w:rsidRDefault="008F16FC" w:rsidP="008F16FC">
            <w:pPr>
              <w:rPr>
                <w:color w:val="000000"/>
                <w:sz w:val="18"/>
                <w:szCs w:val="18"/>
              </w:rPr>
            </w:pPr>
            <w:r w:rsidRPr="008F16FC">
              <w:rPr>
                <w:color w:val="000000"/>
                <w:sz w:val="18"/>
                <w:szCs w:val="18"/>
              </w:rPr>
              <w:t>Terrenos</w:t>
            </w:r>
          </w:p>
        </w:tc>
        <w:tc>
          <w:tcPr>
            <w:tcW w:w="1340" w:type="dxa"/>
            <w:tcBorders>
              <w:top w:val="nil"/>
              <w:left w:val="nil"/>
              <w:bottom w:val="nil"/>
              <w:right w:val="nil"/>
            </w:tcBorders>
            <w:shd w:val="clear" w:color="auto" w:fill="auto"/>
            <w:noWrap/>
            <w:vAlign w:val="bottom"/>
            <w:hideMark/>
          </w:tcPr>
          <w:p w14:paraId="01F8D7A3" w14:textId="77777777" w:rsidR="008F16FC" w:rsidRPr="008F16FC" w:rsidRDefault="008F16FC" w:rsidP="008F16FC">
            <w:pPr>
              <w:rPr>
                <w:color w:val="000000"/>
                <w:sz w:val="18"/>
                <w:szCs w:val="18"/>
              </w:rPr>
            </w:pPr>
            <w:r w:rsidRPr="008F16FC">
              <w:rPr>
                <w:color w:val="000000"/>
                <w:sz w:val="18"/>
                <w:szCs w:val="18"/>
              </w:rPr>
              <w:t xml:space="preserve">          514.263   </w:t>
            </w:r>
          </w:p>
        </w:tc>
        <w:tc>
          <w:tcPr>
            <w:tcW w:w="1340" w:type="dxa"/>
            <w:tcBorders>
              <w:top w:val="nil"/>
              <w:left w:val="nil"/>
              <w:bottom w:val="nil"/>
              <w:right w:val="nil"/>
            </w:tcBorders>
            <w:shd w:val="clear" w:color="auto" w:fill="auto"/>
            <w:noWrap/>
            <w:vAlign w:val="bottom"/>
            <w:hideMark/>
          </w:tcPr>
          <w:p w14:paraId="42754595" w14:textId="77777777" w:rsidR="008F16FC" w:rsidRPr="008F16FC" w:rsidRDefault="008F16FC" w:rsidP="008F16FC">
            <w:pPr>
              <w:rPr>
                <w:color w:val="000000"/>
                <w:sz w:val="18"/>
                <w:szCs w:val="18"/>
              </w:rPr>
            </w:pPr>
            <w:r w:rsidRPr="008F16FC">
              <w:rPr>
                <w:color w:val="000000"/>
                <w:sz w:val="18"/>
                <w:szCs w:val="18"/>
              </w:rPr>
              <w:t xml:space="preserve">          536.470   </w:t>
            </w:r>
          </w:p>
        </w:tc>
      </w:tr>
      <w:tr w:rsidR="008F16FC" w:rsidRPr="008F16FC" w14:paraId="4849C1B6" w14:textId="77777777" w:rsidTr="00BA304B">
        <w:trPr>
          <w:trHeight w:val="255"/>
        </w:trPr>
        <w:tc>
          <w:tcPr>
            <w:tcW w:w="3540" w:type="dxa"/>
            <w:tcBorders>
              <w:top w:val="nil"/>
              <w:left w:val="nil"/>
              <w:bottom w:val="nil"/>
              <w:right w:val="nil"/>
            </w:tcBorders>
            <w:shd w:val="clear" w:color="auto" w:fill="auto"/>
            <w:noWrap/>
            <w:vAlign w:val="bottom"/>
            <w:hideMark/>
          </w:tcPr>
          <w:p w14:paraId="6B4FC86A" w14:textId="77777777" w:rsidR="008F16FC" w:rsidRPr="008F16FC" w:rsidRDefault="008F16FC" w:rsidP="008F16FC">
            <w:pPr>
              <w:rPr>
                <w:color w:val="000000"/>
                <w:sz w:val="18"/>
                <w:szCs w:val="18"/>
                <w:lang w:val="es-ES"/>
              </w:rPr>
            </w:pPr>
            <w:r w:rsidRPr="008F16FC">
              <w:rPr>
                <w:color w:val="000000"/>
                <w:sz w:val="18"/>
                <w:szCs w:val="18"/>
                <w:lang w:val="es-ES"/>
              </w:rPr>
              <w:t>Equipo de oficina / Muebles y útiles</w:t>
            </w:r>
          </w:p>
        </w:tc>
        <w:tc>
          <w:tcPr>
            <w:tcW w:w="1340" w:type="dxa"/>
            <w:tcBorders>
              <w:top w:val="nil"/>
              <w:left w:val="nil"/>
              <w:bottom w:val="nil"/>
              <w:right w:val="nil"/>
            </w:tcBorders>
            <w:shd w:val="clear" w:color="auto" w:fill="auto"/>
            <w:noWrap/>
            <w:vAlign w:val="bottom"/>
            <w:hideMark/>
          </w:tcPr>
          <w:p w14:paraId="6EC8811E" w14:textId="77777777" w:rsidR="008F16FC" w:rsidRPr="008F16FC" w:rsidRDefault="008F16FC" w:rsidP="008F16FC">
            <w:pPr>
              <w:rPr>
                <w:color w:val="000000"/>
                <w:sz w:val="18"/>
                <w:szCs w:val="18"/>
              </w:rPr>
            </w:pPr>
            <w:r w:rsidRPr="008F16FC">
              <w:rPr>
                <w:color w:val="000000"/>
                <w:sz w:val="18"/>
                <w:szCs w:val="18"/>
                <w:lang w:val="es-ES"/>
              </w:rPr>
              <w:t xml:space="preserve">            </w:t>
            </w:r>
            <w:r w:rsidRPr="008F16FC">
              <w:rPr>
                <w:color w:val="000000"/>
                <w:sz w:val="18"/>
                <w:szCs w:val="18"/>
              </w:rPr>
              <w:t xml:space="preserve">11.579   </w:t>
            </w:r>
          </w:p>
        </w:tc>
        <w:tc>
          <w:tcPr>
            <w:tcW w:w="1340" w:type="dxa"/>
            <w:tcBorders>
              <w:top w:val="nil"/>
              <w:left w:val="nil"/>
              <w:bottom w:val="nil"/>
              <w:right w:val="nil"/>
            </w:tcBorders>
            <w:shd w:val="clear" w:color="auto" w:fill="auto"/>
            <w:noWrap/>
            <w:vAlign w:val="bottom"/>
            <w:hideMark/>
          </w:tcPr>
          <w:p w14:paraId="1D0E4A6C" w14:textId="77777777" w:rsidR="008F16FC" w:rsidRPr="008F16FC" w:rsidRDefault="008F16FC" w:rsidP="008F16FC">
            <w:pPr>
              <w:rPr>
                <w:color w:val="000000"/>
                <w:sz w:val="18"/>
                <w:szCs w:val="18"/>
              </w:rPr>
            </w:pPr>
            <w:r w:rsidRPr="008F16FC">
              <w:rPr>
                <w:color w:val="000000"/>
                <w:sz w:val="18"/>
                <w:szCs w:val="18"/>
              </w:rPr>
              <w:t xml:space="preserve">            13.950   </w:t>
            </w:r>
          </w:p>
        </w:tc>
      </w:tr>
      <w:tr w:rsidR="008F16FC" w:rsidRPr="008F16FC" w14:paraId="4B517A86" w14:textId="77777777" w:rsidTr="00BA304B">
        <w:trPr>
          <w:trHeight w:val="255"/>
        </w:trPr>
        <w:tc>
          <w:tcPr>
            <w:tcW w:w="3540" w:type="dxa"/>
            <w:tcBorders>
              <w:top w:val="nil"/>
              <w:left w:val="nil"/>
              <w:bottom w:val="nil"/>
              <w:right w:val="nil"/>
            </w:tcBorders>
            <w:shd w:val="clear" w:color="auto" w:fill="auto"/>
            <w:noWrap/>
            <w:vAlign w:val="bottom"/>
            <w:hideMark/>
          </w:tcPr>
          <w:p w14:paraId="509950F6" w14:textId="77777777" w:rsidR="008F16FC" w:rsidRPr="008F16FC" w:rsidRDefault="008F16FC" w:rsidP="008F16FC">
            <w:pPr>
              <w:rPr>
                <w:color w:val="000000"/>
                <w:sz w:val="18"/>
                <w:szCs w:val="18"/>
              </w:rPr>
            </w:pPr>
            <w:r w:rsidRPr="008F16FC">
              <w:rPr>
                <w:color w:val="000000"/>
                <w:sz w:val="18"/>
                <w:szCs w:val="18"/>
              </w:rPr>
              <w:t>Maquinarias y herramientas</w:t>
            </w:r>
          </w:p>
        </w:tc>
        <w:tc>
          <w:tcPr>
            <w:tcW w:w="1340" w:type="dxa"/>
            <w:tcBorders>
              <w:top w:val="nil"/>
              <w:left w:val="nil"/>
              <w:bottom w:val="nil"/>
              <w:right w:val="nil"/>
            </w:tcBorders>
            <w:shd w:val="clear" w:color="auto" w:fill="auto"/>
            <w:noWrap/>
            <w:vAlign w:val="bottom"/>
            <w:hideMark/>
          </w:tcPr>
          <w:p w14:paraId="24C3D226" w14:textId="77777777" w:rsidR="008F16FC" w:rsidRPr="008F16FC" w:rsidRDefault="008F16FC" w:rsidP="008F16FC">
            <w:pPr>
              <w:rPr>
                <w:color w:val="000000"/>
                <w:sz w:val="18"/>
                <w:szCs w:val="18"/>
              </w:rPr>
            </w:pPr>
            <w:r w:rsidRPr="008F16FC">
              <w:rPr>
                <w:color w:val="000000"/>
                <w:sz w:val="18"/>
                <w:szCs w:val="18"/>
              </w:rPr>
              <w:t xml:space="preserve">            74.794   </w:t>
            </w:r>
          </w:p>
        </w:tc>
        <w:tc>
          <w:tcPr>
            <w:tcW w:w="1340" w:type="dxa"/>
            <w:tcBorders>
              <w:top w:val="nil"/>
              <w:left w:val="nil"/>
              <w:bottom w:val="nil"/>
              <w:right w:val="nil"/>
            </w:tcBorders>
            <w:shd w:val="clear" w:color="auto" w:fill="auto"/>
            <w:noWrap/>
            <w:vAlign w:val="bottom"/>
            <w:hideMark/>
          </w:tcPr>
          <w:p w14:paraId="0761BB0C" w14:textId="77777777" w:rsidR="008F16FC" w:rsidRPr="008F16FC" w:rsidRDefault="008F16FC" w:rsidP="008F16FC">
            <w:pPr>
              <w:rPr>
                <w:color w:val="000000"/>
                <w:sz w:val="18"/>
                <w:szCs w:val="18"/>
              </w:rPr>
            </w:pPr>
            <w:r w:rsidRPr="008F16FC">
              <w:rPr>
                <w:color w:val="000000"/>
                <w:sz w:val="18"/>
                <w:szCs w:val="18"/>
              </w:rPr>
              <w:t xml:space="preserve">            90.757   </w:t>
            </w:r>
          </w:p>
        </w:tc>
      </w:tr>
      <w:tr w:rsidR="008F16FC" w:rsidRPr="008F16FC" w14:paraId="412B22F9" w14:textId="77777777" w:rsidTr="00BA304B">
        <w:trPr>
          <w:trHeight w:val="255"/>
        </w:trPr>
        <w:tc>
          <w:tcPr>
            <w:tcW w:w="3540" w:type="dxa"/>
            <w:tcBorders>
              <w:top w:val="nil"/>
              <w:left w:val="nil"/>
              <w:bottom w:val="nil"/>
              <w:right w:val="nil"/>
            </w:tcBorders>
            <w:shd w:val="clear" w:color="auto" w:fill="auto"/>
            <w:noWrap/>
            <w:vAlign w:val="bottom"/>
            <w:hideMark/>
          </w:tcPr>
          <w:p w14:paraId="0FD6453E" w14:textId="77777777" w:rsidR="008F16FC" w:rsidRPr="008F16FC" w:rsidRDefault="008F16FC" w:rsidP="008F16FC">
            <w:pPr>
              <w:rPr>
                <w:color w:val="000000"/>
                <w:sz w:val="18"/>
                <w:szCs w:val="18"/>
              </w:rPr>
            </w:pPr>
            <w:r w:rsidRPr="008F16FC">
              <w:rPr>
                <w:color w:val="000000"/>
                <w:sz w:val="18"/>
                <w:szCs w:val="18"/>
              </w:rPr>
              <w:t>Instrumental</w:t>
            </w:r>
          </w:p>
        </w:tc>
        <w:tc>
          <w:tcPr>
            <w:tcW w:w="1340" w:type="dxa"/>
            <w:tcBorders>
              <w:top w:val="nil"/>
              <w:left w:val="nil"/>
              <w:bottom w:val="nil"/>
              <w:right w:val="nil"/>
            </w:tcBorders>
            <w:shd w:val="clear" w:color="auto" w:fill="auto"/>
            <w:noWrap/>
            <w:vAlign w:val="bottom"/>
            <w:hideMark/>
          </w:tcPr>
          <w:p w14:paraId="2A2B17D8" w14:textId="77777777" w:rsidR="008F16FC" w:rsidRPr="008F16FC" w:rsidRDefault="008F16FC" w:rsidP="008F16FC">
            <w:pPr>
              <w:rPr>
                <w:color w:val="000000"/>
                <w:sz w:val="18"/>
                <w:szCs w:val="18"/>
              </w:rPr>
            </w:pPr>
            <w:r w:rsidRPr="008F16FC">
              <w:rPr>
                <w:color w:val="000000"/>
                <w:sz w:val="18"/>
                <w:szCs w:val="18"/>
              </w:rPr>
              <w:t xml:space="preserve">            13.585   </w:t>
            </w:r>
          </w:p>
        </w:tc>
        <w:tc>
          <w:tcPr>
            <w:tcW w:w="1340" w:type="dxa"/>
            <w:tcBorders>
              <w:top w:val="nil"/>
              <w:left w:val="nil"/>
              <w:bottom w:val="nil"/>
              <w:right w:val="nil"/>
            </w:tcBorders>
            <w:shd w:val="clear" w:color="auto" w:fill="auto"/>
            <w:noWrap/>
            <w:vAlign w:val="bottom"/>
            <w:hideMark/>
          </w:tcPr>
          <w:p w14:paraId="523E7569" w14:textId="77777777" w:rsidR="008F16FC" w:rsidRPr="008F16FC" w:rsidRDefault="008F16FC" w:rsidP="008F16FC">
            <w:pPr>
              <w:rPr>
                <w:color w:val="000000"/>
                <w:sz w:val="18"/>
                <w:szCs w:val="18"/>
              </w:rPr>
            </w:pPr>
            <w:r w:rsidRPr="008F16FC">
              <w:rPr>
                <w:color w:val="000000"/>
                <w:sz w:val="18"/>
                <w:szCs w:val="18"/>
              </w:rPr>
              <w:t xml:space="preserve">            27.887   </w:t>
            </w:r>
          </w:p>
        </w:tc>
      </w:tr>
      <w:tr w:rsidR="008F16FC" w:rsidRPr="008F16FC" w14:paraId="4CC81179" w14:textId="77777777" w:rsidTr="00BA304B">
        <w:trPr>
          <w:trHeight w:val="255"/>
        </w:trPr>
        <w:tc>
          <w:tcPr>
            <w:tcW w:w="3540" w:type="dxa"/>
            <w:tcBorders>
              <w:top w:val="nil"/>
              <w:left w:val="nil"/>
              <w:bottom w:val="nil"/>
              <w:right w:val="nil"/>
            </w:tcBorders>
            <w:shd w:val="clear" w:color="auto" w:fill="auto"/>
            <w:noWrap/>
            <w:vAlign w:val="bottom"/>
            <w:hideMark/>
          </w:tcPr>
          <w:p w14:paraId="2EE97E87" w14:textId="77777777" w:rsidR="008F16FC" w:rsidRPr="008F16FC" w:rsidRDefault="008F16FC" w:rsidP="008F16FC">
            <w:pPr>
              <w:rPr>
                <w:color w:val="000000"/>
                <w:sz w:val="18"/>
                <w:szCs w:val="18"/>
              </w:rPr>
            </w:pPr>
            <w:r w:rsidRPr="008F16FC">
              <w:rPr>
                <w:color w:val="000000"/>
                <w:sz w:val="18"/>
                <w:szCs w:val="18"/>
              </w:rPr>
              <w:t>Rodados</w:t>
            </w:r>
          </w:p>
        </w:tc>
        <w:tc>
          <w:tcPr>
            <w:tcW w:w="1340" w:type="dxa"/>
            <w:tcBorders>
              <w:top w:val="nil"/>
              <w:left w:val="nil"/>
              <w:bottom w:val="nil"/>
              <w:right w:val="nil"/>
            </w:tcBorders>
            <w:shd w:val="clear" w:color="auto" w:fill="auto"/>
            <w:noWrap/>
            <w:vAlign w:val="bottom"/>
            <w:hideMark/>
          </w:tcPr>
          <w:p w14:paraId="4EA7D33D" w14:textId="77777777" w:rsidR="008F16FC" w:rsidRPr="008F16FC" w:rsidRDefault="008F16FC" w:rsidP="008F16FC">
            <w:pPr>
              <w:rPr>
                <w:color w:val="000000"/>
                <w:sz w:val="18"/>
                <w:szCs w:val="18"/>
              </w:rPr>
            </w:pPr>
            <w:r w:rsidRPr="008F16FC">
              <w:rPr>
                <w:color w:val="000000"/>
                <w:sz w:val="18"/>
                <w:szCs w:val="18"/>
              </w:rPr>
              <w:t xml:space="preserve">              4.476   </w:t>
            </w:r>
          </w:p>
        </w:tc>
        <w:tc>
          <w:tcPr>
            <w:tcW w:w="1340" w:type="dxa"/>
            <w:tcBorders>
              <w:top w:val="nil"/>
              <w:left w:val="nil"/>
              <w:bottom w:val="nil"/>
              <w:right w:val="nil"/>
            </w:tcBorders>
            <w:shd w:val="clear" w:color="auto" w:fill="auto"/>
            <w:noWrap/>
            <w:vAlign w:val="bottom"/>
            <w:hideMark/>
          </w:tcPr>
          <w:p w14:paraId="175FAEF8" w14:textId="77777777" w:rsidR="008F16FC" w:rsidRPr="008F16FC" w:rsidRDefault="008F16FC" w:rsidP="008F16FC">
            <w:pPr>
              <w:rPr>
                <w:color w:val="000000"/>
                <w:sz w:val="18"/>
                <w:szCs w:val="18"/>
              </w:rPr>
            </w:pPr>
            <w:r w:rsidRPr="008F16FC">
              <w:rPr>
                <w:color w:val="000000"/>
                <w:sz w:val="18"/>
                <w:szCs w:val="18"/>
              </w:rPr>
              <w:t xml:space="preserve">              8.557   </w:t>
            </w:r>
          </w:p>
        </w:tc>
      </w:tr>
      <w:tr w:rsidR="008F16FC" w:rsidRPr="008F16FC" w14:paraId="01347891" w14:textId="77777777" w:rsidTr="00BA304B">
        <w:trPr>
          <w:trHeight w:val="255"/>
        </w:trPr>
        <w:tc>
          <w:tcPr>
            <w:tcW w:w="3540" w:type="dxa"/>
            <w:tcBorders>
              <w:top w:val="nil"/>
              <w:left w:val="nil"/>
              <w:bottom w:val="nil"/>
              <w:right w:val="nil"/>
            </w:tcBorders>
            <w:shd w:val="clear" w:color="auto" w:fill="auto"/>
            <w:noWrap/>
            <w:vAlign w:val="bottom"/>
            <w:hideMark/>
          </w:tcPr>
          <w:p w14:paraId="32531D55" w14:textId="77777777" w:rsidR="008F16FC" w:rsidRPr="008F16FC" w:rsidRDefault="008F16FC" w:rsidP="008F16FC">
            <w:pPr>
              <w:rPr>
                <w:color w:val="000000"/>
                <w:sz w:val="18"/>
                <w:szCs w:val="18"/>
                <w:lang w:val="es-ES"/>
              </w:rPr>
            </w:pPr>
            <w:r w:rsidRPr="008F16FC">
              <w:rPr>
                <w:color w:val="000000"/>
                <w:sz w:val="18"/>
                <w:szCs w:val="18"/>
                <w:lang w:val="es-ES"/>
              </w:rPr>
              <w:t>Equipos de computación y comunicación</w:t>
            </w:r>
          </w:p>
        </w:tc>
        <w:tc>
          <w:tcPr>
            <w:tcW w:w="1340" w:type="dxa"/>
            <w:tcBorders>
              <w:top w:val="nil"/>
              <w:left w:val="nil"/>
              <w:bottom w:val="nil"/>
              <w:right w:val="nil"/>
            </w:tcBorders>
            <w:shd w:val="clear" w:color="auto" w:fill="auto"/>
            <w:noWrap/>
            <w:vAlign w:val="bottom"/>
            <w:hideMark/>
          </w:tcPr>
          <w:p w14:paraId="39991F92" w14:textId="77777777" w:rsidR="008F16FC" w:rsidRPr="008F16FC" w:rsidRDefault="008F16FC" w:rsidP="008F16FC">
            <w:pPr>
              <w:rPr>
                <w:color w:val="000000"/>
                <w:sz w:val="18"/>
                <w:szCs w:val="18"/>
              </w:rPr>
            </w:pPr>
            <w:r w:rsidRPr="008F16FC">
              <w:rPr>
                <w:color w:val="000000"/>
                <w:sz w:val="18"/>
                <w:szCs w:val="18"/>
                <w:lang w:val="es-ES"/>
              </w:rPr>
              <w:t xml:space="preserve">            </w:t>
            </w:r>
            <w:r w:rsidRPr="008F16FC">
              <w:rPr>
                <w:color w:val="000000"/>
                <w:sz w:val="18"/>
                <w:szCs w:val="18"/>
              </w:rPr>
              <w:t xml:space="preserve">17.210   </w:t>
            </w:r>
          </w:p>
        </w:tc>
        <w:tc>
          <w:tcPr>
            <w:tcW w:w="1340" w:type="dxa"/>
            <w:tcBorders>
              <w:top w:val="nil"/>
              <w:left w:val="nil"/>
              <w:bottom w:val="nil"/>
              <w:right w:val="nil"/>
            </w:tcBorders>
            <w:shd w:val="clear" w:color="auto" w:fill="auto"/>
            <w:noWrap/>
            <w:vAlign w:val="bottom"/>
            <w:hideMark/>
          </w:tcPr>
          <w:p w14:paraId="425CE7C6" w14:textId="77777777" w:rsidR="008F16FC" w:rsidRPr="008F16FC" w:rsidRDefault="008F16FC" w:rsidP="008F16FC">
            <w:pPr>
              <w:rPr>
                <w:color w:val="000000"/>
                <w:sz w:val="18"/>
                <w:szCs w:val="18"/>
              </w:rPr>
            </w:pPr>
            <w:r w:rsidRPr="008F16FC">
              <w:rPr>
                <w:color w:val="000000"/>
                <w:sz w:val="18"/>
                <w:szCs w:val="18"/>
              </w:rPr>
              <w:t xml:space="preserve">            25.841   </w:t>
            </w:r>
          </w:p>
        </w:tc>
      </w:tr>
      <w:tr w:rsidR="008F16FC" w:rsidRPr="008F16FC" w14:paraId="5BB2ED1E" w14:textId="77777777" w:rsidTr="00BA304B">
        <w:trPr>
          <w:trHeight w:val="255"/>
        </w:trPr>
        <w:tc>
          <w:tcPr>
            <w:tcW w:w="3540" w:type="dxa"/>
            <w:tcBorders>
              <w:top w:val="nil"/>
              <w:left w:val="nil"/>
              <w:bottom w:val="nil"/>
              <w:right w:val="nil"/>
            </w:tcBorders>
            <w:shd w:val="clear" w:color="auto" w:fill="auto"/>
            <w:noWrap/>
            <w:vAlign w:val="bottom"/>
            <w:hideMark/>
          </w:tcPr>
          <w:p w14:paraId="5501F9CA" w14:textId="77777777" w:rsidR="008F16FC" w:rsidRPr="008F16FC" w:rsidRDefault="008F16FC" w:rsidP="008F16FC">
            <w:pPr>
              <w:rPr>
                <w:color w:val="000000"/>
                <w:sz w:val="18"/>
                <w:szCs w:val="18"/>
              </w:rPr>
            </w:pPr>
            <w:r w:rsidRPr="008F16FC">
              <w:rPr>
                <w:color w:val="000000"/>
                <w:sz w:val="18"/>
                <w:szCs w:val="18"/>
              </w:rPr>
              <w:t>Instalaciones</w:t>
            </w:r>
          </w:p>
        </w:tc>
        <w:tc>
          <w:tcPr>
            <w:tcW w:w="1340" w:type="dxa"/>
            <w:tcBorders>
              <w:top w:val="nil"/>
              <w:left w:val="nil"/>
              <w:bottom w:val="nil"/>
              <w:right w:val="nil"/>
            </w:tcBorders>
            <w:shd w:val="clear" w:color="auto" w:fill="auto"/>
            <w:noWrap/>
            <w:vAlign w:val="bottom"/>
            <w:hideMark/>
          </w:tcPr>
          <w:p w14:paraId="47D88D2E" w14:textId="77777777" w:rsidR="008F16FC" w:rsidRPr="008F16FC" w:rsidRDefault="008F16FC" w:rsidP="008F16FC">
            <w:pPr>
              <w:rPr>
                <w:color w:val="000000"/>
                <w:sz w:val="18"/>
                <w:szCs w:val="18"/>
              </w:rPr>
            </w:pPr>
            <w:r w:rsidRPr="008F16FC">
              <w:rPr>
                <w:color w:val="000000"/>
                <w:sz w:val="18"/>
                <w:szCs w:val="18"/>
              </w:rPr>
              <w:t xml:space="preserve">          139.745   </w:t>
            </w:r>
          </w:p>
        </w:tc>
        <w:tc>
          <w:tcPr>
            <w:tcW w:w="1340" w:type="dxa"/>
            <w:tcBorders>
              <w:top w:val="nil"/>
              <w:left w:val="nil"/>
              <w:bottom w:val="nil"/>
              <w:right w:val="nil"/>
            </w:tcBorders>
            <w:shd w:val="clear" w:color="auto" w:fill="auto"/>
            <w:noWrap/>
            <w:vAlign w:val="bottom"/>
            <w:hideMark/>
          </w:tcPr>
          <w:p w14:paraId="59ACF800" w14:textId="77777777" w:rsidR="008F16FC" w:rsidRPr="008F16FC" w:rsidRDefault="008F16FC" w:rsidP="008F16FC">
            <w:pPr>
              <w:rPr>
                <w:color w:val="000000"/>
                <w:sz w:val="18"/>
                <w:szCs w:val="18"/>
              </w:rPr>
            </w:pPr>
            <w:r w:rsidRPr="008F16FC">
              <w:rPr>
                <w:color w:val="000000"/>
                <w:sz w:val="18"/>
                <w:szCs w:val="18"/>
              </w:rPr>
              <w:t xml:space="preserve">          173.677   </w:t>
            </w:r>
          </w:p>
        </w:tc>
      </w:tr>
      <w:tr w:rsidR="008F16FC" w:rsidRPr="008F16FC" w14:paraId="2989FFCC" w14:textId="77777777" w:rsidTr="00BA304B">
        <w:trPr>
          <w:trHeight w:val="255"/>
        </w:trPr>
        <w:tc>
          <w:tcPr>
            <w:tcW w:w="3540" w:type="dxa"/>
            <w:tcBorders>
              <w:top w:val="nil"/>
              <w:left w:val="nil"/>
              <w:bottom w:val="nil"/>
              <w:right w:val="nil"/>
            </w:tcBorders>
            <w:shd w:val="clear" w:color="auto" w:fill="auto"/>
            <w:noWrap/>
            <w:vAlign w:val="bottom"/>
            <w:hideMark/>
          </w:tcPr>
          <w:p w14:paraId="7A3F7EEC" w14:textId="77777777" w:rsidR="008F16FC" w:rsidRPr="008F16FC" w:rsidRDefault="008F16FC" w:rsidP="008F16FC">
            <w:pPr>
              <w:rPr>
                <w:color w:val="000000"/>
                <w:sz w:val="18"/>
                <w:szCs w:val="18"/>
              </w:rPr>
            </w:pPr>
            <w:r w:rsidRPr="008F16FC">
              <w:rPr>
                <w:color w:val="000000"/>
                <w:sz w:val="18"/>
                <w:szCs w:val="18"/>
              </w:rPr>
              <w:t>Laboratorios</w:t>
            </w:r>
          </w:p>
        </w:tc>
        <w:tc>
          <w:tcPr>
            <w:tcW w:w="1340" w:type="dxa"/>
            <w:tcBorders>
              <w:top w:val="nil"/>
              <w:left w:val="nil"/>
              <w:bottom w:val="nil"/>
              <w:right w:val="nil"/>
            </w:tcBorders>
            <w:shd w:val="clear" w:color="auto" w:fill="auto"/>
            <w:noWrap/>
            <w:vAlign w:val="bottom"/>
            <w:hideMark/>
          </w:tcPr>
          <w:p w14:paraId="70F51A91" w14:textId="77777777" w:rsidR="008F16FC" w:rsidRPr="008F16FC" w:rsidRDefault="008F16FC" w:rsidP="008F16FC">
            <w:pPr>
              <w:rPr>
                <w:color w:val="000000"/>
                <w:sz w:val="18"/>
                <w:szCs w:val="18"/>
              </w:rPr>
            </w:pPr>
            <w:r w:rsidRPr="008F16FC">
              <w:rPr>
                <w:color w:val="000000"/>
                <w:sz w:val="18"/>
                <w:szCs w:val="18"/>
              </w:rPr>
              <w:t xml:space="preserve">                     -     </w:t>
            </w:r>
          </w:p>
        </w:tc>
        <w:tc>
          <w:tcPr>
            <w:tcW w:w="1340" w:type="dxa"/>
            <w:tcBorders>
              <w:top w:val="nil"/>
              <w:left w:val="nil"/>
              <w:bottom w:val="nil"/>
              <w:right w:val="nil"/>
            </w:tcBorders>
            <w:shd w:val="clear" w:color="auto" w:fill="auto"/>
            <w:noWrap/>
            <w:vAlign w:val="bottom"/>
            <w:hideMark/>
          </w:tcPr>
          <w:p w14:paraId="0609302E" w14:textId="77777777" w:rsidR="008F16FC" w:rsidRPr="008F16FC" w:rsidRDefault="008F16FC" w:rsidP="008F16FC">
            <w:pPr>
              <w:rPr>
                <w:color w:val="000000"/>
                <w:sz w:val="18"/>
                <w:szCs w:val="18"/>
                <w:lang w:val="es-ES"/>
              </w:rPr>
            </w:pPr>
            <w:r w:rsidRPr="008F16FC">
              <w:rPr>
                <w:color w:val="000000"/>
                <w:sz w:val="18"/>
                <w:szCs w:val="18"/>
                <w:lang w:val="es-ES"/>
              </w:rPr>
              <w:t xml:space="preserve">                    </w:t>
            </w:r>
            <w:r w:rsidRPr="008F16FC">
              <w:rPr>
                <w:color w:val="000000"/>
                <w:sz w:val="18"/>
                <w:szCs w:val="18"/>
                <w:lang w:val="es-ES"/>
              </w:rPr>
              <w:br/>
              <w:t xml:space="preserve">                527   </w:t>
            </w:r>
          </w:p>
        </w:tc>
      </w:tr>
      <w:tr w:rsidR="008F16FC" w:rsidRPr="008F16FC" w14:paraId="4AF2148F" w14:textId="77777777" w:rsidTr="00BA304B">
        <w:trPr>
          <w:trHeight w:val="255"/>
        </w:trPr>
        <w:tc>
          <w:tcPr>
            <w:tcW w:w="3540" w:type="dxa"/>
            <w:tcBorders>
              <w:top w:val="nil"/>
              <w:left w:val="nil"/>
              <w:bottom w:val="nil"/>
              <w:right w:val="nil"/>
            </w:tcBorders>
            <w:shd w:val="clear" w:color="auto" w:fill="auto"/>
            <w:noWrap/>
            <w:vAlign w:val="bottom"/>
            <w:hideMark/>
          </w:tcPr>
          <w:p w14:paraId="2E26F998" w14:textId="77777777" w:rsidR="008F16FC" w:rsidRPr="008F16FC" w:rsidRDefault="008F16FC" w:rsidP="008F16FC">
            <w:pPr>
              <w:rPr>
                <w:color w:val="000000"/>
                <w:sz w:val="18"/>
                <w:szCs w:val="18"/>
                <w:lang w:val="es-ES"/>
              </w:rPr>
            </w:pPr>
            <w:r w:rsidRPr="008F16FC">
              <w:rPr>
                <w:color w:val="000000"/>
                <w:sz w:val="18"/>
                <w:szCs w:val="18"/>
                <w:lang w:val="es-ES"/>
              </w:rPr>
              <w:t>Construcción en curso</w:t>
            </w:r>
          </w:p>
        </w:tc>
        <w:tc>
          <w:tcPr>
            <w:tcW w:w="1340" w:type="dxa"/>
            <w:tcBorders>
              <w:top w:val="nil"/>
              <w:left w:val="nil"/>
              <w:bottom w:val="nil"/>
              <w:right w:val="nil"/>
            </w:tcBorders>
            <w:shd w:val="clear" w:color="auto" w:fill="auto"/>
            <w:noWrap/>
            <w:vAlign w:val="bottom"/>
            <w:hideMark/>
          </w:tcPr>
          <w:p w14:paraId="284216CF" w14:textId="77777777" w:rsidR="008F16FC" w:rsidRPr="008F16FC" w:rsidRDefault="008F16FC" w:rsidP="008F16FC">
            <w:pPr>
              <w:rPr>
                <w:color w:val="000000"/>
                <w:sz w:val="18"/>
                <w:szCs w:val="18"/>
                <w:lang w:val="es-ES"/>
              </w:rPr>
            </w:pPr>
            <w:r w:rsidRPr="008F16FC">
              <w:rPr>
                <w:color w:val="000000"/>
                <w:sz w:val="18"/>
                <w:szCs w:val="18"/>
                <w:lang w:val="es-ES"/>
              </w:rPr>
              <w:t xml:space="preserve">            46.653   </w:t>
            </w:r>
          </w:p>
        </w:tc>
        <w:tc>
          <w:tcPr>
            <w:tcW w:w="1340" w:type="dxa"/>
            <w:tcBorders>
              <w:top w:val="nil"/>
              <w:left w:val="nil"/>
              <w:bottom w:val="nil"/>
              <w:right w:val="nil"/>
            </w:tcBorders>
            <w:shd w:val="clear" w:color="auto" w:fill="auto"/>
            <w:noWrap/>
            <w:vAlign w:val="bottom"/>
            <w:hideMark/>
          </w:tcPr>
          <w:p w14:paraId="0A71CDD5" w14:textId="77777777" w:rsidR="008F16FC" w:rsidRPr="008F16FC" w:rsidRDefault="008F16FC" w:rsidP="008F16FC">
            <w:pPr>
              <w:rPr>
                <w:color w:val="000000"/>
                <w:sz w:val="18"/>
                <w:szCs w:val="18"/>
                <w:lang w:val="es-ES"/>
              </w:rPr>
            </w:pPr>
            <w:r w:rsidRPr="008F16FC">
              <w:rPr>
                <w:color w:val="000000"/>
                <w:sz w:val="18"/>
                <w:szCs w:val="18"/>
                <w:lang w:val="es-ES"/>
              </w:rPr>
              <w:t xml:space="preserve">            44.756   </w:t>
            </w:r>
          </w:p>
        </w:tc>
      </w:tr>
      <w:tr w:rsidR="008F16FC" w:rsidRPr="008F16FC" w14:paraId="04CDE142" w14:textId="77777777" w:rsidTr="00BA304B">
        <w:trPr>
          <w:trHeight w:val="255"/>
        </w:trPr>
        <w:tc>
          <w:tcPr>
            <w:tcW w:w="3540" w:type="dxa"/>
            <w:tcBorders>
              <w:top w:val="nil"/>
              <w:left w:val="nil"/>
              <w:bottom w:val="nil"/>
              <w:right w:val="nil"/>
            </w:tcBorders>
            <w:shd w:val="clear" w:color="auto" w:fill="auto"/>
            <w:noWrap/>
            <w:vAlign w:val="bottom"/>
            <w:hideMark/>
          </w:tcPr>
          <w:p w14:paraId="440B83EC" w14:textId="77777777" w:rsidR="008F16FC" w:rsidRPr="008F16FC" w:rsidRDefault="008F16FC" w:rsidP="008F16FC">
            <w:pPr>
              <w:rPr>
                <w:color w:val="000000"/>
                <w:sz w:val="18"/>
                <w:szCs w:val="18"/>
                <w:lang w:val="es-ES"/>
              </w:rPr>
            </w:pPr>
            <w:r w:rsidRPr="008F16FC">
              <w:rPr>
                <w:color w:val="000000"/>
                <w:sz w:val="18"/>
                <w:szCs w:val="18"/>
                <w:lang w:val="es-ES"/>
              </w:rPr>
              <w:t>Mejoras inmuebles de terceros</w:t>
            </w:r>
          </w:p>
        </w:tc>
        <w:tc>
          <w:tcPr>
            <w:tcW w:w="1340" w:type="dxa"/>
            <w:tcBorders>
              <w:top w:val="nil"/>
              <w:left w:val="nil"/>
              <w:bottom w:val="nil"/>
              <w:right w:val="nil"/>
            </w:tcBorders>
            <w:shd w:val="clear" w:color="auto" w:fill="auto"/>
            <w:noWrap/>
            <w:vAlign w:val="bottom"/>
            <w:hideMark/>
          </w:tcPr>
          <w:p w14:paraId="08D0C3A3" w14:textId="77777777" w:rsidR="008F16FC" w:rsidRPr="008F16FC" w:rsidRDefault="008F16FC" w:rsidP="008F16FC">
            <w:pPr>
              <w:rPr>
                <w:color w:val="000000"/>
                <w:sz w:val="18"/>
                <w:szCs w:val="18"/>
                <w:lang w:val="es-ES"/>
              </w:rPr>
            </w:pPr>
            <w:r w:rsidRPr="008F16FC">
              <w:rPr>
                <w:color w:val="000000"/>
                <w:sz w:val="18"/>
                <w:szCs w:val="18"/>
                <w:lang w:val="es-ES"/>
              </w:rPr>
              <w:t xml:space="preserve">          112.788   </w:t>
            </w:r>
          </w:p>
        </w:tc>
        <w:tc>
          <w:tcPr>
            <w:tcW w:w="1340" w:type="dxa"/>
            <w:tcBorders>
              <w:top w:val="nil"/>
              <w:left w:val="nil"/>
              <w:bottom w:val="nil"/>
              <w:right w:val="nil"/>
            </w:tcBorders>
            <w:shd w:val="clear" w:color="auto" w:fill="auto"/>
            <w:noWrap/>
            <w:vAlign w:val="bottom"/>
            <w:hideMark/>
          </w:tcPr>
          <w:p w14:paraId="4BEE01F5" w14:textId="77777777" w:rsidR="008F16FC" w:rsidRPr="008F16FC" w:rsidRDefault="008F16FC" w:rsidP="008F16FC">
            <w:pPr>
              <w:rPr>
                <w:color w:val="000000"/>
                <w:sz w:val="18"/>
                <w:szCs w:val="18"/>
              </w:rPr>
            </w:pPr>
            <w:r w:rsidRPr="008F16FC">
              <w:rPr>
                <w:color w:val="000000"/>
                <w:sz w:val="18"/>
                <w:szCs w:val="18"/>
                <w:lang w:val="es-ES"/>
              </w:rPr>
              <w:t xml:space="preserve">          </w:t>
            </w:r>
            <w:r w:rsidRPr="008F16FC">
              <w:rPr>
                <w:color w:val="000000"/>
                <w:sz w:val="18"/>
                <w:szCs w:val="18"/>
              </w:rPr>
              <w:t xml:space="preserve">122.341   </w:t>
            </w:r>
          </w:p>
        </w:tc>
      </w:tr>
      <w:tr w:rsidR="008F16FC" w:rsidRPr="008F16FC" w14:paraId="74980E0C" w14:textId="77777777" w:rsidTr="00BA304B">
        <w:trPr>
          <w:trHeight w:val="255"/>
        </w:trPr>
        <w:tc>
          <w:tcPr>
            <w:tcW w:w="3540" w:type="dxa"/>
            <w:tcBorders>
              <w:top w:val="nil"/>
              <w:left w:val="nil"/>
              <w:bottom w:val="nil"/>
              <w:right w:val="nil"/>
            </w:tcBorders>
            <w:shd w:val="clear" w:color="auto" w:fill="auto"/>
            <w:noWrap/>
            <w:vAlign w:val="bottom"/>
            <w:hideMark/>
          </w:tcPr>
          <w:p w14:paraId="69475EDD" w14:textId="77777777" w:rsidR="008F16FC" w:rsidRPr="008F16FC" w:rsidRDefault="008F16FC" w:rsidP="008F16FC">
            <w:pPr>
              <w:rPr>
                <w:color w:val="000000"/>
                <w:sz w:val="18"/>
                <w:szCs w:val="18"/>
              </w:rPr>
            </w:pPr>
            <w:r w:rsidRPr="008F16FC">
              <w:rPr>
                <w:color w:val="000000"/>
                <w:sz w:val="18"/>
                <w:szCs w:val="18"/>
              </w:rPr>
              <w:t>Otros bienes de uso</w:t>
            </w:r>
          </w:p>
        </w:tc>
        <w:tc>
          <w:tcPr>
            <w:tcW w:w="1340" w:type="dxa"/>
            <w:tcBorders>
              <w:top w:val="nil"/>
              <w:left w:val="nil"/>
              <w:bottom w:val="nil"/>
              <w:right w:val="nil"/>
            </w:tcBorders>
            <w:shd w:val="clear" w:color="auto" w:fill="auto"/>
            <w:noWrap/>
            <w:vAlign w:val="bottom"/>
            <w:hideMark/>
          </w:tcPr>
          <w:p w14:paraId="720F45D5" w14:textId="77777777" w:rsidR="008F16FC" w:rsidRPr="008F16FC" w:rsidRDefault="008F16FC" w:rsidP="008F16FC">
            <w:pPr>
              <w:rPr>
                <w:color w:val="000000"/>
                <w:sz w:val="18"/>
                <w:szCs w:val="18"/>
              </w:rPr>
            </w:pPr>
            <w:r w:rsidRPr="008F16FC">
              <w:rPr>
                <w:color w:val="000000"/>
                <w:sz w:val="18"/>
                <w:szCs w:val="18"/>
              </w:rPr>
              <w:t xml:space="preserve">            10.328   </w:t>
            </w:r>
          </w:p>
        </w:tc>
        <w:tc>
          <w:tcPr>
            <w:tcW w:w="1340" w:type="dxa"/>
            <w:tcBorders>
              <w:top w:val="nil"/>
              <w:left w:val="nil"/>
              <w:bottom w:val="nil"/>
              <w:right w:val="nil"/>
            </w:tcBorders>
            <w:shd w:val="clear" w:color="auto" w:fill="auto"/>
            <w:noWrap/>
            <w:vAlign w:val="bottom"/>
            <w:hideMark/>
          </w:tcPr>
          <w:p w14:paraId="4EF6FEC1" w14:textId="77777777" w:rsidR="008F16FC" w:rsidRPr="008F16FC" w:rsidRDefault="008F16FC" w:rsidP="008F16FC">
            <w:pPr>
              <w:rPr>
                <w:color w:val="000000"/>
                <w:sz w:val="18"/>
                <w:szCs w:val="18"/>
              </w:rPr>
            </w:pPr>
            <w:r w:rsidRPr="008F16FC">
              <w:rPr>
                <w:color w:val="000000"/>
                <w:sz w:val="18"/>
                <w:szCs w:val="18"/>
              </w:rPr>
              <w:t xml:space="preserve">              7.244   </w:t>
            </w:r>
          </w:p>
        </w:tc>
      </w:tr>
      <w:tr w:rsidR="008F16FC" w:rsidRPr="008F16FC" w14:paraId="6BE99F03" w14:textId="77777777" w:rsidTr="00BA304B">
        <w:trPr>
          <w:trHeight w:val="255"/>
        </w:trPr>
        <w:tc>
          <w:tcPr>
            <w:tcW w:w="3540" w:type="dxa"/>
            <w:tcBorders>
              <w:top w:val="nil"/>
              <w:left w:val="nil"/>
              <w:bottom w:val="nil"/>
              <w:right w:val="nil"/>
            </w:tcBorders>
            <w:shd w:val="clear" w:color="auto" w:fill="auto"/>
            <w:noWrap/>
            <w:vAlign w:val="bottom"/>
            <w:hideMark/>
          </w:tcPr>
          <w:p w14:paraId="085FDDB2" w14:textId="77777777" w:rsidR="008F16FC" w:rsidRPr="008F16FC" w:rsidRDefault="008F16FC" w:rsidP="008F16FC">
            <w:pPr>
              <w:rPr>
                <w:b/>
                <w:bCs/>
                <w:color w:val="000000"/>
                <w:sz w:val="18"/>
                <w:szCs w:val="18"/>
                <w:lang w:val="es-ES"/>
              </w:rPr>
            </w:pPr>
            <w:r w:rsidRPr="008F16FC">
              <w:rPr>
                <w:b/>
                <w:bCs/>
                <w:color w:val="000000"/>
                <w:sz w:val="18"/>
                <w:szCs w:val="18"/>
                <w:lang w:val="es-ES"/>
              </w:rPr>
              <w:t>Total Propiedades, planta y equipo</w:t>
            </w:r>
          </w:p>
        </w:tc>
        <w:tc>
          <w:tcPr>
            <w:tcW w:w="1340" w:type="dxa"/>
            <w:tcBorders>
              <w:top w:val="nil"/>
              <w:left w:val="nil"/>
              <w:bottom w:val="nil"/>
              <w:right w:val="nil"/>
            </w:tcBorders>
            <w:shd w:val="clear" w:color="auto" w:fill="auto"/>
            <w:noWrap/>
            <w:vAlign w:val="bottom"/>
            <w:hideMark/>
          </w:tcPr>
          <w:p w14:paraId="60C8A88A" w14:textId="77777777" w:rsidR="008F16FC" w:rsidRPr="008F16FC" w:rsidRDefault="008F16FC" w:rsidP="008F16FC">
            <w:pPr>
              <w:rPr>
                <w:b/>
                <w:bCs/>
                <w:color w:val="000000"/>
                <w:sz w:val="18"/>
                <w:szCs w:val="18"/>
              </w:rPr>
            </w:pPr>
            <w:r w:rsidRPr="008F16FC">
              <w:rPr>
                <w:b/>
                <w:bCs/>
                <w:color w:val="000000"/>
                <w:sz w:val="18"/>
                <w:szCs w:val="18"/>
                <w:lang w:val="es-ES"/>
              </w:rPr>
              <w:t xml:space="preserve">      </w:t>
            </w:r>
            <w:r w:rsidRPr="008F16FC">
              <w:rPr>
                <w:b/>
                <w:bCs/>
                <w:color w:val="000000"/>
                <w:sz w:val="18"/>
                <w:szCs w:val="18"/>
              </w:rPr>
              <w:t xml:space="preserve">2.211.426   </w:t>
            </w:r>
          </w:p>
        </w:tc>
        <w:tc>
          <w:tcPr>
            <w:tcW w:w="1340" w:type="dxa"/>
            <w:tcBorders>
              <w:top w:val="nil"/>
              <w:left w:val="nil"/>
              <w:bottom w:val="nil"/>
              <w:right w:val="nil"/>
            </w:tcBorders>
            <w:shd w:val="clear" w:color="auto" w:fill="auto"/>
            <w:noWrap/>
            <w:vAlign w:val="bottom"/>
            <w:hideMark/>
          </w:tcPr>
          <w:p w14:paraId="0CF69CCA" w14:textId="77777777" w:rsidR="008F16FC" w:rsidRPr="008F16FC" w:rsidRDefault="008F16FC" w:rsidP="008F16FC">
            <w:pPr>
              <w:rPr>
                <w:b/>
                <w:bCs/>
                <w:color w:val="000000"/>
                <w:sz w:val="18"/>
                <w:szCs w:val="18"/>
              </w:rPr>
            </w:pPr>
            <w:r w:rsidRPr="008F16FC">
              <w:rPr>
                <w:b/>
                <w:bCs/>
                <w:color w:val="000000"/>
                <w:sz w:val="18"/>
                <w:szCs w:val="18"/>
              </w:rPr>
              <w:t xml:space="preserve">      2.544.205   </w:t>
            </w:r>
          </w:p>
        </w:tc>
      </w:tr>
      <w:tr w:rsidR="008F16FC" w:rsidRPr="008F16FC" w14:paraId="5FE9AB65" w14:textId="77777777" w:rsidTr="00BA304B">
        <w:trPr>
          <w:trHeight w:val="255"/>
        </w:trPr>
        <w:tc>
          <w:tcPr>
            <w:tcW w:w="3540" w:type="dxa"/>
            <w:tcBorders>
              <w:top w:val="nil"/>
              <w:left w:val="nil"/>
              <w:bottom w:val="nil"/>
              <w:right w:val="nil"/>
            </w:tcBorders>
            <w:shd w:val="clear" w:color="auto" w:fill="auto"/>
            <w:noWrap/>
            <w:vAlign w:val="bottom"/>
            <w:hideMark/>
          </w:tcPr>
          <w:p w14:paraId="7C8627AE" w14:textId="77777777" w:rsidR="008F16FC" w:rsidRPr="008F16FC" w:rsidRDefault="008F16FC" w:rsidP="008F16FC">
            <w:pPr>
              <w:rPr>
                <w:color w:val="000000"/>
                <w:sz w:val="18"/>
                <w:szCs w:val="18"/>
              </w:rPr>
            </w:pPr>
          </w:p>
        </w:tc>
        <w:tc>
          <w:tcPr>
            <w:tcW w:w="1340" w:type="dxa"/>
            <w:tcBorders>
              <w:top w:val="nil"/>
              <w:left w:val="nil"/>
              <w:bottom w:val="nil"/>
              <w:right w:val="nil"/>
            </w:tcBorders>
            <w:shd w:val="clear" w:color="auto" w:fill="auto"/>
            <w:noWrap/>
            <w:vAlign w:val="bottom"/>
            <w:hideMark/>
          </w:tcPr>
          <w:p w14:paraId="41AD2623" w14:textId="77777777" w:rsidR="008F16FC" w:rsidRPr="008F16FC" w:rsidRDefault="008F16FC" w:rsidP="008F16FC">
            <w:pPr>
              <w:rPr>
                <w:color w:val="000000"/>
                <w:sz w:val="18"/>
                <w:szCs w:val="18"/>
              </w:rPr>
            </w:pPr>
          </w:p>
        </w:tc>
        <w:tc>
          <w:tcPr>
            <w:tcW w:w="1340" w:type="dxa"/>
            <w:tcBorders>
              <w:top w:val="nil"/>
              <w:left w:val="nil"/>
              <w:bottom w:val="nil"/>
              <w:right w:val="nil"/>
            </w:tcBorders>
            <w:shd w:val="clear" w:color="auto" w:fill="auto"/>
            <w:noWrap/>
            <w:vAlign w:val="bottom"/>
            <w:hideMark/>
          </w:tcPr>
          <w:p w14:paraId="2A9CE428" w14:textId="77777777" w:rsidR="008F16FC" w:rsidRPr="008F16FC" w:rsidRDefault="008F16FC" w:rsidP="008F16FC">
            <w:pPr>
              <w:rPr>
                <w:color w:val="000000"/>
                <w:sz w:val="18"/>
                <w:szCs w:val="18"/>
              </w:rPr>
            </w:pPr>
          </w:p>
        </w:tc>
      </w:tr>
      <w:tr w:rsidR="008F16FC" w:rsidRPr="008F16FC" w14:paraId="3FA95176" w14:textId="77777777" w:rsidTr="00BA304B">
        <w:trPr>
          <w:trHeight w:val="255"/>
        </w:trPr>
        <w:tc>
          <w:tcPr>
            <w:tcW w:w="3540" w:type="dxa"/>
            <w:tcBorders>
              <w:top w:val="nil"/>
              <w:left w:val="nil"/>
              <w:bottom w:val="nil"/>
              <w:right w:val="nil"/>
            </w:tcBorders>
            <w:shd w:val="clear" w:color="auto" w:fill="auto"/>
            <w:noWrap/>
            <w:vAlign w:val="bottom"/>
            <w:hideMark/>
          </w:tcPr>
          <w:p w14:paraId="22612BDE" w14:textId="77777777" w:rsidR="008F16FC" w:rsidRPr="008F16FC" w:rsidRDefault="008F16FC" w:rsidP="008F16FC">
            <w:pPr>
              <w:rPr>
                <w:b/>
                <w:bCs/>
                <w:color w:val="000000"/>
                <w:sz w:val="18"/>
                <w:szCs w:val="18"/>
              </w:rPr>
            </w:pPr>
            <w:r w:rsidRPr="008F16FC">
              <w:rPr>
                <w:b/>
                <w:bCs/>
                <w:color w:val="000000"/>
                <w:sz w:val="18"/>
                <w:szCs w:val="18"/>
              </w:rPr>
              <w:t>Activos intangibles</w:t>
            </w:r>
          </w:p>
        </w:tc>
        <w:tc>
          <w:tcPr>
            <w:tcW w:w="1340" w:type="dxa"/>
            <w:tcBorders>
              <w:top w:val="nil"/>
              <w:left w:val="nil"/>
              <w:bottom w:val="nil"/>
              <w:right w:val="nil"/>
            </w:tcBorders>
            <w:shd w:val="clear" w:color="auto" w:fill="auto"/>
            <w:noWrap/>
            <w:vAlign w:val="bottom"/>
            <w:hideMark/>
          </w:tcPr>
          <w:p w14:paraId="04DCA5E4" w14:textId="77777777" w:rsidR="008F16FC" w:rsidRPr="008F16FC" w:rsidRDefault="008F16FC" w:rsidP="008F16FC">
            <w:pPr>
              <w:rPr>
                <w:color w:val="000000"/>
                <w:sz w:val="18"/>
                <w:szCs w:val="18"/>
              </w:rPr>
            </w:pPr>
          </w:p>
        </w:tc>
        <w:tc>
          <w:tcPr>
            <w:tcW w:w="1340" w:type="dxa"/>
            <w:tcBorders>
              <w:top w:val="nil"/>
              <w:left w:val="nil"/>
              <w:bottom w:val="nil"/>
              <w:right w:val="nil"/>
            </w:tcBorders>
            <w:shd w:val="clear" w:color="auto" w:fill="auto"/>
            <w:noWrap/>
            <w:vAlign w:val="bottom"/>
            <w:hideMark/>
          </w:tcPr>
          <w:p w14:paraId="1FD4BED2" w14:textId="77777777" w:rsidR="008F16FC" w:rsidRPr="008F16FC" w:rsidRDefault="008F16FC" w:rsidP="008F16FC">
            <w:pPr>
              <w:rPr>
                <w:color w:val="000000"/>
                <w:sz w:val="18"/>
                <w:szCs w:val="18"/>
              </w:rPr>
            </w:pPr>
          </w:p>
        </w:tc>
      </w:tr>
      <w:tr w:rsidR="008F16FC" w:rsidRPr="008F16FC" w14:paraId="1ABFA8CD" w14:textId="77777777" w:rsidTr="00BA304B">
        <w:trPr>
          <w:trHeight w:val="255"/>
        </w:trPr>
        <w:tc>
          <w:tcPr>
            <w:tcW w:w="3540" w:type="dxa"/>
            <w:tcBorders>
              <w:top w:val="nil"/>
              <w:left w:val="nil"/>
              <w:bottom w:val="nil"/>
              <w:right w:val="nil"/>
            </w:tcBorders>
            <w:shd w:val="clear" w:color="auto" w:fill="auto"/>
            <w:noWrap/>
            <w:vAlign w:val="bottom"/>
            <w:hideMark/>
          </w:tcPr>
          <w:p w14:paraId="5DA6E72B" w14:textId="777ED4D8" w:rsidR="008F16FC" w:rsidRPr="008F16FC" w:rsidRDefault="008F16FC" w:rsidP="008F16FC">
            <w:pPr>
              <w:rPr>
                <w:color w:val="000000"/>
                <w:sz w:val="18"/>
                <w:szCs w:val="18"/>
              </w:rPr>
            </w:pPr>
            <w:r w:rsidRPr="008F16FC">
              <w:rPr>
                <w:color w:val="000000"/>
                <w:sz w:val="18"/>
                <w:szCs w:val="18"/>
              </w:rPr>
              <w:t xml:space="preserve">Desarrollos área </w:t>
            </w:r>
            <w:r w:rsidR="006D23A9">
              <w:rPr>
                <w:color w:val="000000"/>
                <w:sz w:val="18"/>
                <w:szCs w:val="18"/>
              </w:rPr>
              <w:t>esp</w:t>
            </w:r>
            <w:r w:rsidR="008C71A8">
              <w:rPr>
                <w:color w:val="000000"/>
                <w:sz w:val="18"/>
                <w:szCs w:val="18"/>
              </w:rPr>
              <w:t>a</w:t>
            </w:r>
            <w:r w:rsidR="006D23A9">
              <w:rPr>
                <w:color w:val="000000"/>
                <w:sz w:val="18"/>
                <w:szCs w:val="18"/>
              </w:rPr>
              <w:t>cial</w:t>
            </w:r>
          </w:p>
        </w:tc>
        <w:tc>
          <w:tcPr>
            <w:tcW w:w="1340" w:type="dxa"/>
            <w:tcBorders>
              <w:top w:val="nil"/>
              <w:left w:val="nil"/>
              <w:bottom w:val="nil"/>
              <w:right w:val="nil"/>
            </w:tcBorders>
            <w:shd w:val="clear" w:color="auto" w:fill="auto"/>
            <w:noWrap/>
            <w:vAlign w:val="bottom"/>
            <w:hideMark/>
          </w:tcPr>
          <w:p w14:paraId="66FF4B83" w14:textId="77777777" w:rsidR="008F16FC" w:rsidRPr="008F16FC" w:rsidRDefault="008F16FC" w:rsidP="008F16FC">
            <w:pPr>
              <w:rPr>
                <w:color w:val="000000"/>
                <w:sz w:val="18"/>
                <w:szCs w:val="18"/>
              </w:rPr>
            </w:pPr>
            <w:r w:rsidRPr="008F16FC">
              <w:rPr>
                <w:color w:val="000000"/>
                <w:sz w:val="18"/>
                <w:szCs w:val="18"/>
              </w:rPr>
              <w:t xml:space="preserve">          252.234   </w:t>
            </w:r>
          </w:p>
        </w:tc>
        <w:tc>
          <w:tcPr>
            <w:tcW w:w="1340" w:type="dxa"/>
            <w:tcBorders>
              <w:top w:val="nil"/>
              <w:left w:val="nil"/>
              <w:bottom w:val="nil"/>
              <w:right w:val="nil"/>
            </w:tcBorders>
            <w:shd w:val="clear" w:color="auto" w:fill="auto"/>
            <w:noWrap/>
            <w:vAlign w:val="bottom"/>
            <w:hideMark/>
          </w:tcPr>
          <w:p w14:paraId="6B00DA32" w14:textId="77777777" w:rsidR="008F16FC" w:rsidRPr="008F16FC" w:rsidRDefault="008F16FC" w:rsidP="008F16FC">
            <w:pPr>
              <w:rPr>
                <w:color w:val="000000"/>
                <w:sz w:val="18"/>
                <w:szCs w:val="18"/>
              </w:rPr>
            </w:pPr>
            <w:r w:rsidRPr="008F16FC">
              <w:rPr>
                <w:color w:val="000000"/>
                <w:sz w:val="18"/>
                <w:szCs w:val="18"/>
              </w:rPr>
              <w:t xml:space="preserve">          232.482   </w:t>
            </w:r>
          </w:p>
        </w:tc>
      </w:tr>
      <w:tr w:rsidR="008F16FC" w:rsidRPr="008F16FC" w14:paraId="0AACC595" w14:textId="77777777" w:rsidTr="00BA304B">
        <w:trPr>
          <w:trHeight w:val="255"/>
        </w:trPr>
        <w:tc>
          <w:tcPr>
            <w:tcW w:w="3540" w:type="dxa"/>
            <w:tcBorders>
              <w:top w:val="nil"/>
              <w:left w:val="nil"/>
              <w:bottom w:val="nil"/>
              <w:right w:val="nil"/>
            </w:tcBorders>
            <w:shd w:val="clear" w:color="auto" w:fill="auto"/>
            <w:noWrap/>
            <w:vAlign w:val="bottom"/>
            <w:hideMark/>
          </w:tcPr>
          <w:p w14:paraId="45BB8508" w14:textId="77777777" w:rsidR="008F16FC" w:rsidRPr="008F16FC" w:rsidRDefault="008F16FC" w:rsidP="008F16FC">
            <w:pPr>
              <w:rPr>
                <w:color w:val="000000"/>
                <w:sz w:val="18"/>
                <w:szCs w:val="18"/>
              </w:rPr>
            </w:pPr>
            <w:r w:rsidRPr="008F16FC">
              <w:rPr>
                <w:color w:val="000000"/>
                <w:sz w:val="18"/>
                <w:szCs w:val="18"/>
              </w:rPr>
              <w:t>Desarrollos área nuclear</w:t>
            </w:r>
          </w:p>
        </w:tc>
        <w:tc>
          <w:tcPr>
            <w:tcW w:w="1340" w:type="dxa"/>
            <w:tcBorders>
              <w:top w:val="nil"/>
              <w:left w:val="nil"/>
              <w:bottom w:val="nil"/>
              <w:right w:val="nil"/>
            </w:tcBorders>
            <w:shd w:val="clear" w:color="auto" w:fill="auto"/>
            <w:noWrap/>
            <w:vAlign w:val="bottom"/>
            <w:hideMark/>
          </w:tcPr>
          <w:p w14:paraId="45EB6576" w14:textId="77777777" w:rsidR="008F16FC" w:rsidRPr="008F16FC" w:rsidRDefault="008F16FC" w:rsidP="008F16FC">
            <w:pPr>
              <w:rPr>
                <w:color w:val="000000"/>
                <w:sz w:val="18"/>
                <w:szCs w:val="18"/>
              </w:rPr>
            </w:pPr>
            <w:r w:rsidRPr="008F16FC">
              <w:rPr>
                <w:color w:val="000000"/>
                <w:sz w:val="18"/>
                <w:szCs w:val="18"/>
              </w:rPr>
              <w:t xml:space="preserve">            72.472   </w:t>
            </w:r>
          </w:p>
        </w:tc>
        <w:tc>
          <w:tcPr>
            <w:tcW w:w="1340" w:type="dxa"/>
            <w:tcBorders>
              <w:top w:val="nil"/>
              <w:left w:val="nil"/>
              <w:bottom w:val="nil"/>
              <w:right w:val="nil"/>
            </w:tcBorders>
            <w:shd w:val="clear" w:color="auto" w:fill="auto"/>
            <w:noWrap/>
            <w:vAlign w:val="bottom"/>
            <w:hideMark/>
          </w:tcPr>
          <w:p w14:paraId="72A04CBC" w14:textId="77777777" w:rsidR="008F16FC" w:rsidRPr="008F16FC" w:rsidRDefault="008F16FC" w:rsidP="008F16FC">
            <w:pPr>
              <w:rPr>
                <w:color w:val="000000"/>
                <w:sz w:val="18"/>
                <w:szCs w:val="18"/>
              </w:rPr>
            </w:pPr>
            <w:r w:rsidRPr="008F16FC">
              <w:rPr>
                <w:color w:val="000000"/>
                <w:sz w:val="18"/>
                <w:szCs w:val="18"/>
              </w:rPr>
              <w:t xml:space="preserve">            74.946   </w:t>
            </w:r>
          </w:p>
        </w:tc>
      </w:tr>
      <w:tr w:rsidR="008F16FC" w:rsidRPr="008F16FC" w14:paraId="298EAFCF" w14:textId="77777777" w:rsidTr="00BA304B">
        <w:trPr>
          <w:trHeight w:val="255"/>
        </w:trPr>
        <w:tc>
          <w:tcPr>
            <w:tcW w:w="3540" w:type="dxa"/>
            <w:tcBorders>
              <w:top w:val="nil"/>
              <w:left w:val="nil"/>
              <w:bottom w:val="nil"/>
              <w:right w:val="nil"/>
            </w:tcBorders>
            <w:shd w:val="clear" w:color="auto" w:fill="auto"/>
            <w:noWrap/>
            <w:vAlign w:val="bottom"/>
            <w:hideMark/>
          </w:tcPr>
          <w:p w14:paraId="21248D38" w14:textId="77777777" w:rsidR="008F16FC" w:rsidRPr="008F16FC" w:rsidRDefault="008F16FC" w:rsidP="008F16FC">
            <w:pPr>
              <w:rPr>
                <w:color w:val="000000"/>
                <w:sz w:val="18"/>
                <w:szCs w:val="18"/>
              </w:rPr>
            </w:pPr>
            <w:r w:rsidRPr="008F16FC">
              <w:rPr>
                <w:color w:val="000000"/>
                <w:sz w:val="18"/>
                <w:szCs w:val="18"/>
              </w:rPr>
              <w:t>Desarrollos área SIT</w:t>
            </w:r>
          </w:p>
        </w:tc>
        <w:tc>
          <w:tcPr>
            <w:tcW w:w="1340" w:type="dxa"/>
            <w:tcBorders>
              <w:top w:val="nil"/>
              <w:left w:val="nil"/>
              <w:bottom w:val="nil"/>
              <w:right w:val="nil"/>
            </w:tcBorders>
            <w:shd w:val="clear" w:color="auto" w:fill="auto"/>
            <w:noWrap/>
            <w:vAlign w:val="bottom"/>
            <w:hideMark/>
          </w:tcPr>
          <w:p w14:paraId="124A57A4" w14:textId="77777777" w:rsidR="008F16FC" w:rsidRPr="008F16FC" w:rsidRDefault="008F16FC" w:rsidP="008F16FC">
            <w:pPr>
              <w:rPr>
                <w:color w:val="000000"/>
                <w:sz w:val="18"/>
                <w:szCs w:val="18"/>
              </w:rPr>
            </w:pPr>
            <w:r w:rsidRPr="008F16FC">
              <w:rPr>
                <w:color w:val="000000"/>
                <w:sz w:val="18"/>
                <w:szCs w:val="18"/>
              </w:rPr>
              <w:t xml:space="preserve">                     -     </w:t>
            </w:r>
          </w:p>
        </w:tc>
        <w:tc>
          <w:tcPr>
            <w:tcW w:w="1340" w:type="dxa"/>
            <w:tcBorders>
              <w:top w:val="nil"/>
              <w:left w:val="nil"/>
              <w:bottom w:val="nil"/>
              <w:right w:val="nil"/>
            </w:tcBorders>
            <w:shd w:val="clear" w:color="auto" w:fill="auto"/>
            <w:noWrap/>
            <w:vAlign w:val="bottom"/>
            <w:hideMark/>
          </w:tcPr>
          <w:p w14:paraId="4910EE31" w14:textId="77777777" w:rsidR="008F16FC" w:rsidRPr="008F16FC" w:rsidRDefault="008F16FC" w:rsidP="008F16FC">
            <w:pPr>
              <w:rPr>
                <w:color w:val="000000"/>
                <w:sz w:val="18"/>
                <w:szCs w:val="18"/>
              </w:rPr>
            </w:pPr>
            <w:r w:rsidRPr="008F16FC">
              <w:rPr>
                <w:color w:val="000000"/>
                <w:sz w:val="18"/>
                <w:szCs w:val="18"/>
              </w:rPr>
              <w:t xml:space="preserve">                     -     </w:t>
            </w:r>
          </w:p>
        </w:tc>
      </w:tr>
      <w:tr w:rsidR="008F16FC" w:rsidRPr="008F16FC" w14:paraId="6C39DACE" w14:textId="77777777" w:rsidTr="00BA304B">
        <w:trPr>
          <w:trHeight w:val="255"/>
        </w:trPr>
        <w:tc>
          <w:tcPr>
            <w:tcW w:w="3540" w:type="dxa"/>
            <w:tcBorders>
              <w:top w:val="nil"/>
              <w:left w:val="nil"/>
              <w:bottom w:val="nil"/>
              <w:right w:val="nil"/>
            </w:tcBorders>
            <w:shd w:val="clear" w:color="auto" w:fill="auto"/>
            <w:noWrap/>
            <w:vAlign w:val="bottom"/>
            <w:hideMark/>
          </w:tcPr>
          <w:p w14:paraId="61FB6227" w14:textId="27F3E17A" w:rsidR="008F16FC" w:rsidRPr="008F16FC" w:rsidRDefault="008F16FC" w:rsidP="008F16FC">
            <w:pPr>
              <w:rPr>
                <w:color w:val="000000"/>
                <w:sz w:val="18"/>
                <w:szCs w:val="18"/>
              </w:rPr>
            </w:pPr>
            <w:r w:rsidRPr="008F16FC">
              <w:rPr>
                <w:color w:val="000000"/>
                <w:sz w:val="18"/>
                <w:szCs w:val="18"/>
              </w:rPr>
              <w:t>Desarrollos industrial</w:t>
            </w:r>
            <w:r w:rsidR="00BC69AA">
              <w:rPr>
                <w:color w:val="000000"/>
                <w:sz w:val="18"/>
                <w:szCs w:val="18"/>
              </w:rPr>
              <w:t>e</w:t>
            </w:r>
            <w:r w:rsidRPr="008F16FC">
              <w:rPr>
                <w:color w:val="000000"/>
                <w:sz w:val="18"/>
                <w:szCs w:val="18"/>
              </w:rPr>
              <w:t>s</w:t>
            </w:r>
          </w:p>
        </w:tc>
        <w:tc>
          <w:tcPr>
            <w:tcW w:w="1340" w:type="dxa"/>
            <w:tcBorders>
              <w:top w:val="nil"/>
              <w:left w:val="nil"/>
              <w:bottom w:val="nil"/>
              <w:right w:val="nil"/>
            </w:tcBorders>
            <w:shd w:val="clear" w:color="auto" w:fill="auto"/>
            <w:noWrap/>
            <w:vAlign w:val="bottom"/>
            <w:hideMark/>
          </w:tcPr>
          <w:p w14:paraId="03F156BA" w14:textId="77777777" w:rsidR="008F16FC" w:rsidRPr="008F16FC" w:rsidRDefault="008F16FC" w:rsidP="008F16FC">
            <w:pPr>
              <w:rPr>
                <w:color w:val="000000"/>
                <w:sz w:val="18"/>
                <w:szCs w:val="18"/>
              </w:rPr>
            </w:pPr>
            <w:r w:rsidRPr="008F16FC">
              <w:rPr>
                <w:color w:val="000000"/>
                <w:sz w:val="18"/>
                <w:szCs w:val="18"/>
              </w:rPr>
              <w:t xml:space="preserve">            63.470   </w:t>
            </w:r>
          </w:p>
        </w:tc>
        <w:tc>
          <w:tcPr>
            <w:tcW w:w="1340" w:type="dxa"/>
            <w:tcBorders>
              <w:top w:val="nil"/>
              <w:left w:val="nil"/>
              <w:bottom w:val="nil"/>
              <w:right w:val="nil"/>
            </w:tcBorders>
            <w:shd w:val="clear" w:color="auto" w:fill="auto"/>
            <w:noWrap/>
            <w:vAlign w:val="bottom"/>
            <w:hideMark/>
          </w:tcPr>
          <w:p w14:paraId="5C98C7E7" w14:textId="77777777" w:rsidR="008F16FC" w:rsidRPr="008F16FC" w:rsidRDefault="008F16FC" w:rsidP="008F16FC">
            <w:pPr>
              <w:rPr>
                <w:color w:val="000000"/>
                <w:sz w:val="18"/>
                <w:szCs w:val="18"/>
              </w:rPr>
            </w:pPr>
            <w:r w:rsidRPr="008F16FC">
              <w:rPr>
                <w:color w:val="000000"/>
                <w:sz w:val="18"/>
                <w:szCs w:val="18"/>
              </w:rPr>
              <w:t xml:space="preserve">            85.601   </w:t>
            </w:r>
          </w:p>
        </w:tc>
      </w:tr>
      <w:tr w:rsidR="008F16FC" w:rsidRPr="008F16FC" w14:paraId="600CEB6C" w14:textId="77777777" w:rsidTr="00BA304B">
        <w:trPr>
          <w:trHeight w:val="255"/>
        </w:trPr>
        <w:tc>
          <w:tcPr>
            <w:tcW w:w="3540" w:type="dxa"/>
            <w:tcBorders>
              <w:top w:val="nil"/>
              <w:left w:val="nil"/>
              <w:bottom w:val="nil"/>
              <w:right w:val="nil"/>
            </w:tcBorders>
            <w:shd w:val="clear" w:color="auto" w:fill="auto"/>
            <w:noWrap/>
            <w:vAlign w:val="bottom"/>
            <w:hideMark/>
          </w:tcPr>
          <w:p w14:paraId="028C14A4" w14:textId="77777777" w:rsidR="008F16FC" w:rsidRPr="008F16FC" w:rsidRDefault="008F16FC" w:rsidP="008F16FC">
            <w:pPr>
              <w:rPr>
                <w:color w:val="000000"/>
                <w:sz w:val="18"/>
                <w:szCs w:val="18"/>
              </w:rPr>
            </w:pPr>
            <w:r w:rsidRPr="008F16FC">
              <w:rPr>
                <w:color w:val="000000"/>
                <w:sz w:val="18"/>
                <w:szCs w:val="18"/>
              </w:rPr>
              <w:t>Desarrollos sistemas de información</w:t>
            </w:r>
          </w:p>
        </w:tc>
        <w:tc>
          <w:tcPr>
            <w:tcW w:w="1340" w:type="dxa"/>
            <w:tcBorders>
              <w:top w:val="nil"/>
              <w:left w:val="nil"/>
              <w:bottom w:val="nil"/>
              <w:right w:val="nil"/>
            </w:tcBorders>
            <w:shd w:val="clear" w:color="auto" w:fill="auto"/>
            <w:noWrap/>
            <w:vAlign w:val="bottom"/>
            <w:hideMark/>
          </w:tcPr>
          <w:p w14:paraId="5300782C" w14:textId="77777777" w:rsidR="008F16FC" w:rsidRPr="008F16FC" w:rsidRDefault="008F16FC" w:rsidP="008F16FC">
            <w:pPr>
              <w:rPr>
                <w:color w:val="000000"/>
                <w:sz w:val="18"/>
                <w:szCs w:val="18"/>
              </w:rPr>
            </w:pPr>
            <w:r w:rsidRPr="008F16FC">
              <w:rPr>
                <w:color w:val="000000"/>
                <w:sz w:val="18"/>
                <w:szCs w:val="18"/>
              </w:rPr>
              <w:t xml:space="preserve">            83.285   </w:t>
            </w:r>
          </w:p>
        </w:tc>
        <w:tc>
          <w:tcPr>
            <w:tcW w:w="1340" w:type="dxa"/>
            <w:tcBorders>
              <w:top w:val="nil"/>
              <w:left w:val="nil"/>
              <w:bottom w:val="nil"/>
              <w:right w:val="nil"/>
            </w:tcBorders>
            <w:shd w:val="clear" w:color="auto" w:fill="auto"/>
            <w:noWrap/>
            <w:vAlign w:val="bottom"/>
            <w:hideMark/>
          </w:tcPr>
          <w:p w14:paraId="540F0A59" w14:textId="77777777" w:rsidR="008F16FC" w:rsidRPr="008F16FC" w:rsidRDefault="008F16FC" w:rsidP="008F16FC">
            <w:pPr>
              <w:rPr>
                <w:color w:val="000000"/>
                <w:sz w:val="18"/>
                <w:szCs w:val="18"/>
              </w:rPr>
            </w:pPr>
            <w:r w:rsidRPr="008F16FC">
              <w:rPr>
                <w:color w:val="000000"/>
                <w:sz w:val="18"/>
                <w:szCs w:val="18"/>
              </w:rPr>
              <w:t xml:space="preserve">            81.249   </w:t>
            </w:r>
          </w:p>
        </w:tc>
      </w:tr>
      <w:tr w:rsidR="008F16FC" w:rsidRPr="008F16FC" w14:paraId="68971BF8" w14:textId="77777777" w:rsidTr="00BA304B">
        <w:trPr>
          <w:trHeight w:val="255"/>
        </w:trPr>
        <w:tc>
          <w:tcPr>
            <w:tcW w:w="3540" w:type="dxa"/>
            <w:tcBorders>
              <w:top w:val="nil"/>
              <w:left w:val="nil"/>
              <w:bottom w:val="nil"/>
              <w:right w:val="nil"/>
            </w:tcBorders>
            <w:shd w:val="clear" w:color="auto" w:fill="auto"/>
            <w:noWrap/>
            <w:vAlign w:val="bottom"/>
            <w:hideMark/>
          </w:tcPr>
          <w:p w14:paraId="6AB06812" w14:textId="77777777" w:rsidR="008F16FC" w:rsidRPr="008F16FC" w:rsidRDefault="008F16FC" w:rsidP="008F16FC">
            <w:pPr>
              <w:rPr>
                <w:color w:val="000000"/>
                <w:sz w:val="18"/>
                <w:szCs w:val="18"/>
              </w:rPr>
            </w:pPr>
            <w:r w:rsidRPr="008F16FC">
              <w:rPr>
                <w:color w:val="000000"/>
                <w:sz w:val="18"/>
                <w:szCs w:val="18"/>
              </w:rPr>
              <w:t>Marcas y patentes</w:t>
            </w:r>
          </w:p>
        </w:tc>
        <w:tc>
          <w:tcPr>
            <w:tcW w:w="1340" w:type="dxa"/>
            <w:tcBorders>
              <w:top w:val="nil"/>
              <w:left w:val="nil"/>
              <w:bottom w:val="nil"/>
              <w:right w:val="nil"/>
            </w:tcBorders>
            <w:shd w:val="clear" w:color="auto" w:fill="auto"/>
            <w:noWrap/>
            <w:vAlign w:val="bottom"/>
            <w:hideMark/>
          </w:tcPr>
          <w:p w14:paraId="0C957294" w14:textId="77777777" w:rsidR="008F16FC" w:rsidRPr="008F16FC" w:rsidRDefault="008F16FC" w:rsidP="008F16FC">
            <w:pPr>
              <w:rPr>
                <w:color w:val="000000"/>
                <w:sz w:val="18"/>
                <w:szCs w:val="18"/>
              </w:rPr>
            </w:pPr>
            <w:r w:rsidRPr="008F16FC">
              <w:rPr>
                <w:color w:val="000000"/>
                <w:sz w:val="18"/>
                <w:szCs w:val="18"/>
              </w:rPr>
              <w:t xml:space="preserve">              3.574   </w:t>
            </w:r>
          </w:p>
        </w:tc>
        <w:tc>
          <w:tcPr>
            <w:tcW w:w="1340" w:type="dxa"/>
            <w:tcBorders>
              <w:top w:val="nil"/>
              <w:left w:val="nil"/>
              <w:bottom w:val="nil"/>
              <w:right w:val="nil"/>
            </w:tcBorders>
            <w:shd w:val="clear" w:color="auto" w:fill="auto"/>
            <w:noWrap/>
            <w:vAlign w:val="bottom"/>
            <w:hideMark/>
          </w:tcPr>
          <w:p w14:paraId="5C594ACA" w14:textId="77777777" w:rsidR="008F16FC" w:rsidRPr="008F16FC" w:rsidRDefault="008F16FC" w:rsidP="008F16FC">
            <w:pPr>
              <w:rPr>
                <w:color w:val="000000"/>
                <w:sz w:val="18"/>
                <w:szCs w:val="18"/>
              </w:rPr>
            </w:pPr>
            <w:r w:rsidRPr="008F16FC">
              <w:rPr>
                <w:color w:val="000000"/>
                <w:sz w:val="18"/>
                <w:szCs w:val="18"/>
              </w:rPr>
              <w:t xml:space="preserve">              3.080   </w:t>
            </w:r>
          </w:p>
        </w:tc>
      </w:tr>
      <w:tr w:rsidR="008F16FC" w:rsidRPr="008F16FC" w14:paraId="1F0693F7" w14:textId="77777777" w:rsidTr="00BA304B">
        <w:trPr>
          <w:trHeight w:val="255"/>
        </w:trPr>
        <w:tc>
          <w:tcPr>
            <w:tcW w:w="3540" w:type="dxa"/>
            <w:tcBorders>
              <w:top w:val="nil"/>
              <w:left w:val="nil"/>
              <w:bottom w:val="nil"/>
              <w:right w:val="nil"/>
            </w:tcBorders>
            <w:shd w:val="clear" w:color="auto" w:fill="auto"/>
            <w:noWrap/>
            <w:vAlign w:val="bottom"/>
            <w:hideMark/>
          </w:tcPr>
          <w:p w14:paraId="0818EB37" w14:textId="77777777" w:rsidR="008F16FC" w:rsidRPr="008F16FC" w:rsidRDefault="008F16FC" w:rsidP="008F16FC">
            <w:pPr>
              <w:rPr>
                <w:color w:val="000000"/>
                <w:sz w:val="18"/>
                <w:szCs w:val="18"/>
              </w:rPr>
            </w:pPr>
            <w:r w:rsidRPr="008F16FC">
              <w:rPr>
                <w:color w:val="000000"/>
                <w:sz w:val="18"/>
                <w:szCs w:val="18"/>
              </w:rPr>
              <w:t>Otros intangibles</w:t>
            </w:r>
          </w:p>
        </w:tc>
        <w:tc>
          <w:tcPr>
            <w:tcW w:w="1340" w:type="dxa"/>
            <w:tcBorders>
              <w:top w:val="nil"/>
              <w:left w:val="nil"/>
              <w:bottom w:val="nil"/>
              <w:right w:val="nil"/>
            </w:tcBorders>
            <w:shd w:val="clear" w:color="auto" w:fill="auto"/>
            <w:noWrap/>
            <w:vAlign w:val="bottom"/>
            <w:hideMark/>
          </w:tcPr>
          <w:p w14:paraId="3F044298" w14:textId="77777777" w:rsidR="008F16FC" w:rsidRPr="008F16FC" w:rsidRDefault="008F16FC" w:rsidP="008F16FC">
            <w:pPr>
              <w:rPr>
                <w:color w:val="000000"/>
                <w:sz w:val="18"/>
                <w:szCs w:val="18"/>
              </w:rPr>
            </w:pPr>
            <w:r w:rsidRPr="008F16FC">
              <w:rPr>
                <w:color w:val="000000"/>
                <w:sz w:val="18"/>
                <w:szCs w:val="18"/>
              </w:rPr>
              <w:t xml:space="preserve">          121.939   </w:t>
            </w:r>
          </w:p>
        </w:tc>
        <w:tc>
          <w:tcPr>
            <w:tcW w:w="1340" w:type="dxa"/>
            <w:tcBorders>
              <w:top w:val="nil"/>
              <w:left w:val="nil"/>
              <w:bottom w:val="nil"/>
              <w:right w:val="nil"/>
            </w:tcBorders>
            <w:shd w:val="clear" w:color="auto" w:fill="auto"/>
            <w:noWrap/>
            <w:vAlign w:val="bottom"/>
            <w:hideMark/>
          </w:tcPr>
          <w:p w14:paraId="217BA21A" w14:textId="77777777" w:rsidR="008F16FC" w:rsidRPr="008F16FC" w:rsidRDefault="008F16FC" w:rsidP="008F16FC">
            <w:pPr>
              <w:rPr>
                <w:color w:val="000000"/>
                <w:sz w:val="18"/>
                <w:szCs w:val="18"/>
              </w:rPr>
            </w:pPr>
            <w:r w:rsidRPr="008F16FC">
              <w:rPr>
                <w:color w:val="000000"/>
                <w:sz w:val="18"/>
                <w:szCs w:val="18"/>
              </w:rPr>
              <w:t xml:space="preserve">            94.141   </w:t>
            </w:r>
          </w:p>
        </w:tc>
      </w:tr>
      <w:tr w:rsidR="008F16FC" w:rsidRPr="008F16FC" w14:paraId="6B681718" w14:textId="77777777" w:rsidTr="00BA304B">
        <w:trPr>
          <w:trHeight w:val="255"/>
        </w:trPr>
        <w:tc>
          <w:tcPr>
            <w:tcW w:w="3540" w:type="dxa"/>
            <w:tcBorders>
              <w:top w:val="nil"/>
              <w:left w:val="nil"/>
              <w:bottom w:val="nil"/>
              <w:right w:val="nil"/>
            </w:tcBorders>
            <w:shd w:val="clear" w:color="auto" w:fill="auto"/>
            <w:noWrap/>
            <w:vAlign w:val="bottom"/>
            <w:hideMark/>
          </w:tcPr>
          <w:p w14:paraId="5A67405F" w14:textId="77777777" w:rsidR="008F16FC" w:rsidRPr="008F16FC" w:rsidRDefault="008F16FC" w:rsidP="008F16FC">
            <w:pPr>
              <w:rPr>
                <w:b/>
                <w:bCs/>
                <w:color w:val="000000"/>
                <w:sz w:val="18"/>
                <w:szCs w:val="18"/>
              </w:rPr>
            </w:pPr>
            <w:r w:rsidRPr="008F16FC">
              <w:rPr>
                <w:b/>
                <w:bCs/>
                <w:color w:val="000000"/>
                <w:sz w:val="18"/>
                <w:szCs w:val="18"/>
              </w:rPr>
              <w:t>Total Activos intangibles</w:t>
            </w:r>
          </w:p>
        </w:tc>
        <w:tc>
          <w:tcPr>
            <w:tcW w:w="1340" w:type="dxa"/>
            <w:tcBorders>
              <w:top w:val="nil"/>
              <w:left w:val="nil"/>
              <w:bottom w:val="nil"/>
              <w:right w:val="nil"/>
            </w:tcBorders>
            <w:shd w:val="clear" w:color="auto" w:fill="auto"/>
            <w:noWrap/>
            <w:vAlign w:val="bottom"/>
            <w:hideMark/>
          </w:tcPr>
          <w:p w14:paraId="461D6DF4" w14:textId="77777777" w:rsidR="008F16FC" w:rsidRPr="008F16FC" w:rsidRDefault="008F16FC" w:rsidP="008F16FC">
            <w:pPr>
              <w:rPr>
                <w:b/>
                <w:bCs/>
                <w:color w:val="000000"/>
                <w:sz w:val="18"/>
                <w:szCs w:val="18"/>
              </w:rPr>
            </w:pPr>
            <w:r w:rsidRPr="008F16FC">
              <w:rPr>
                <w:b/>
                <w:bCs/>
                <w:color w:val="000000"/>
                <w:sz w:val="18"/>
                <w:szCs w:val="18"/>
              </w:rPr>
              <w:t xml:space="preserve">          596.974   </w:t>
            </w:r>
          </w:p>
        </w:tc>
        <w:tc>
          <w:tcPr>
            <w:tcW w:w="1340" w:type="dxa"/>
            <w:tcBorders>
              <w:top w:val="nil"/>
              <w:left w:val="nil"/>
              <w:bottom w:val="nil"/>
              <w:right w:val="nil"/>
            </w:tcBorders>
            <w:shd w:val="clear" w:color="auto" w:fill="auto"/>
            <w:noWrap/>
            <w:vAlign w:val="bottom"/>
            <w:hideMark/>
          </w:tcPr>
          <w:p w14:paraId="721003A0" w14:textId="77777777" w:rsidR="008F16FC" w:rsidRPr="008F16FC" w:rsidRDefault="008F16FC" w:rsidP="008F16FC">
            <w:pPr>
              <w:rPr>
                <w:b/>
                <w:bCs/>
                <w:color w:val="000000"/>
                <w:sz w:val="18"/>
                <w:szCs w:val="18"/>
              </w:rPr>
            </w:pPr>
            <w:r w:rsidRPr="008F16FC">
              <w:rPr>
                <w:b/>
                <w:bCs/>
                <w:color w:val="000000"/>
                <w:sz w:val="18"/>
                <w:szCs w:val="18"/>
              </w:rPr>
              <w:t xml:space="preserve">          571.499   </w:t>
            </w:r>
          </w:p>
        </w:tc>
      </w:tr>
      <w:tr w:rsidR="008F16FC" w:rsidRPr="008F16FC" w14:paraId="506A7194" w14:textId="77777777" w:rsidTr="00BA304B">
        <w:trPr>
          <w:trHeight w:val="255"/>
        </w:trPr>
        <w:tc>
          <w:tcPr>
            <w:tcW w:w="3540" w:type="dxa"/>
            <w:tcBorders>
              <w:top w:val="nil"/>
              <w:left w:val="nil"/>
              <w:bottom w:val="nil"/>
              <w:right w:val="nil"/>
            </w:tcBorders>
            <w:shd w:val="clear" w:color="auto" w:fill="auto"/>
            <w:noWrap/>
            <w:vAlign w:val="bottom"/>
            <w:hideMark/>
          </w:tcPr>
          <w:p w14:paraId="134AEB3C" w14:textId="77777777" w:rsidR="008F16FC" w:rsidRPr="008F16FC" w:rsidRDefault="008F16FC" w:rsidP="008F16FC">
            <w:pPr>
              <w:rPr>
                <w:color w:val="000000"/>
                <w:sz w:val="18"/>
                <w:szCs w:val="18"/>
              </w:rPr>
            </w:pPr>
          </w:p>
        </w:tc>
        <w:tc>
          <w:tcPr>
            <w:tcW w:w="1340" w:type="dxa"/>
            <w:tcBorders>
              <w:top w:val="nil"/>
              <w:left w:val="nil"/>
              <w:bottom w:val="nil"/>
              <w:right w:val="nil"/>
            </w:tcBorders>
            <w:shd w:val="clear" w:color="auto" w:fill="auto"/>
            <w:noWrap/>
            <w:vAlign w:val="bottom"/>
            <w:hideMark/>
          </w:tcPr>
          <w:p w14:paraId="3C2F057C" w14:textId="77777777" w:rsidR="008F16FC" w:rsidRPr="008F16FC" w:rsidRDefault="008F16FC" w:rsidP="008F16FC">
            <w:pPr>
              <w:rPr>
                <w:color w:val="000000"/>
                <w:sz w:val="18"/>
                <w:szCs w:val="18"/>
              </w:rPr>
            </w:pPr>
          </w:p>
        </w:tc>
        <w:tc>
          <w:tcPr>
            <w:tcW w:w="1340" w:type="dxa"/>
            <w:tcBorders>
              <w:top w:val="nil"/>
              <w:left w:val="nil"/>
              <w:bottom w:val="nil"/>
              <w:right w:val="nil"/>
            </w:tcBorders>
            <w:shd w:val="clear" w:color="auto" w:fill="auto"/>
            <w:noWrap/>
            <w:vAlign w:val="bottom"/>
            <w:hideMark/>
          </w:tcPr>
          <w:p w14:paraId="72F231B9" w14:textId="77777777" w:rsidR="008F16FC" w:rsidRPr="008F16FC" w:rsidRDefault="008F16FC" w:rsidP="008F16FC">
            <w:pPr>
              <w:rPr>
                <w:color w:val="000000"/>
                <w:sz w:val="18"/>
                <w:szCs w:val="18"/>
              </w:rPr>
            </w:pPr>
          </w:p>
        </w:tc>
      </w:tr>
      <w:tr w:rsidR="008F16FC" w:rsidRPr="008F16FC" w14:paraId="4DA2B90B" w14:textId="77777777" w:rsidTr="00BA304B">
        <w:trPr>
          <w:trHeight w:val="255"/>
        </w:trPr>
        <w:tc>
          <w:tcPr>
            <w:tcW w:w="3540" w:type="dxa"/>
            <w:tcBorders>
              <w:top w:val="nil"/>
              <w:left w:val="nil"/>
              <w:bottom w:val="nil"/>
              <w:right w:val="nil"/>
            </w:tcBorders>
            <w:shd w:val="clear" w:color="000000" w:fill="D9D9D9"/>
            <w:noWrap/>
            <w:vAlign w:val="bottom"/>
            <w:hideMark/>
          </w:tcPr>
          <w:p w14:paraId="1E941FD9" w14:textId="77777777" w:rsidR="008F16FC" w:rsidRPr="008F16FC" w:rsidRDefault="008F16FC" w:rsidP="008F16FC">
            <w:pPr>
              <w:rPr>
                <w:b/>
                <w:bCs/>
                <w:color w:val="000000"/>
                <w:sz w:val="18"/>
                <w:szCs w:val="18"/>
              </w:rPr>
            </w:pPr>
            <w:r w:rsidRPr="008F16FC">
              <w:rPr>
                <w:b/>
                <w:bCs/>
                <w:color w:val="000000"/>
                <w:sz w:val="18"/>
                <w:szCs w:val="18"/>
              </w:rPr>
              <w:t>TOTAL BIENES DE USO</w:t>
            </w:r>
          </w:p>
        </w:tc>
        <w:tc>
          <w:tcPr>
            <w:tcW w:w="1340" w:type="dxa"/>
            <w:tcBorders>
              <w:top w:val="nil"/>
              <w:left w:val="nil"/>
              <w:bottom w:val="nil"/>
              <w:right w:val="nil"/>
            </w:tcBorders>
            <w:shd w:val="clear" w:color="000000" w:fill="D9D9D9"/>
            <w:noWrap/>
            <w:vAlign w:val="bottom"/>
            <w:hideMark/>
          </w:tcPr>
          <w:p w14:paraId="33967C95" w14:textId="77777777" w:rsidR="008F16FC" w:rsidRPr="008F16FC" w:rsidRDefault="008F16FC" w:rsidP="008F16FC">
            <w:pPr>
              <w:rPr>
                <w:b/>
                <w:bCs/>
                <w:color w:val="000000"/>
                <w:sz w:val="18"/>
                <w:szCs w:val="18"/>
              </w:rPr>
            </w:pPr>
            <w:r w:rsidRPr="008F16FC">
              <w:rPr>
                <w:b/>
                <w:bCs/>
                <w:color w:val="000000"/>
                <w:sz w:val="18"/>
                <w:szCs w:val="18"/>
              </w:rPr>
              <w:t xml:space="preserve">      2.808.400   </w:t>
            </w:r>
          </w:p>
        </w:tc>
        <w:tc>
          <w:tcPr>
            <w:tcW w:w="1340" w:type="dxa"/>
            <w:tcBorders>
              <w:top w:val="nil"/>
              <w:left w:val="nil"/>
              <w:bottom w:val="nil"/>
              <w:right w:val="nil"/>
            </w:tcBorders>
            <w:shd w:val="clear" w:color="000000" w:fill="D9D9D9"/>
            <w:noWrap/>
            <w:vAlign w:val="bottom"/>
            <w:hideMark/>
          </w:tcPr>
          <w:p w14:paraId="2F36352D" w14:textId="77777777" w:rsidR="008F16FC" w:rsidRPr="008F16FC" w:rsidRDefault="008F16FC" w:rsidP="008F16FC">
            <w:pPr>
              <w:rPr>
                <w:b/>
                <w:bCs/>
                <w:color w:val="000000"/>
                <w:sz w:val="18"/>
                <w:szCs w:val="18"/>
              </w:rPr>
            </w:pPr>
            <w:r w:rsidRPr="008F16FC">
              <w:rPr>
                <w:b/>
                <w:bCs/>
                <w:color w:val="000000"/>
                <w:sz w:val="18"/>
                <w:szCs w:val="18"/>
              </w:rPr>
              <w:t xml:space="preserve">      3.115.704   </w:t>
            </w:r>
          </w:p>
        </w:tc>
      </w:tr>
      <w:tr w:rsidR="008F16FC" w:rsidRPr="008F16FC" w14:paraId="2A210596" w14:textId="77777777" w:rsidTr="00BA304B">
        <w:trPr>
          <w:trHeight w:val="255"/>
        </w:trPr>
        <w:tc>
          <w:tcPr>
            <w:tcW w:w="3540" w:type="dxa"/>
            <w:tcBorders>
              <w:top w:val="nil"/>
              <w:left w:val="nil"/>
              <w:bottom w:val="nil"/>
              <w:right w:val="nil"/>
            </w:tcBorders>
            <w:shd w:val="clear" w:color="auto" w:fill="auto"/>
            <w:noWrap/>
            <w:vAlign w:val="bottom"/>
            <w:hideMark/>
          </w:tcPr>
          <w:p w14:paraId="76A1AF96" w14:textId="77777777" w:rsidR="008F16FC" w:rsidRPr="008F16FC" w:rsidRDefault="008F16FC" w:rsidP="008F16FC">
            <w:pPr>
              <w:rPr>
                <w:color w:val="000000"/>
                <w:sz w:val="18"/>
                <w:szCs w:val="18"/>
              </w:rPr>
            </w:pPr>
          </w:p>
        </w:tc>
        <w:tc>
          <w:tcPr>
            <w:tcW w:w="1340" w:type="dxa"/>
            <w:tcBorders>
              <w:top w:val="nil"/>
              <w:left w:val="nil"/>
              <w:bottom w:val="nil"/>
              <w:right w:val="nil"/>
            </w:tcBorders>
            <w:shd w:val="clear" w:color="auto" w:fill="auto"/>
            <w:noWrap/>
            <w:vAlign w:val="bottom"/>
            <w:hideMark/>
          </w:tcPr>
          <w:p w14:paraId="33DA1078" w14:textId="77777777" w:rsidR="008F16FC" w:rsidRPr="008F16FC" w:rsidRDefault="008F16FC" w:rsidP="008F16FC">
            <w:pPr>
              <w:rPr>
                <w:color w:val="000000"/>
                <w:sz w:val="18"/>
                <w:szCs w:val="18"/>
              </w:rPr>
            </w:pPr>
          </w:p>
        </w:tc>
        <w:tc>
          <w:tcPr>
            <w:tcW w:w="1340" w:type="dxa"/>
            <w:tcBorders>
              <w:top w:val="nil"/>
              <w:left w:val="nil"/>
              <w:bottom w:val="nil"/>
              <w:right w:val="nil"/>
            </w:tcBorders>
            <w:shd w:val="clear" w:color="auto" w:fill="auto"/>
            <w:noWrap/>
            <w:vAlign w:val="bottom"/>
            <w:hideMark/>
          </w:tcPr>
          <w:p w14:paraId="4FB6928D" w14:textId="77777777" w:rsidR="008F16FC" w:rsidRPr="008F16FC" w:rsidRDefault="008F16FC" w:rsidP="008F16FC">
            <w:pPr>
              <w:rPr>
                <w:color w:val="000000"/>
                <w:sz w:val="18"/>
                <w:szCs w:val="18"/>
              </w:rPr>
            </w:pPr>
          </w:p>
        </w:tc>
      </w:tr>
      <w:tr w:rsidR="008F16FC" w:rsidRPr="008F16FC" w14:paraId="26B8C458" w14:textId="77777777" w:rsidTr="00BA304B">
        <w:trPr>
          <w:trHeight w:val="255"/>
        </w:trPr>
        <w:tc>
          <w:tcPr>
            <w:tcW w:w="3540" w:type="dxa"/>
            <w:tcBorders>
              <w:top w:val="nil"/>
              <w:left w:val="nil"/>
              <w:bottom w:val="nil"/>
              <w:right w:val="nil"/>
            </w:tcBorders>
            <w:shd w:val="clear" w:color="auto" w:fill="auto"/>
            <w:noWrap/>
            <w:vAlign w:val="bottom"/>
            <w:hideMark/>
          </w:tcPr>
          <w:p w14:paraId="4FE02794" w14:textId="77777777" w:rsidR="008F16FC" w:rsidRPr="008F16FC" w:rsidRDefault="008F16FC" w:rsidP="008F16FC">
            <w:pPr>
              <w:rPr>
                <w:color w:val="000000"/>
                <w:sz w:val="18"/>
                <w:szCs w:val="18"/>
                <w:lang w:val="es-ES"/>
              </w:rPr>
            </w:pPr>
            <w:r w:rsidRPr="008F16FC">
              <w:rPr>
                <w:color w:val="000000"/>
                <w:sz w:val="18"/>
                <w:szCs w:val="18"/>
                <w:lang w:val="es-ES"/>
              </w:rPr>
              <w:t>Ingresos por contratos de construcción</w:t>
            </w:r>
          </w:p>
        </w:tc>
        <w:tc>
          <w:tcPr>
            <w:tcW w:w="1340" w:type="dxa"/>
            <w:tcBorders>
              <w:top w:val="nil"/>
              <w:left w:val="nil"/>
              <w:bottom w:val="nil"/>
              <w:right w:val="nil"/>
            </w:tcBorders>
            <w:shd w:val="clear" w:color="auto" w:fill="auto"/>
            <w:noWrap/>
            <w:vAlign w:val="bottom"/>
            <w:hideMark/>
          </w:tcPr>
          <w:p w14:paraId="655B3BAB" w14:textId="77777777" w:rsidR="008F16FC" w:rsidRPr="008F16FC" w:rsidRDefault="008F16FC" w:rsidP="008F16FC">
            <w:pPr>
              <w:rPr>
                <w:color w:val="000000"/>
                <w:sz w:val="18"/>
                <w:szCs w:val="18"/>
              </w:rPr>
            </w:pPr>
            <w:r w:rsidRPr="008F16FC">
              <w:rPr>
                <w:color w:val="000000"/>
                <w:sz w:val="18"/>
                <w:szCs w:val="18"/>
                <w:lang w:val="es-ES"/>
              </w:rPr>
              <w:t xml:space="preserve">      </w:t>
            </w:r>
            <w:r w:rsidRPr="008F16FC">
              <w:rPr>
                <w:color w:val="000000"/>
                <w:sz w:val="18"/>
                <w:szCs w:val="18"/>
              </w:rPr>
              <w:t xml:space="preserve">7.553.565   </w:t>
            </w:r>
          </w:p>
        </w:tc>
        <w:tc>
          <w:tcPr>
            <w:tcW w:w="1340" w:type="dxa"/>
            <w:tcBorders>
              <w:top w:val="nil"/>
              <w:left w:val="nil"/>
              <w:bottom w:val="nil"/>
              <w:right w:val="nil"/>
            </w:tcBorders>
            <w:shd w:val="clear" w:color="auto" w:fill="auto"/>
            <w:noWrap/>
            <w:vAlign w:val="bottom"/>
            <w:hideMark/>
          </w:tcPr>
          <w:p w14:paraId="780D0654" w14:textId="77777777" w:rsidR="008F16FC" w:rsidRPr="008F16FC" w:rsidRDefault="008F16FC" w:rsidP="008F16FC">
            <w:pPr>
              <w:rPr>
                <w:color w:val="000000"/>
                <w:sz w:val="18"/>
                <w:szCs w:val="18"/>
              </w:rPr>
            </w:pPr>
            <w:r w:rsidRPr="008F16FC">
              <w:rPr>
                <w:color w:val="000000"/>
                <w:sz w:val="18"/>
                <w:szCs w:val="18"/>
              </w:rPr>
              <w:t xml:space="preserve">      6.474.004   </w:t>
            </w:r>
          </w:p>
        </w:tc>
      </w:tr>
      <w:tr w:rsidR="008F16FC" w:rsidRPr="008F16FC" w14:paraId="2CC75C7B" w14:textId="77777777" w:rsidTr="00BA304B">
        <w:trPr>
          <w:trHeight w:val="255"/>
        </w:trPr>
        <w:tc>
          <w:tcPr>
            <w:tcW w:w="3540" w:type="dxa"/>
            <w:tcBorders>
              <w:top w:val="nil"/>
              <w:left w:val="nil"/>
              <w:bottom w:val="nil"/>
              <w:right w:val="nil"/>
            </w:tcBorders>
            <w:shd w:val="clear" w:color="auto" w:fill="auto"/>
            <w:noWrap/>
            <w:vAlign w:val="bottom"/>
            <w:hideMark/>
          </w:tcPr>
          <w:p w14:paraId="19513951" w14:textId="77777777" w:rsidR="008F16FC" w:rsidRPr="008F16FC" w:rsidRDefault="008F16FC" w:rsidP="008F16FC">
            <w:pPr>
              <w:rPr>
                <w:color w:val="000000"/>
                <w:sz w:val="18"/>
                <w:szCs w:val="18"/>
              </w:rPr>
            </w:pPr>
          </w:p>
        </w:tc>
        <w:tc>
          <w:tcPr>
            <w:tcW w:w="1340" w:type="dxa"/>
            <w:tcBorders>
              <w:top w:val="nil"/>
              <w:left w:val="nil"/>
              <w:bottom w:val="nil"/>
              <w:right w:val="nil"/>
            </w:tcBorders>
            <w:shd w:val="clear" w:color="auto" w:fill="auto"/>
            <w:noWrap/>
            <w:vAlign w:val="bottom"/>
            <w:hideMark/>
          </w:tcPr>
          <w:p w14:paraId="5C1087A1" w14:textId="77777777" w:rsidR="008F16FC" w:rsidRPr="008F16FC" w:rsidRDefault="008F16FC" w:rsidP="008F16FC">
            <w:pPr>
              <w:rPr>
                <w:color w:val="000000"/>
                <w:sz w:val="18"/>
                <w:szCs w:val="18"/>
              </w:rPr>
            </w:pPr>
          </w:p>
        </w:tc>
        <w:tc>
          <w:tcPr>
            <w:tcW w:w="1340" w:type="dxa"/>
            <w:tcBorders>
              <w:top w:val="nil"/>
              <w:left w:val="nil"/>
              <w:bottom w:val="nil"/>
              <w:right w:val="nil"/>
            </w:tcBorders>
            <w:shd w:val="clear" w:color="auto" w:fill="auto"/>
            <w:noWrap/>
            <w:vAlign w:val="bottom"/>
            <w:hideMark/>
          </w:tcPr>
          <w:p w14:paraId="013015F7" w14:textId="77777777" w:rsidR="008F16FC" w:rsidRPr="008F16FC" w:rsidRDefault="008F16FC" w:rsidP="008F16FC">
            <w:pPr>
              <w:rPr>
                <w:color w:val="000000"/>
                <w:sz w:val="18"/>
                <w:szCs w:val="18"/>
              </w:rPr>
            </w:pPr>
          </w:p>
        </w:tc>
      </w:tr>
      <w:tr w:rsidR="008F16FC" w:rsidRPr="008F16FC" w14:paraId="15BA8728" w14:textId="77777777" w:rsidTr="00BA304B">
        <w:trPr>
          <w:trHeight w:val="255"/>
        </w:trPr>
        <w:tc>
          <w:tcPr>
            <w:tcW w:w="3540" w:type="dxa"/>
            <w:tcBorders>
              <w:top w:val="nil"/>
              <w:left w:val="nil"/>
              <w:bottom w:val="nil"/>
              <w:right w:val="nil"/>
            </w:tcBorders>
            <w:shd w:val="clear" w:color="auto" w:fill="auto"/>
            <w:noWrap/>
            <w:vAlign w:val="bottom"/>
            <w:hideMark/>
          </w:tcPr>
          <w:p w14:paraId="7733938D" w14:textId="77777777" w:rsidR="008F16FC" w:rsidRPr="008F16FC" w:rsidRDefault="008F16FC" w:rsidP="008F16FC">
            <w:pPr>
              <w:rPr>
                <w:b/>
                <w:bCs/>
                <w:color w:val="000000"/>
                <w:sz w:val="18"/>
                <w:szCs w:val="18"/>
              </w:rPr>
            </w:pPr>
            <w:r w:rsidRPr="008F16FC">
              <w:rPr>
                <w:b/>
                <w:bCs/>
                <w:color w:val="000000"/>
                <w:sz w:val="18"/>
                <w:szCs w:val="18"/>
              </w:rPr>
              <w:t>% sobre ventas</w:t>
            </w:r>
          </w:p>
        </w:tc>
        <w:tc>
          <w:tcPr>
            <w:tcW w:w="1340" w:type="dxa"/>
            <w:tcBorders>
              <w:top w:val="nil"/>
              <w:left w:val="nil"/>
              <w:bottom w:val="nil"/>
              <w:right w:val="nil"/>
            </w:tcBorders>
            <w:shd w:val="clear" w:color="auto" w:fill="auto"/>
            <w:noWrap/>
            <w:vAlign w:val="bottom"/>
            <w:hideMark/>
          </w:tcPr>
          <w:p w14:paraId="10B08EC2" w14:textId="77777777" w:rsidR="008F16FC" w:rsidRPr="008F16FC" w:rsidRDefault="008F16FC" w:rsidP="008F16FC">
            <w:pPr>
              <w:jc w:val="center"/>
              <w:rPr>
                <w:b/>
                <w:bCs/>
                <w:color w:val="000000"/>
                <w:sz w:val="18"/>
                <w:szCs w:val="18"/>
              </w:rPr>
            </w:pPr>
            <w:r w:rsidRPr="008F16FC">
              <w:rPr>
                <w:b/>
                <w:bCs/>
                <w:color w:val="000000"/>
                <w:sz w:val="18"/>
                <w:szCs w:val="18"/>
              </w:rPr>
              <w:t xml:space="preserve">  37%</w:t>
            </w:r>
          </w:p>
        </w:tc>
        <w:tc>
          <w:tcPr>
            <w:tcW w:w="1340" w:type="dxa"/>
            <w:tcBorders>
              <w:top w:val="nil"/>
              <w:left w:val="nil"/>
              <w:bottom w:val="nil"/>
              <w:right w:val="nil"/>
            </w:tcBorders>
            <w:shd w:val="clear" w:color="auto" w:fill="auto"/>
            <w:noWrap/>
            <w:vAlign w:val="bottom"/>
            <w:hideMark/>
          </w:tcPr>
          <w:p w14:paraId="60617461" w14:textId="77777777" w:rsidR="008F16FC" w:rsidRPr="008F16FC" w:rsidRDefault="008F16FC" w:rsidP="008F16FC">
            <w:pPr>
              <w:jc w:val="center"/>
              <w:rPr>
                <w:b/>
                <w:bCs/>
                <w:color w:val="000000"/>
                <w:sz w:val="18"/>
                <w:szCs w:val="18"/>
              </w:rPr>
            </w:pPr>
            <w:r w:rsidRPr="008F16FC">
              <w:rPr>
                <w:b/>
                <w:bCs/>
                <w:color w:val="000000"/>
                <w:sz w:val="18"/>
                <w:szCs w:val="18"/>
              </w:rPr>
              <w:t xml:space="preserve">   48%</w:t>
            </w:r>
          </w:p>
        </w:tc>
      </w:tr>
      <w:bookmarkEnd w:id="47"/>
      <w:bookmarkEnd w:id="48"/>
    </w:tbl>
    <w:p w14:paraId="3534C978" w14:textId="77777777" w:rsidR="008F16FC" w:rsidRPr="008F16FC" w:rsidRDefault="008F16FC" w:rsidP="00512442">
      <w:pPr>
        <w:widowControl w:val="0"/>
        <w:jc w:val="both"/>
        <w:rPr>
          <w:rFonts w:eastAsia="Calibri"/>
          <w:sz w:val="20"/>
          <w:szCs w:val="20"/>
          <w:lang w:val="es-MX"/>
        </w:rPr>
      </w:pPr>
    </w:p>
    <w:p w14:paraId="4521CF32" w14:textId="77777777" w:rsidR="008F16FC" w:rsidRPr="008F16FC" w:rsidRDefault="008F16FC" w:rsidP="008F16FC">
      <w:pPr>
        <w:jc w:val="both"/>
        <w:rPr>
          <w:rFonts w:eastAsia="Calibri"/>
          <w:sz w:val="20"/>
          <w:szCs w:val="20"/>
          <w:lang w:val="es-MX"/>
        </w:rPr>
      </w:pPr>
      <w:r w:rsidRPr="008F16FC">
        <w:rPr>
          <w:rFonts w:eastAsia="Calibri"/>
          <w:sz w:val="20"/>
          <w:szCs w:val="20"/>
          <w:lang w:val="es-MX"/>
        </w:rPr>
        <w:t>A continuación, se detalla el nivel de inversión de la Compañía en el ejercicio económico anual finalizado el 30 de junio de 2017, respecto de sus ventas expresados en miles de Pesos.</w:t>
      </w:r>
    </w:p>
    <w:p w14:paraId="3D167965" w14:textId="77777777" w:rsidR="008F16FC" w:rsidRPr="008F16FC" w:rsidRDefault="008F16FC" w:rsidP="008F16FC">
      <w:pPr>
        <w:jc w:val="both"/>
        <w:rPr>
          <w:rFonts w:eastAsia="Calibri"/>
          <w:sz w:val="20"/>
          <w:szCs w:val="20"/>
          <w:lang w:val="es-MX"/>
        </w:rPr>
      </w:pPr>
    </w:p>
    <w:tbl>
      <w:tblPr>
        <w:tblW w:w="4880" w:type="dxa"/>
        <w:tblInd w:w="55" w:type="dxa"/>
        <w:tblCellMar>
          <w:left w:w="70" w:type="dxa"/>
          <w:right w:w="70" w:type="dxa"/>
        </w:tblCellMar>
        <w:tblLook w:val="04A0" w:firstRow="1" w:lastRow="0" w:firstColumn="1" w:lastColumn="0" w:noHBand="0" w:noVBand="1"/>
      </w:tblPr>
      <w:tblGrid>
        <w:gridCol w:w="3540"/>
        <w:gridCol w:w="1340"/>
      </w:tblGrid>
      <w:tr w:rsidR="008F16FC" w:rsidRPr="008F16FC" w14:paraId="3AFC1AF8" w14:textId="77777777" w:rsidTr="00BA304B">
        <w:trPr>
          <w:trHeight w:val="255"/>
        </w:trPr>
        <w:tc>
          <w:tcPr>
            <w:tcW w:w="3540" w:type="dxa"/>
            <w:tcBorders>
              <w:top w:val="nil"/>
              <w:left w:val="nil"/>
              <w:bottom w:val="nil"/>
              <w:right w:val="nil"/>
            </w:tcBorders>
            <w:shd w:val="clear" w:color="auto" w:fill="auto"/>
            <w:noWrap/>
            <w:vAlign w:val="bottom"/>
            <w:hideMark/>
          </w:tcPr>
          <w:p w14:paraId="223BF56E" w14:textId="77777777" w:rsidR="008F16FC" w:rsidRPr="008F16FC" w:rsidRDefault="008F16FC" w:rsidP="008F16FC">
            <w:pPr>
              <w:rPr>
                <w:rFonts w:ascii="Arial" w:hAnsi="Arial" w:cs="Arial"/>
                <w:color w:val="000000"/>
                <w:sz w:val="18"/>
                <w:szCs w:val="18"/>
                <w:lang w:val="es-ES"/>
              </w:rPr>
            </w:pPr>
          </w:p>
        </w:tc>
        <w:tc>
          <w:tcPr>
            <w:tcW w:w="1340" w:type="dxa"/>
            <w:tcBorders>
              <w:top w:val="nil"/>
              <w:left w:val="nil"/>
              <w:bottom w:val="nil"/>
              <w:right w:val="nil"/>
            </w:tcBorders>
            <w:shd w:val="clear" w:color="auto" w:fill="auto"/>
            <w:noWrap/>
            <w:vAlign w:val="bottom"/>
            <w:hideMark/>
          </w:tcPr>
          <w:p w14:paraId="7143395A" w14:textId="77777777" w:rsidR="008F16FC" w:rsidRPr="00BA304B" w:rsidRDefault="008F16FC" w:rsidP="008F16FC">
            <w:pPr>
              <w:jc w:val="center"/>
              <w:rPr>
                <w:b/>
                <w:color w:val="000000"/>
                <w:sz w:val="18"/>
              </w:rPr>
            </w:pPr>
            <w:r w:rsidRPr="00BA304B">
              <w:rPr>
                <w:b/>
                <w:color w:val="000000"/>
                <w:sz w:val="18"/>
              </w:rPr>
              <w:t>30/06/2017</w:t>
            </w:r>
          </w:p>
        </w:tc>
      </w:tr>
      <w:tr w:rsidR="008F16FC" w:rsidRPr="008F16FC" w14:paraId="69B670EF" w14:textId="77777777" w:rsidTr="00BA304B">
        <w:trPr>
          <w:trHeight w:val="255"/>
        </w:trPr>
        <w:tc>
          <w:tcPr>
            <w:tcW w:w="3540" w:type="dxa"/>
            <w:tcBorders>
              <w:top w:val="nil"/>
              <w:left w:val="nil"/>
              <w:bottom w:val="nil"/>
              <w:right w:val="nil"/>
            </w:tcBorders>
            <w:shd w:val="clear" w:color="auto" w:fill="auto"/>
            <w:noWrap/>
            <w:vAlign w:val="bottom"/>
            <w:hideMark/>
          </w:tcPr>
          <w:p w14:paraId="74A37DDF" w14:textId="77777777" w:rsidR="008F16FC" w:rsidRPr="008F16FC" w:rsidRDefault="008F16FC" w:rsidP="008F16FC">
            <w:pPr>
              <w:rPr>
                <w:b/>
                <w:bCs/>
                <w:color w:val="000000"/>
                <w:sz w:val="20"/>
                <w:szCs w:val="20"/>
              </w:rPr>
            </w:pPr>
            <w:r w:rsidRPr="008F16FC">
              <w:rPr>
                <w:b/>
                <w:bCs/>
                <w:color w:val="000000"/>
                <w:sz w:val="20"/>
                <w:szCs w:val="20"/>
              </w:rPr>
              <w:t>Propiedades, planta y equipo</w:t>
            </w:r>
          </w:p>
        </w:tc>
        <w:tc>
          <w:tcPr>
            <w:tcW w:w="1340" w:type="dxa"/>
            <w:tcBorders>
              <w:top w:val="nil"/>
              <w:left w:val="nil"/>
              <w:bottom w:val="nil"/>
              <w:right w:val="nil"/>
            </w:tcBorders>
            <w:shd w:val="clear" w:color="auto" w:fill="auto"/>
            <w:noWrap/>
            <w:vAlign w:val="bottom"/>
            <w:hideMark/>
          </w:tcPr>
          <w:p w14:paraId="3F20D5CA" w14:textId="77777777" w:rsidR="008F16FC" w:rsidRPr="008F16FC" w:rsidRDefault="008F16FC" w:rsidP="008F16FC">
            <w:pPr>
              <w:rPr>
                <w:color w:val="000000"/>
                <w:sz w:val="20"/>
                <w:szCs w:val="20"/>
              </w:rPr>
            </w:pPr>
          </w:p>
        </w:tc>
      </w:tr>
      <w:tr w:rsidR="008F16FC" w:rsidRPr="008F16FC" w14:paraId="35155B5A" w14:textId="77777777" w:rsidTr="00BA304B">
        <w:trPr>
          <w:trHeight w:val="255"/>
        </w:trPr>
        <w:tc>
          <w:tcPr>
            <w:tcW w:w="3540" w:type="dxa"/>
            <w:tcBorders>
              <w:top w:val="nil"/>
              <w:left w:val="nil"/>
              <w:bottom w:val="nil"/>
              <w:right w:val="nil"/>
            </w:tcBorders>
            <w:shd w:val="clear" w:color="auto" w:fill="auto"/>
            <w:noWrap/>
            <w:vAlign w:val="bottom"/>
            <w:hideMark/>
          </w:tcPr>
          <w:p w14:paraId="171776C4" w14:textId="77777777" w:rsidR="008F16FC" w:rsidRPr="008F16FC" w:rsidRDefault="008F16FC" w:rsidP="008F16FC">
            <w:pPr>
              <w:rPr>
                <w:color w:val="000000"/>
                <w:sz w:val="20"/>
                <w:szCs w:val="20"/>
              </w:rPr>
            </w:pPr>
            <w:r w:rsidRPr="008F16FC">
              <w:rPr>
                <w:color w:val="000000"/>
                <w:sz w:val="20"/>
                <w:szCs w:val="20"/>
              </w:rPr>
              <w:t>Edificios</w:t>
            </w:r>
          </w:p>
        </w:tc>
        <w:tc>
          <w:tcPr>
            <w:tcW w:w="1340" w:type="dxa"/>
            <w:tcBorders>
              <w:top w:val="nil"/>
              <w:left w:val="nil"/>
              <w:bottom w:val="nil"/>
              <w:right w:val="nil"/>
            </w:tcBorders>
            <w:shd w:val="clear" w:color="auto" w:fill="auto"/>
            <w:noWrap/>
            <w:vAlign w:val="bottom"/>
            <w:hideMark/>
          </w:tcPr>
          <w:p w14:paraId="7A33ECEE" w14:textId="77777777" w:rsidR="008F16FC" w:rsidRPr="008F16FC" w:rsidRDefault="008F16FC" w:rsidP="008F16FC">
            <w:pPr>
              <w:rPr>
                <w:color w:val="000000"/>
                <w:sz w:val="20"/>
                <w:szCs w:val="20"/>
              </w:rPr>
            </w:pPr>
            <w:r w:rsidRPr="008F16FC">
              <w:rPr>
                <w:color w:val="000000"/>
                <w:sz w:val="20"/>
                <w:szCs w:val="20"/>
              </w:rPr>
              <w:t xml:space="preserve">          581.669   </w:t>
            </w:r>
          </w:p>
        </w:tc>
      </w:tr>
      <w:tr w:rsidR="008F16FC" w:rsidRPr="008F16FC" w14:paraId="3BE7BE4E" w14:textId="77777777" w:rsidTr="00BA304B">
        <w:trPr>
          <w:trHeight w:val="255"/>
        </w:trPr>
        <w:tc>
          <w:tcPr>
            <w:tcW w:w="3540" w:type="dxa"/>
            <w:tcBorders>
              <w:top w:val="nil"/>
              <w:left w:val="nil"/>
              <w:bottom w:val="nil"/>
              <w:right w:val="nil"/>
            </w:tcBorders>
            <w:shd w:val="clear" w:color="auto" w:fill="auto"/>
            <w:noWrap/>
            <w:vAlign w:val="bottom"/>
            <w:hideMark/>
          </w:tcPr>
          <w:p w14:paraId="0F5E4CF6" w14:textId="77777777" w:rsidR="008F16FC" w:rsidRPr="008F16FC" w:rsidRDefault="008F16FC" w:rsidP="008F16FC">
            <w:pPr>
              <w:rPr>
                <w:color w:val="000000"/>
                <w:sz w:val="20"/>
                <w:szCs w:val="20"/>
              </w:rPr>
            </w:pPr>
            <w:r w:rsidRPr="008F16FC">
              <w:rPr>
                <w:color w:val="000000"/>
                <w:sz w:val="20"/>
                <w:szCs w:val="20"/>
              </w:rPr>
              <w:t>Terrenos</w:t>
            </w:r>
          </w:p>
        </w:tc>
        <w:tc>
          <w:tcPr>
            <w:tcW w:w="1340" w:type="dxa"/>
            <w:tcBorders>
              <w:top w:val="nil"/>
              <w:left w:val="nil"/>
              <w:bottom w:val="nil"/>
              <w:right w:val="nil"/>
            </w:tcBorders>
            <w:shd w:val="clear" w:color="auto" w:fill="auto"/>
            <w:noWrap/>
            <w:vAlign w:val="bottom"/>
            <w:hideMark/>
          </w:tcPr>
          <w:p w14:paraId="2FBB34DD" w14:textId="77777777" w:rsidR="008F16FC" w:rsidRPr="008F16FC" w:rsidRDefault="008F16FC" w:rsidP="008F16FC">
            <w:pPr>
              <w:rPr>
                <w:color w:val="000000"/>
                <w:sz w:val="20"/>
                <w:szCs w:val="20"/>
              </w:rPr>
            </w:pPr>
            <w:r w:rsidRPr="008F16FC">
              <w:rPr>
                <w:color w:val="000000"/>
                <w:sz w:val="20"/>
                <w:szCs w:val="20"/>
              </w:rPr>
              <w:t xml:space="preserve">          129.138   </w:t>
            </w:r>
          </w:p>
        </w:tc>
      </w:tr>
      <w:tr w:rsidR="008F16FC" w:rsidRPr="008F16FC" w14:paraId="7368D785" w14:textId="77777777" w:rsidTr="00BA304B">
        <w:trPr>
          <w:trHeight w:val="255"/>
        </w:trPr>
        <w:tc>
          <w:tcPr>
            <w:tcW w:w="3540" w:type="dxa"/>
            <w:tcBorders>
              <w:top w:val="nil"/>
              <w:left w:val="nil"/>
              <w:bottom w:val="nil"/>
              <w:right w:val="nil"/>
            </w:tcBorders>
            <w:shd w:val="clear" w:color="auto" w:fill="auto"/>
            <w:noWrap/>
            <w:vAlign w:val="bottom"/>
            <w:hideMark/>
          </w:tcPr>
          <w:p w14:paraId="447C7CC5" w14:textId="77777777" w:rsidR="008F16FC" w:rsidRPr="008F16FC" w:rsidRDefault="008F16FC" w:rsidP="008F16FC">
            <w:pPr>
              <w:rPr>
                <w:color w:val="000000"/>
                <w:sz w:val="20"/>
                <w:szCs w:val="20"/>
                <w:lang w:val="es-ES"/>
              </w:rPr>
            </w:pPr>
            <w:r w:rsidRPr="008F16FC">
              <w:rPr>
                <w:color w:val="000000"/>
                <w:sz w:val="20"/>
                <w:szCs w:val="20"/>
                <w:lang w:val="es-ES"/>
              </w:rPr>
              <w:t>Equipo de oficina / Muebles y útiles</w:t>
            </w:r>
          </w:p>
        </w:tc>
        <w:tc>
          <w:tcPr>
            <w:tcW w:w="1340" w:type="dxa"/>
            <w:tcBorders>
              <w:top w:val="nil"/>
              <w:left w:val="nil"/>
              <w:bottom w:val="nil"/>
              <w:right w:val="nil"/>
            </w:tcBorders>
            <w:shd w:val="clear" w:color="auto" w:fill="auto"/>
            <w:noWrap/>
            <w:vAlign w:val="bottom"/>
            <w:hideMark/>
          </w:tcPr>
          <w:p w14:paraId="76CB6183" w14:textId="77777777" w:rsidR="008F16FC" w:rsidRPr="008F16FC" w:rsidRDefault="008F16FC" w:rsidP="008F16FC">
            <w:pPr>
              <w:rPr>
                <w:color w:val="000000"/>
                <w:sz w:val="20"/>
                <w:szCs w:val="20"/>
              </w:rPr>
            </w:pPr>
            <w:r w:rsidRPr="008F16FC">
              <w:rPr>
                <w:color w:val="000000"/>
                <w:sz w:val="20"/>
                <w:szCs w:val="20"/>
                <w:lang w:val="es-ES"/>
              </w:rPr>
              <w:t xml:space="preserve">              </w:t>
            </w:r>
            <w:r w:rsidRPr="008F16FC">
              <w:rPr>
                <w:color w:val="000000"/>
                <w:sz w:val="20"/>
                <w:szCs w:val="20"/>
              </w:rPr>
              <w:t xml:space="preserve">4.458   </w:t>
            </w:r>
          </w:p>
        </w:tc>
      </w:tr>
      <w:tr w:rsidR="008F16FC" w:rsidRPr="008F16FC" w14:paraId="473E7D8C" w14:textId="77777777" w:rsidTr="00BA304B">
        <w:trPr>
          <w:trHeight w:val="255"/>
        </w:trPr>
        <w:tc>
          <w:tcPr>
            <w:tcW w:w="3540" w:type="dxa"/>
            <w:tcBorders>
              <w:top w:val="nil"/>
              <w:left w:val="nil"/>
              <w:bottom w:val="nil"/>
              <w:right w:val="nil"/>
            </w:tcBorders>
            <w:shd w:val="clear" w:color="auto" w:fill="auto"/>
            <w:noWrap/>
            <w:vAlign w:val="bottom"/>
            <w:hideMark/>
          </w:tcPr>
          <w:p w14:paraId="1821101D" w14:textId="77777777" w:rsidR="008F16FC" w:rsidRPr="008F16FC" w:rsidRDefault="008F16FC" w:rsidP="008F16FC">
            <w:pPr>
              <w:rPr>
                <w:color w:val="000000"/>
                <w:sz w:val="20"/>
                <w:szCs w:val="20"/>
              </w:rPr>
            </w:pPr>
            <w:r w:rsidRPr="008F16FC">
              <w:rPr>
                <w:color w:val="000000"/>
                <w:sz w:val="20"/>
                <w:szCs w:val="20"/>
              </w:rPr>
              <w:t>Maquinarias y herramientas</w:t>
            </w:r>
          </w:p>
        </w:tc>
        <w:tc>
          <w:tcPr>
            <w:tcW w:w="1340" w:type="dxa"/>
            <w:tcBorders>
              <w:top w:val="nil"/>
              <w:left w:val="nil"/>
              <w:bottom w:val="nil"/>
              <w:right w:val="nil"/>
            </w:tcBorders>
            <w:shd w:val="clear" w:color="auto" w:fill="auto"/>
            <w:noWrap/>
            <w:vAlign w:val="bottom"/>
            <w:hideMark/>
          </w:tcPr>
          <w:p w14:paraId="4773F9AF" w14:textId="77777777" w:rsidR="008F16FC" w:rsidRPr="008F16FC" w:rsidRDefault="008F16FC" w:rsidP="008F16FC">
            <w:pPr>
              <w:rPr>
                <w:color w:val="000000"/>
                <w:sz w:val="20"/>
                <w:szCs w:val="20"/>
              </w:rPr>
            </w:pPr>
            <w:r w:rsidRPr="008F16FC">
              <w:rPr>
                <w:color w:val="000000"/>
                <w:sz w:val="20"/>
                <w:szCs w:val="20"/>
              </w:rPr>
              <w:t xml:space="preserve">            33.492   </w:t>
            </w:r>
          </w:p>
        </w:tc>
      </w:tr>
      <w:tr w:rsidR="008F16FC" w:rsidRPr="008F16FC" w14:paraId="1E1D4846" w14:textId="77777777" w:rsidTr="00BA304B">
        <w:trPr>
          <w:trHeight w:val="255"/>
        </w:trPr>
        <w:tc>
          <w:tcPr>
            <w:tcW w:w="3540" w:type="dxa"/>
            <w:tcBorders>
              <w:top w:val="nil"/>
              <w:left w:val="nil"/>
              <w:bottom w:val="nil"/>
              <w:right w:val="nil"/>
            </w:tcBorders>
            <w:shd w:val="clear" w:color="auto" w:fill="auto"/>
            <w:noWrap/>
            <w:vAlign w:val="bottom"/>
            <w:hideMark/>
          </w:tcPr>
          <w:p w14:paraId="43634EEF" w14:textId="77777777" w:rsidR="008F16FC" w:rsidRPr="008F16FC" w:rsidRDefault="008F16FC" w:rsidP="008F16FC">
            <w:pPr>
              <w:rPr>
                <w:color w:val="000000"/>
                <w:sz w:val="20"/>
                <w:szCs w:val="20"/>
              </w:rPr>
            </w:pPr>
            <w:r w:rsidRPr="008F16FC">
              <w:rPr>
                <w:color w:val="000000"/>
                <w:sz w:val="20"/>
                <w:szCs w:val="20"/>
              </w:rPr>
              <w:t>Instrumental</w:t>
            </w:r>
          </w:p>
        </w:tc>
        <w:tc>
          <w:tcPr>
            <w:tcW w:w="1340" w:type="dxa"/>
            <w:tcBorders>
              <w:top w:val="nil"/>
              <w:left w:val="nil"/>
              <w:bottom w:val="nil"/>
              <w:right w:val="nil"/>
            </w:tcBorders>
            <w:shd w:val="clear" w:color="auto" w:fill="auto"/>
            <w:noWrap/>
            <w:vAlign w:val="bottom"/>
            <w:hideMark/>
          </w:tcPr>
          <w:p w14:paraId="53D7EFF4" w14:textId="77777777" w:rsidR="008F16FC" w:rsidRPr="008F16FC" w:rsidRDefault="008F16FC" w:rsidP="008F16FC">
            <w:pPr>
              <w:rPr>
                <w:color w:val="000000"/>
                <w:sz w:val="20"/>
                <w:szCs w:val="20"/>
              </w:rPr>
            </w:pPr>
            <w:r w:rsidRPr="008F16FC">
              <w:rPr>
                <w:color w:val="000000"/>
                <w:sz w:val="20"/>
                <w:szCs w:val="20"/>
              </w:rPr>
              <w:t xml:space="preserve">            15.586   </w:t>
            </w:r>
          </w:p>
        </w:tc>
      </w:tr>
      <w:tr w:rsidR="008F16FC" w:rsidRPr="008F16FC" w14:paraId="1015A434" w14:textId="77777777" w:rsidTr="00BA304B">
        <w:trPr>
          <w:trHeight w:val="255"/>
        </w:trPr>
        <w:tc>
          <w:tcPr>
            <w:tcW w:w="3540" w:type="dxa"/>
            <w:tcBorders>
              <w:top w:val="nil"/>
              <w:left w:val="nil"/>
              <w:bottom w:val="nil"/>
              <w:right w:val="nil"/>
            </w:tcBorders>
            <w:shd w:val="clear" w:color="auto" w:fill="auto"/>
            <w:noWrap/>
            <w:vAlign w:val="bottom"/>
            <w:hideMark/>
          </w:tcPr>
          <w:p w14:paraId="646A56BB" w14:textId="77777777" w:rsidR="008F16FC" w:rsidRPr="008F16FC" w:rsidRDefault="008F16FC" w:rsidP="008F16FC">
            <w:pPr>
              <w:rPr>
                <w:color w:val="000000"/>
                <w:sz w:val="20"/>
                <w:szCs w:val="20"/>
              </w:rPr>
            </w:pPr>
            <w:r w:rsidRPr="008F16FC">
              <w:rPr>
                <w:color w:val="000000"/>
                <w:sz w:val="20"/>
                <w:szCs w:val="20"/>
              </w:rPr>
              <w:t>Rodados</w:t>
            </w:r>
          </w:p>
        </w:tc>
        <w:tc>
          <w:tcPr>
            <w:tcW w:w="1340" w:type="dxa"/>
            <w:tcBorders>
              <w:top w:val="nil"/>
              <w:left w:val="nil"/>
              <w:bottom w:val="nil"/>
              <w:right w:val="nil"/>
            </w:tcBorders>
            <w:shd w:val="clear" w:color="auto" w:fill="auto"/>
            <w:noWrap/>
            <w:vAlign w:val="bottom"/>
            <w:hideMark/>
          </w:tcPr>
          <w:p w14:paraId="5E8E31B4" w14:textId="77777777" w:rsidR="008F16FC" w:rsidRPr="008F16FC" w:rsidRDefault="008F16FC" w:rsidP="008F16FC">
            <w:pPr>
              <w:rPr>
                <w:color w:val="000000"/>
                <w:sz w:val="20"/>
                <w:szCs w:val="20"/>
              </w:rPr>
            </w:pPr>
            <w:r w:rsidRPr="008F16FC">
              <w:rPr>
                <w:color w:val="000000"/>
                <w:sz w:val="20"/>
                <w:szCs w:val="20"/>
              </w:rPr>
              <w:t xml:space="preserve">              4.784   </w:t>
            </w:r>
          </w:p>
        </w:tc>
      </w:tr>
      <w:tr w:rsidR="008F16FC" w:rsidRPr="008F16FC" w14:paraId="0F350F81" w14:textId="77777777" w:rsidTr="00BA304B">
        <w:trPr>
          <w:trHeight w:val="255"/>
        </w:trPr>
        <w:tc>
          <w:tcPr>
            <w:tcW w:w="3540" w:type="dxa"/>
            <w:tcBorders>
              <w:top w:val="nil"/>
              <w:left w:val="nil"/>
              <w:bottom w:val="nil"/>
              <w:right w:val="nil"/>
            </w:tcBorders>
            <w:shd w:val="clear" w:color="auto" w:fill="auto"/>
            <w:noWrap/>
            <w:vAlign w:val="bottom"/>
            <w:hideMark/>
          </w:tcPr>
          <w:p w14:paraId="29492241" w14:textId="77777777" w:rsidR="008F16FC" w:rsidRPr="008F16FC" w:rsidRDefault="008F16FC" w:rsidP="008F16FC">
            <w:pPr>
              <w:rPr>
                <w:color w:val="000000"/>
                <w:sz w:val="20"/>
                <w:szCs w:val="20"/>
                <w:lang w:val="es-ES"/>
              </w:rPr>
            </w:pPr>
            <w:r w:rsidRPr="008F16FC">
              <w:rPr>
                <w:color w:val="000000"/>
                <w:sz w:val="20"/>
                <w:szCs w:val="20"/>
                <w:lang w:val="es-ES"/>
              </w:rPr>
              <w:t>Equipos de computación y comunicación</w:t>
            </w:r>
          </w:p>
        </w:tc>
        <w:tc>
          <w:tcPr>
            <w:tcW w:w="1340" w:type="dxa"/>
            <w:tcBorders>
              <w:top w:val="nil"/>
              <w:left w:val="nil"/>
              <w:bottom w:val="nil"/>
              <w:right w:val="nil"/>
            </w:tcBorders>
            <w:shd w:val="clear" w:color="auto" w:fill="auto"/>
            <w:noWrap/>
            <w:vAlign w:val="bottom"/>
            <w:hideMark/>
          </w:tcPr>
          <w:p w14:paraId="75B3D666" w14:textId="77777777" w:rsidR="008F16FC" w:rsidRPr="008F16FC" w:rsidRDefault="008F16FC" w:rsidP="008F16FC">
            <w:pPr>
              <w:rPr>
                <w:color w:val="000000"/>
                <w:sz w:val="20"/>
                <w:szCs w:val="20"/>
              </w:rPr>
            </w:pPr>
            <w:r w:rsidRPr="008F16FC">
              <w:rPr>
                <w:color w:val="000000"/>
                <w:sz w:val="20"/>
                <w:szCs w:val="20"/>
                <w:lang w:val="es-ES"/>
              </w:rPr>
              <w:t xml:space="preserve">            </w:t>
            </w:r>
            <w:r w:rsidRPr="008F16FC">
              <w:rPr>
                <w:color w:val="000000"/>
                <w:sz w:val="20"/>
                <w:szCs w:val="20"/>
              </w:rPr>
              <w:t xml:space="preserve">13.291   </w:t>
            </w:r>
          </w:p>
        </w:tc>
      </w:tr>
      <w:tr w:rsidR="008F16FC" w:rsidRPr="008F16FC" w14:paraId="7C58D015" w14:textId="77777777" w:rsidTr="00BA304B">
        <w:trPr>
          <w:trHeight w:val="255"/>
        </w:trPr>
        <w:tc>
          <w:tcPr>
            <w:tcW w:w="3540" w:type="dxa"/>
            <w:tcBorders>
              <w:top w:val="nil"/>
              <w:left w:val="nil"/>
              <w:bottom w:val="nil"/>
              <w:right w:val="nil"/>
            </w:tcBorders>
            <w:shd w:val="clear" w:color="auto" w:fill="auto"/>
            <w:noWrap/>
            <w:vAlign w:val="bottom"/>
            <w:hideMark/>
          </w:tcPr>
          <w:p w14:paraId="01A07280" w14:textId="77777777" w:rsidR="008F16FC" w:rsidRPr="008F16FC" w:rsidRDefault="008F16FC" w:rsidP="008F16FC">
            <w:pPr>
              <w:rPr>
                <w:color w:val="000000"/>
                <w:sz w:val="20"/>
                <w:szCs w:val="20"/>
              </w:rPr>
            </w:pPr>
            <w:r w:rsidRPr="008F16FC">
              <w:rPr>
                <w:color w:val="000000"/>
                <w:sz w:val="20"/>
                <w:szCs w:val="20"/>
              </w:rPr>
              <w:t>Instalaciones</w:t>
            </w:r>
          </w:p>
        </w:tc>
        <w:tc>
          <w:tcPr>
            <w:tcW w:w="1340" w:type="dxa"/>
            <w:tcBorders>
              <w:top w:val="nil"/>
              <w:left w:val="nil"/>
              <w:bottom w:val="nil"/>
              <w:right w:val="nil"/>
            </w:tcBorders>
            <w:shd w:val="clear" w:color="auto" w:fill="auto"/>
            <w:noWrap/>
            <w:vAlign w:val="bottom"/>
            <w:hideMark/>
          </w:tcPr>
          <w:p w14:paraId="0355598B" w14:textId="77777777" w:rsidR="008F16FC" w:rsidRPr="008F16FC" w:rsidRDefault="008F16FC" w:rsidP="008F16FC">
            <w:pPr>
              <w:rPr>
                <w:color w:val="000000"/>
                <w:sz w:val="20"/>
                <w:szCs w:val="20"/>
              </w:rPr>
            </w:pPr>
            <w:r w:rsidRPr="008F16FC">
              <w:rPr>
                <w:color w:val="000000"/>
                <w:sz w:val="20"/>
                <w:szCs w:val="20"/>
              </w:rPr>
              <w:t xml:space="preserve">            62.518   </w:t>
            </w:r>
          </w:p>
        </w:tc>
      </w:tr>
      <w:tr w:rsidR="008F16FC" w:rsidRPr="008F16FC" w14:paraId="624B8763" w14:textId="77777777" w:rsidTr="00BA304B">
        <w:trPr>
          <w:trHeight w:val="255"/>
        </w:trPr>
        <w:tc>
          <w:tcPr>
            <w:tcW w:w="3540" w:type="dxa"/>
            <w:tcBorders>
              <w:top w:val="nil"/>
              <w:left w:val="nil"/>
              <w:bottom w:val="nil"/>
              <w:right w:val="nil"/>
            </w:tcBorders>
            <w:shd w:val="clear" w:color="auto" w:fill="auto"/>
            <w:noWrap/>
            <w:vAlign w:val="bottom"/>
            <w:hideMark/>
          </w:tcPr>
          <w:p w14:paraId="7633AFDE" w14:textId="77777777" w:rsidR="008F16FC" w:rsidRPr="008F16FC" w:rsidRDefault="008F16FC" w:rsidP="008F16FC">
            <w:pPr>
              <w:rPr>
                <w:color w:val="000000"/>
                <w:sz w:val="20"/>
                <w:szCs w:val="20"/>
              </w:rPr>
            </w:pPr>
            <w:r w:rsidRPr="008F16FC">
              <w:rPr>
                <w:color w:val="000000"/>
                <w:sz w:val="20"/>
                <w:szCs w:val="20"/>
              </w:rPr>
              <w:t>Laboratorios</w:t>
            </w:r>
          </w:p>
        </w:tc>
        <w:tc>
          <w:tcPr>
            <w:tcW w:w="1340" w:type="dxa"/>
            <w:tcBorders>
              <w:top w:val="nil"/>
              <w:left w:val="nil"/>
              <w:bottom w:val="nil"/>
              <w:right w:val="nil"/>
            </w:tcBorders>
            <w:shd w:val="clear" w:color="auto" w:fill="auto"/>
            <w:noWrap/>
            <w:vAlign w:val="bottom"/>
            <w:hideMark/>
          </w:tcPr>
          <w:p w14:paraId="37EEE171" w14:textId="77777777" w:rsidR="008F16FC" w:rsidRPr="008F16FC" w:rsidRDefault="008F16FC" w:rsidP="008F16FC">
            <w:pPr>
              <w:rPr>
                <w:color w:val="000000"/>
                <w:sz w:val="20"/>
                <w:szCs w:val="20"/>
                <w:lang w:val="es-ES"/>
              </w:rPr>
            </w:pPr>
            <w:r w:rsidRPr="008F16FC">
              <w:rPr>
                <w:color w:val="000000"/>
                <w:sz w:val="20"/>
                <w:szCs w:val="20"/>
                <w:lang w:val="es-ES"/>
              </w:rPr>
              <w:t xml:space="preserve">                  </w:t>
            </w:r>
            <w:r w:rsidRPr="008F16FC">
              <w:rPr>
                <w:color w:val="000000"/>
                <w:sz w:val="20"/>
                <w:szCs w:val="20"/>
                <w:lang w:val="es-ES"/>
              </w:rPr>
              <w:br/>
              <w:t xml:space="preserve">                947   </w:t>
            </w:r>
          </w:p>
        </w:tc>
      </w:tr>
      <w:tr w:rsidR="008F16FC" w:rsidRPr="008F16FC" w14:paraId="0F233D1D" w14:textId="77777777" w:rsidTr="00BA304B">
        <w:trPr>
          <w:trHeight w:val="255"/>
        </w:trPr>
        <w:tc>
          <w:tcPr>
            <w:tcW w:w="3540" w:type="dxa"/>
            <w:tcBorders>
              <w:top w:val="nil"/>
              <w:left w:val="nil"/>
              <w:bottom w:val="nil"/>
              <w:right w:val="nil"/>
            </w:tcBorders>
            <w:shd w:val="clear" w:color="auto" w:fill="auto"/>
            <w:noWrap/>
            <w:vAlign w:val="bottom"/>
            <w:hideMark/>
          </w:tcPr>
          <w:p w14:paraId="0695CAEB" w14:textId="77777777" w:rsidR="008F16FC" w:rsidRPr="008F16FC" w:rsidRDefault="008F16FC" w:rsidP="008F16FC">
            <w:pPr>
              <w:rPr>
                <w:color w:val="000000"/>
                <w:sz w:val="20"/>
                <w:szCs w:val="20"/>
                <w:lang w:val="es-ES"/>
              </w:rPr>
            </w:pPr>
            <w:r w:rsidRPr="008F16FC">
              <w:rPr>
                <w:color w:val="000000"/>
                <w:sz w:val="20"/>
                <w:szCs w:val="20"/>
                <w:lang w:val="es-ES"/>
              </w:rPr>
              <w:t>Construcción en curso</w:t>
            </w:r>
          </w:p>
        </w:tc>
        <w:tc>
          <w:tcPr>
            <w:tcW w:w="1340" w:type="dxa"/>
            <w:tcBorders>
              <w:top w:val="nil"/>
              <w:left w:val="nil"/>
              <w:bottom w:val="nil"/>
              <w:right w:val="nil"/>
            </w:tcBorders>
            <w:shd w:val="clear" w:color="auto" w:fill="auto"/>
            <w:noWrap/>
            <w:vAlign w:val="bottom"/>
            <w:hideMark/>
          </w:tcPr>
          <w:p w14:paraId="3B9646B4" w14:textId="77777777" w:rsidR="008F16FC" w:rsidRPr="008F16FC" w:rsidRDefault="008F16FC" w:rsidP="008F16FC">
            <w:pPr>
              <w:rPr>
                <w:color w:val="000000"/>
                <w:sz w:val="20"/>
                <w:szCs w:val="20"/>
                <w:lang w:val="es-ES"/>
              </w:rPr>
            </w:pPr>
            <w:r w:rsidRPr="008F16FC">
              <w:rPr>
                <w:color w:val="000000"/>
                <w:sz w:val="20"/>
                <w:szCs w:val="20"/>
                <w:lang w:val="es-ES"/>
              </w:rPr>
              <w:t xml:space="preserve">            54.184   </w:t>
            </w:r>
          </w:p>
        </w:tc>
      </w:tr>
      <w:tr w:rsidR="008F16FC" w:rsidRPr="008F16FC" w14:paraId="7F0F5E99" w14:textId="77777777" w:rsidTr="00BA304B">
        <w:trPr>
          <w:trHeight w:val="255"/>
        </w:trPr>
        <w:tc>
          <w:tcPr>
            <w:tcW w:w="3540" w:type="dxa"/>
            <w:tcBorders>
              <w:top w:val="nil"/>
              <w:left w:val="nil"/>
              <w:bottom w:val="nil"/>
              <w:right w:val="nil"/>
            </w:tcBorders>
            <w:shd w:val="clear" w:color="auto" w:fill="auto"/>
            <w:noWrap/>
            <w:vAlign w:val="bottom"/>
            <w:hideMark/>
          </w:tcPr>
          <w:p w14:paraId="55EC2D38" w14:textId="77777777" w:rsidR="008F16FC" w:rsidRPr="008F16FC" w:rsidRDefault="008F16FC" w:rsidP="008F16FC">
            <w:pPr>
              <w:rPr>
                <w:color w:val="000000"/>
                <w:sz w:val="20"/>
                <w:szCs w:val="20"/>
                <w:lang w:val="es-ES"/>
              </w:rPr>
            </w:pPr>
            <w:r w:rsidRPr="008F16FC">
              <w:rPr>
                <w:color w:val="000000"/>
                <w:sz w:val="20"/>
                <w:szCs w:val="20"/>
                <w:lang w:val="es-ES"/>
              </w:rPr>
              <w:t>Mejoras inmuebles de terceros</w:t>
            </w:r>
          </w:p>
        </w:tc>
        <w:tc>
          <w:tcPr>
            <w:tcW w:w="1340" w:type="dxa"/>
            <w:tcBorders>
              <w:top w:val="nil"/>
              <w:left w:val="nil"/>
              <w:bottom w:val="nil"/>
              <w:right w:val="nil"/>
            </w:tcBorders>
            <w:shd w:val="clear" w:color="auto" w:fill="auto"/>
            <w:noWrap/>
            <w:vAlign w:val="bottom"/>
            <w:hideMark/>
          </w:tcPr>
          <w:p w14:paraId="608F9336" w14:textId="77777777" w:rsidR="008F16FC" w:rsidRPr="008F16FC" w:rsidRDefault="008F16FC" w:rsidP="008F16FC">
            <w:pPr>
              <w:rPr>
                <w:color w:val="000000"/>
                <w:sz w:val="20"/>
                <w:szCs w:val="20"/>
                <w:lang w:val="es-ES"/>
              </w:rPr>
            </w:pPr>
            <w:r w:rsidRPr="008F16FC">
              <w:rPr>
                <w:color w:val="000000"/>
                <w:sz w:val="20"/>
                <w:szCs w:val="20"/>
                <w:lang w:val="es-ES"/>
              </w:rPr>
              <w:t xml:space="preserve">            42.666   </w:t>
            </w:r>
          </w:p>
        </w:tc>
      </w:tr>
      <w:tr w:rsidR="008F16FC" w:rsidRPr="008F16FC" w14:paraId="41760E83" w14:textId="77777777" w:rsidTr="00BA304B">
        <w:trPr>
          <w:trHeight w:val="255"/>
        </w:trPr>
        <w:tc>
          <w:tcPr>
            <w:tcW w:w="3540" w:type="dxa"/>
            <w:tcBorders>
              <w:top w:val="nil"/>
              <w:left w:val="nil"/>
              <w:bottom w:val="nil"/>
              <w:right w:val="nil"/>
            </w:tcBorders>
            <w:shd w:val="clear" w:color="auto" w:fill="auto"/>
            <w:noWrap/>
            <w:vAlign w:val="bottom"/>
            <w:hideMark/>
          </w:tcPr>
          <w:p w14:paraId="0BAD0793" w14:textId="77777777" w:rsidR="008F16FC" w:rsidRPr="008F16FC" w:rsidRDefault="008F16FC" w:rsidP="008F16FC">
            <w:pPr>
              <w:rPr>
                <w:color w:val="000000"/>
                <w:sz w:val="20"/>
                <w:szCs w:val="20"/>
                <w:lang w:val="es-ES"/>
              </w:rPr>
            </w:pPr>
            <w:r w:rsidRPr="008F16FC">
              <w:rPr>
                <w:color w:val="000000"/>
                <w:sz w:val="20"/>
                <w:szCs w:val="20"/>
                <w:lang w:val="es-ES"/>
              </w:rPr>
              <w:t>Otros bienes de uso</w:t>
            </w:r>
          </w:p>
        </w:tc>
        <w:tc>
          <w:tcPr>
            <w:tcW w:w="1340" w:type="dxa"/>
            <w:tcBorders>
              <w:top w:val="nil"/>
              <w:left w:val="nil"/>
              <w:bottom w:val="nil"/>
              <w:right w:val="nil"/>
            </w:tcBorders>
            <w:shd w:val="clear" w:color="auto" w:fill="auto"/>
            <w:noWrap/>
            <w:vAlign w:val="bottom"/>
            <w:hideMark/>
          </w:tcPr>
          <w:p w14:paraId="08084CC6" w14:textId="77777777" w:rsidR="008F16FC" w:rsidRPr="008F16FC" w:rsidRDefault="008F16FC" w:rsidP="008F16FC">
            <w:pPr>
              <w:rPr>
                <w:color w:val="000000"/>
                <w:sz w:val="20"/>
                <w:szCs w:val="20"/>
              </w:rPr>
            </w:pPr>
            <w:r w:rsidRPr="008F16FC">
              <w:rPr>
                <w:color w:val="000000"/>
                <w:sz w:val="20"/>
                <w:szCs w:val="20"/>
                <w:lang w:val="es-ES"/>
              </w:rPr>
              <w:t xml:space="preserve">              </w:t>
            </w:r>
            <w:r w:rsidRPr="008F16FC">
              <w:rPr>
                <w:color w:val="000000"/>
                <w:sz w:val="20"/>
                <w:szCs w:val="20"/>
              </w:rPr>
              <w:t xml:space="preserve">3.552   </w:t>
            </w:r>
          </w:p>
        </w:tc>
      </w:tr>
      <w:tr w:rsidR="008F16FC" w:rsidRPr="008F16FC" w14:paraId="29A04857" w14:textId="77777777" w:rsidTr="00BA304B">
        <w:trPr>
          <w:trHeight w:val="255"/>
        </w:trPr>
        <w:tc>
          <w:tcPr>
            <w:tcW w:w="3540" w:type="dxa"/>
            <w:tcBorders>
              <w:top w:val="nil"/>
              <w:left w:val="nil"/>
              <w:bottom w:val="nil"/>
              <w:right w:val="nil"/>
            </w:tcBorders>
            <w:shd w:val="clear" w:color="auto" w:fill="auto"/>
            <w:noWrap/>
            <w:vAlign w:val="bottom"/>
            <w:hideMark/>
          </w:tcPr>
          <w:p w14:paraId="69179579" w14:textId="77777777" w:rsidR="008F16FC" w:rsidRPr="008F16FC" w:rsidRDefault="008F16FC" w:rsidP="008F16FC">
            <w:pPr>
              <w:rPr>
                <w:b/>
                <w:bCs/>
                <w:color w:val="000000"/>
                <w:sz w:val="20"/>
                <w:szCs w:val="20"/>
                <w:lang w:val="es-ES"/>
              </w:rPr>
            </w:pPr>
            <w:r w:rsidRPr="008F16FC">
              <w:rPr>
                <w:b/>
                <w:bCs/>
                <w:color w:val="000000"/>
                <w:sz w:val="20"/>
                <w:szCs w:val="20"/>
                <w:lang w:val="es-ES"/>
              </w:rPr>
              <w:t>Total Propiedades, planta y equipo</w:t>
            </w:r>
          </w:p>
        </w:tc>
        <w:tc>
          <w:tcPr>
            <w:tcW w:w="1340" w:type="dxa"/>
            <w:tcBorders>
              <w:top w:val="nil"/>
              <w:left w:val="nil"/>
              <w:bottom w:val="nil"/>
              <w:right w:val="nil"/>
            </w:tcBorders>
            <w:shd w:val="clear" w:color="auto" w:fill="auto"/>
            <w:noWrap/>
            <w:vAlign w:val="bottom"/>
            <w:hideMark/>
          </w:tcPr>
          <w:p w14:paraId="48CE33A6" w14:textId="77777777" w:rsidR="008F16FC" w:rsidRPr="008F16FC" w:rsidRDefault="008F16FC" w:rsidP="008F16FC">
            <w:pPr>
              <w:rPr>
                <w:b/>
                <w:bCs/>
                <w:color w:val="000000"/>
                <w:sz w:val="20"/>
                <w:szCs w:val="20"/>
              </w:rPr>
            </w:pPr>
            <w:r w:rsidRPr="008F16FC">
              <w:rPr>
                <w:b/>
                <w:bCs/>
                <w:color w:val="000000"/>
                <w:sz w:val="20"/>
                <w:szCs w:val="20"/>
                <w:lang w:val="es-ES"/>
              </w:rPr>
              <w:t xml:space="preserve">          </w:t>
            </w:r>
            <w:r w:rsidRPr="008F16FC">
              <w:rPr>
                <w:b/>
                <w:bCs/>
                <w:color w:val="000000"/>
                <w:sz w:val="20"/>
                <w:szCs w:val="20"/>
              </w:rPr>
              <w:t xml:space="preserve">946.285   </w:t>
            </w:r>
          </w:p>
        </w:tc>
      </w:tr>
      <w:tr w:rsidR="008F16FC" w:rsidRPr="008F16FC" w14:paraId="03507CCB" w14:textId="77777777" w:rsidTr="00BA304B">
        <w:trPr>
          <w:trHeight w:val="255"/>
        </w:trPr>
        <w:tc>
          <w:tcPr>
            <w:tcW w:w="3540" w:type="dxa"/>
            <w:tcBorders>
              <w:top w:val="nil"/>
              <w:left w:val="nil"/>
              <w:bottom w:val="nil"/>
              <w:right w:val="nil"/>
            </w:tcBorders>
            <w:shd w:val="clear" w:color="auto" w:fill="auto"/>
            <w:noWrap/>
            <w:vAlign w:val="bottom"/>
            <w:hideMark/>
          </w:tcPr>
          <w:p w14:paraId="0503EDB4"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02C2B96F" w14:textId="77777777" w:rsidR="008F16FC" w:rsidRPr="008F16FC" w:rsidRDefault="008F16FC" w:rsidP="008F16FC">
            <w:pPr>
              <w:rPr>
                <w:color w:val="000000"/>
                <w:sz w:val="20"/>
                <w:szCs w:val="20"/>
              </w:rPr>
            </w:pPr>
          </w:p>
        </w:tc>
      </w:tr>
      <w:tr w:rsidR="008F16FC" w:rsidRPr="008F16FC" w14:paraId="70DACDFA" w14:textId="77777777" w:rsidTr="00BA304B">
        <w:trPr>
          <w:trHeight w:val="255"/>
        </w:trPr>
        <w:tc>
          <w:tcPr>
            <w:tcW w:w="3540" w:type="dxa"/>
            <w:tcBorders>
              <w:top w:val="nil"/>
              <w:left w:val="nil"/>
              <w:bottom w:val="nil"/>
              <w:right w:val="nil"/>
            </w:tcBorders>
            <w:shd w:val="clear" w:color="auto" w:fill="auto"/>
            <w:noWrap/>
            <w:vAlign w:val="bottom"/>
            <w:hideMark/>
          </w:tcPr>
          <w:p w14:paraId="41D02455" w14:textId="77777777" w:rsidR="008F16FC" w:rsidRPr="008F16FC" w:rsidRDefault="008F16FC" w:rsidP="008F16FC">
            <w:pPr>
              <w:rPr>
                <w:b/>
                <w:bCs/>
                <w:color w:val="000000"/>
                <w:sz w:val="20"/>
                <w:szCs w:val="20"/>
              </w:rPr>
            </w:pPr>
            <w:r w:rsidRPr="008F16FC">
              <w:rPr>
                <w:b/>
                <w:bCs/>
                <w:color w:val="000000"/>
                <w:sz w:val="20"/>
                <w:szCs w:val="20"/>
              </w:rPr>
              <w:t>Activos intangibles</w:t>
            </w:r>
          </w:p>
        </w:tc>
        <w:tc>
          <w:tcPr>
            <w:tcW w:w="1340" w:type="dxa"/>
            <w:tcBorders>
              <w:top w:val="nil"/>
              <w:left w:val="nil"/>
              <w:bottom w:val="nil"/>
              <w:right w:val="nil"/>
            </w:tcBorders>
            <w:shd w:val="clear" w:color="auto" w:fill="auto"/>
            <w:noWrap/>
            <w:vAlign w:val="bottom"/>
            <w:hideMark/>
          </w:tcPr>
          <w:p w14:paraId="690E9E46" w14:textId="77777777" w:rsidR="008F16FC" w:rsidRPr="008F16FC" w:rsidRDefault="008F16FC" w:rsidP="008F16FC">
            <w:pPr>
              <w:rPr>
                <w:color w:val="000000"/>
                <w:sz w:val="20"/>
                <w:szCs w:val="20"/>
              </w:rPr>
            </w:pPr>
          </w:p>
        </w:tc>
      </w:tr>
      <w:tr w:rsidR="008F16FC" w:rsidRPr="008F16FC" w14:paraId="09AC930A" w14:textId="77777777" w:rsidTr="00BA304B">
        <w:trPr>
          <w:trHeight w:val="255"/>
        </w:trPr>
        <w:tc>
          <w:tcPr>
            <w:tcW w:w="3540" w:type="dxa"/>
            <w:tcBorders>
              <w:top w:val="nil"/>
              <w:left w:val="nil"/>
              <w:bottom w:val="nil"/>
              <w:right w:val="nil"/>
            </w:tcBorders>
            <w:shd w:val="clear" w:color="auto" w:fill="auto"/>
            <w:noWrap/>
            <w:vAlign w:val="bottom"/>
            <w:hideMark/>
          </w:tcPr>
          <w:p w14:paraId="151CD4E7" w14:textId="52E35D4A" w:rsidR="008F16FC" w:rsidRPr="008F16FC" w:rsidRDefault="008F16FC" w:rsidP="008F16FC">
            <w:pPr>
              <w:rPr>
                <w:color w:val="000000"/>
                <w:sz w:val="20"/>
                <w:szCs w:val="20"/>
              </w:rPr>
            </w:pPr>
            <w:r w:rsidRPr="008F16FC">
              <w:rPr>
                <w:color w:val="000000"/>
                <w:sz w:val="20"/>
                <w:szCs w:val="20"/>
              </w:rPr>
              <w:t xml:space="preserve">Desarrollos área </w:t>
            </w:r>
            <w:r w:rsidR="006D23A9" w:rsidRPr="000745D7">
              <w:rPr>
                <w:color w:val="000000"/>
                <w:sz w:val="20"/>
                <w:szCs w:val="20"/>
              </w:rPr>
              <w:t>espacial</w:t>
            </w:r>
          </w:p>
        </w:tc>
        <w:tc>
          <w:tcPr>
            <w:tcW w:w="1340" w:type="dxa"/>
            <w:tcBorders>
              <w:top w:val="nil"/>
              <w:left w:val="nil"/>
              <w:bottom w:val="nil"/>
              <w:right w:val="nil"/>
            </w:tcBorders>
            <w:shd w:val="clear" w:color="auto" w:fill="auto"/>
            <w:noWrap/>
            <w:vAlign w:val="bottom"/>
            <w:hideMark/>
          </w:tcPr>
          <w:p w14:paraId="0E2056BF" w14:textId="77777777" w:rsidR="008F16FC" w:rsidRPr="008F16FC" w:rsidRDefault="008F16FC" w:rsidP="008F16FC">
            <w:pPr>
              <w:rPr>
                <w:color w:val="000000"/>
                <w:sz w:val="20"/>
                <w:szCs w:val="20"/>
              </w:rPr>
            </w:pPr>
            <w:r w:rsidRPr="008F16FC">
              <w:rPr>
                <w:color w:val="000000"/>
                <w:sz w:val="20"/>
                <w:szCs w:val="20"/>
              </w:rPr>
              <w:t xml:space="preserve">            56.276   </w:t>
            </w:r>
          </w:p>
        </w:tc>
      </w:tr>
      <w:tr w:rsidR="008F16FC" w:rsidRPr="008F16FC" w14:paraId="7984CDCB" w14:textId="77777777" w:rsidTr="00BA304B">
        <w:trPr>
          <w:trHeight w:val="255"/>
        </w:trPr>
        <w:tc>
          <w:tcPr>
            <w:tcW w:w="3540" w:type="dxa"/>
            <w:tcBorders>
              <w:top w:val="nil"/>
              <w:left w:val="nil"/>
              <w:bottom w:val="nil"/>
              <w:right w:val="nil"/>
            </w:tcBorders>
            <w:shd w:val="clear" w:color="auto" w:fill="auto"/>
            <w:noWrap/>
            <w:vAlign w:val="bottom"/>
            <w:hideMark/>
          </w:tcPr>
          <w:p w14:paraId="3C919C35" w14:textId="77777777" w:rsidR="008F16FC" w:rsidRPr="008F16FC" w:rsidRDefault="008F16FC" w:rsidP="008F16FC">
            <w:pPr>
              <w:rPr>
                <w:color w:val="000000"/>
                <w:sz w:val="20"/>
                <w:szCs w:val="20"/>
              </w:rPr>
            </w:pPr>
            <w:r w:rsidRPr="008F16FC">
              <w:rPr>
                <w:color w:val="000000"/>
                <w:sz w:val="20"/>
                <w:szCs w:val="20"/>
              </w:rPr>
              <w:t>Desarrollos área nuclear</w:t>
            </w:r>
          </w:p>
        </w:tc>
        <w:tc>
          <w:tcPr>
            <w:tcW w:w="1340" w:type="dxa"/>
            <w:tcBorders>
              <w:top w:val="nil"/>
              <w:left w:val="nil"/>
              <w:bottom w:val="nil"/>
              <w:right w:val="nil"/>
            </w:tcBorders>
            <w:shd w:val="clear" w:color="auto" w:fill="auto"/>
            <w:noWrap/>
            <w:vAlign w:val="bottom"/>
            <w:hideMark/>
          </w:tcPr>
          <w:p w14:paraId="39227239" w14:textId="77777777" w:rsidR="008F16FC" w:rsidRPr="008F16FC" w:rsidRDefault="008F16FC" w:rsidP="008F16FC">
            <w:pPr>
              <w:rPr>
                <w:color w:val="000000"/>
                <w:sz w:val="20"/>
                <w:szCs w:val="20"/>
              </w:rPr>
            </w:pPr>
            <w:r w:rsidRPr="008F16FC">
              <w:rPr>
                <w:color w:val="000000"/>
                <w:sz w:val="20"/>
                <w:szCs w:val="20"/>
              </w:rPr>
              <w:t xml:space="preserve">            12.047   </w:t>
            </w:r>
          </w:p>
        </w:tc>
      </w:tr>
      <w:tr w:rsidR="008F16FC" w:rsidRPr="008F16FC" w14:paraId="238B8262" w14:textId="77777777" w:rsidTr="00BA304B">
        <w:trPr>
          <w:trHeight w:val="255"/>
        </w:trPr>
        <w:tc>
          <w:tcPr>
            <w:tcW w:w="3540" w:type="dxa"/>
            <w:tcBorders>
              <w:top w:val="nil"/>
              <w:left w:val="nil"/>
              <w:bottom w:val="nil"/>
              <w:right w:val="nil"/>
            </w:tcBorders>
            <w:shd w:val="clear" w:color="auto" w:fill="auto"/>
            <w:noWrap/>
            <w:vAlign w:val="bottom"/>
            <w:hideMark/>
          </w:tcPr>
          <w:p w14:paraId="76D7E3D2" w14:textId="77777777" w:rsidR="008F16FC" w:rsidRPr="008F16FC" w:rsidRDefault="008F16FC" w:rsidP="008F16FC">
            <w:pPr>
              <w:rPr>
                <w:color w:val="000000"/>
                <w:sz w:val="20"/>
                <w:szCs w:val="20"/>
              </w:rPr>
            </w:pPr>
            <w:r w:rsidRPr="008F16FC">
              <w:rPr>
                <w:color w:val="000000"/>
                <w:sz w:val="20"/>
                <w:szCs w:val="20"/>
              </w:rPr>
              <w:t>Desarrollos área SIT</w:t>
            </w:r>
          </w:p>
        </w:tc>
        <w:tc>
          <w:tcPr>
            <w:tcW w:w="1340" w:type="dxa"/>
            <w:tcBorders>
              <w:top w:val="nil"/>
              <w:left w:val="nil"/>
              <w:bottom w:val="nil"/>
              <w:right w:val="nil"/>
            </w:tcBorders>
            <w:shd w:val="clear" w:color="auto" w:fill="auto"/>
            <w:noWrap/>
            <w:vAlign w:val="bottom"/>
            <w:hideMark/>
          </w:tcPr>
          <w:p w14:paraId="534BF1E3" w14:textId="77777777" w:rsidR="008F16FC" w:rsidRPr="008F16FC" w:rsidRDefault="008F16FC" w:rsidP="008F16FC">
            <w:pPr>
              <w:rPr>
                <w:color w:val="000000"/>
                <w:sz w:val="20"/>
                <w:szCs w:val="20"/>
                <w:lang w:val="es-ES"/>
              </w:rPr>
            </w:pPr>
            <w:r w:rsidRPr="008F16FC">
              <w:rPr>
                <w:color w:val="000000"/>
                <w:sz w:val="20"/>
                <w:szCs w:val="20"/>
                <w:lang w:val="es-ES"/>
              </w:rPr>
              <w:t xml:space="preserve">                  </w:t>
            </w:r>
            <w:r w:rsidRPr="008F16FC">
              <w:rPr>
                <w:color w:val="000000"/>
                <w:sz w:val="20"/>
                <w:szCs w:val="20"/>
                <w:lang w:val="es-ES"/>
              </w:rPr>
              <w:br/>
              <w:t xml:space="preserve">                988   </w:t>
            </w:r>
          </w:p>
        </w:tc>
      </w:tr>
      <w:tr w:rsidR="008F16FC" w:rsidRPr="008F16FC" w14:paraId="04D5C294" w14:textId="77777777" w:rsidTr="00BA304B">
        <w:trPr>
          <w:trHeight w:val="255"/>
        </w:trPr>
        <w:tc>
          <w:tcPr>
            <w:tcW w:w="3540" w:type="dxa"/>
            <w:tcBorders>
              <w:top w:val="nil"/>
              <w:left w:val="nil"/>
              <w:bottom w:val="nil"/>
              <w:right w:val="nil"/>
            </w:tcBorders>
            <w:shd w:val="clear" w:color="auto" w:fill="auto"/>
            <w:noWrap/>
            <w:vAlign w:val="bottom"/>
            <w:hideMark/>
          </w:tcPr>
          <w:p w14:paraId="3A15B92D" w14:textId="77777777" w:rsidR="008F16FC" w:rsidRPr="008F16FC" w:rsidRDefault="008F16FC" w:rsidP="008F16FC">
            <w:pPr>
              <w:rPr>
                <w:color w:val="000000"/>
                <w:sz w:val="20"/>
                <w:szCs w:val="20"/>
                <w:lang w:val="es-ES"/>
              </w:rPr>
            </w:pPr>
            <w:r w:rsidRPr="008F16FC">
              <w:rPr>
                <w:color w:val="000000"/>
                <w:sz w:val="20"/>
                <w:szCs w:val="20"/>
                <w:lang w:val="es-ES"/>
              </w:rPr>
              <w:t>Desarrollos industriales</w:t>
            </w:r>
          </w:p>
        </w:tc>
        <w:tc>
          <w:tcPr>
            <w:tcW w:w="1340" w:type="dxa"/>
            <w:tcBorders>
              <w:top w:val="nil"/>
              <w:left w:val="nil"/>
              <w:bottom w:val="nil"/>
              <w:right w:val="nil"/>
            </w:tcBorders>
            <w:shd w:val="clear" w:color="auto" w:fill="auto"/>
            <w:noWrap/>
            <w:vAlign w:val="bottom"/>
            <w:hideMark/>
          </w:tcPr>
          <w:p w14:paraId="6E6DC970" w14:textId="77777777" w:rsidR="008F16FC" w:rsidRPr="008F16FC" w:rsidRDefault="008F16FC" w:rsidP="008F16FC">
            <w:pPr>
              <w:rPr>
                <w:color w:val="000000"/>
                <w:sz w:val="20"/>
                <w:szCs w:val="20"/>
                <w:lang w:val="es-ES"/>
              </w:rPr>
            </w:pPr>
            <w:r w:rsidRPr="008F16FC">
              <w:rPr>
                <w:color w:val="000000"/>
                <w:sz w:val="20"/>
                <w:szCs w:val="20"/>
                <w:lang w:val="es-ES"/>
              </w:rPr>
              <w:t xml:space="preserve">            31.187   </w:t>
            </w:r>
          </w:p>
        </w:tc>
      </w:tr>
      <w:tr w:rsidR="008F16FC" w:rsidRPr="008F16FC" w14:paraId="681D126F" w14:textId="77777777" w:rsidTr="00BA304B">
        <w:trPr>
          <w:trHeight w:val="255"/>
        </w:trPr>
        <w:tc>
          <w:tcPr>
            <w:tcW w:w="3540" w:type="dxa"/>
            <w:tcBorders>
              <w:top w:val="nil"/>
              <w:left w:val="nil"/>
              <w:bottom w:val="nil"/>
              <w:right w:val="nil"/>
            </w:tcBorders>
            <w:shd w:val="clear" w:color="auto" w:fill="auto"/>
            <w:noWrap/>
            <w:vAlign w:val="bottom"/>
            <w:hideMark/>
          </w:tcPr>
          <w:p w14:paraId="17966908" w14:textId="77777777" w:rsidR="008F16FC" w:rsidRPr="008F16FC" w:rsidRDefault="008F16FC" w:rsidP="008F16FC">
            <w:pPr>
              <w:rPr>
                <w:color w:val="000000"/>
                <w:sz w:val="20"/>
                <w:szCs w:val="20"/>
                <w:lang w:val="es-ES"/>
              </w:rPr>
            </w:pPr>
            <w:r w:rsidRPr="008F16FC">
              <w:rPr>
                <w:color w:val="000000"/>
                <w:sz w:val="20"/>
                <w:szCs w:val="20"/>
                <w:lang w:val="es-ES"/>
              </w:rPr>
              <w:t>Desarrollos sistemas de información</w:t>
            </w:r>
          </w:p>
        </w:tc>
        <w:tc>
          <w:tcPr>
            <w:tcW w:w="1340" w:type="dxa"/>
            <w:tcBorders>
              <w:top w:val="nil"/>
              <w:left w:val="nil"/>
              <w:bottom w:val="nil"/>
              <w:right w:val="nil"/>
            </w:tcBorders>
            <w:shd w:val="clear" w:color="auto" w:fill="auto"/>
            <w:noWrap/>
            <w:vAlign w:val="bottom"/>
            <w:hideMark/>
          </w:tcPr>
          <w:p w14:paraId="00481367" w14:textId="77777777" w:rsidR="008F16FC" w:rsidRPr="008F16FC" w:rsidRDefault="008F16FC" w:rsidP="008F16FC">
            <w:pPr>
              <w:rPr>
                <w:color w:val="000000"/>
                <w:sz w:val="20"/>
                <w:szCs w:val="20"/>
                <w:lang w:val="es-ES"/>
              </w:rPr>
            </w:pPr>
            <w:r w:rsidRPr="008F16FC">
              <w:rPr>
                <w:color w:val="000000"/>
                <w:sz w:val="20"/>
                <w:szCs w:val="20"/>
                <w:lang w:val="es-ES"/>
              </w:rPr>
              <w:t xml:space="preserve">            37.878   </w:t>
            </w:r>
          </w:p>
        </w:tc>
      </w:tr>
      <w:tr w:rsidR="008F16FC" w:rsidRPr="008F16FC" w14:paraId="6C5BF35B" w14:textId="77777777" w:rsidTr="00BA304B">
        <w:trPr>
          <w:trHeight w:val="255"/>
        </w:trPr>
        <w:tc>
          <w:tcPr>
            <w:tcW w:w="3540" w:type="dxa"/>
            <w:tcBorders>
              <w:top w:val="nil"/>
              <w:left w:val="nil"/>
              <w:bottom w:val="nil"/>
              <w:right w:val="nil"/>
            </w:tcBorders>
            <w:shd w:val="clear" w:color="auto" w:fill="auto"/>
            <w:noWrap/>
            <w:vAlign w:val="bottom"/>
            <w:hideMark/>
          </w:tcPr>
          <w:p w14:paraId="3E59191F" w14:textId="77777777" w:rsidR="008F16FC" w:rsidRPr="008F16FC" w:rsidRDefault="008F16FC" w:rsidP="008F16FC">
            <w:pPr>
              <w:rPr>
                <w:color w:val="000000"/>
                <w:sz w:val="20"/>
                <w:szCs w:val="20"/>
                <w:lang w:val="es-ES"/>
              </w:rPr>
            </w:pPr>
            <w:r w:rsidRPr="008F16FC">
              <w:rPr>
                <w:color w:val="000000"/>
                <w:sz w:val="20"/>
                <w:szCs w:val="20"/>
                <w:lang w:val="es-ES"/>
              </w:rPr>
              <w:t>Marcas y patentes</w:t>
            </w:r>
          </w:p>
        </w:tc>
        <w:tc>
          <w:tcPr>
            <w:tcW w:w="1340" w:type="dxa"/>
            <w:tcBorders>
              <w:top w:val="nil"/>
              <w:left w:val="nil"/>
              <w:bottom w:val="nil"/>
              <w:right w:val="nil"/>
            </w:tcBorders>
            <w:shd w:val="clear" w:color="auto" w:fill="auto"/>
            <w:noWrap/>
            <w:vAlign w:val="bottom"/>
            <w:hideMark/>
          </w:tcPr>
          <w:p w14:paraId="7B259898" w14:textId="77777777" w:rsidR="008F16FC" w:rsidRPr="008F16FC" w:rsidRDefault="008F16FC" w:rsidP="008F16FC">
            <w:pPr>
              <w:rPr>
                <w:color w:val="000000"/>
                <w:sz w:val="20"/>
                <w:szCs w:val="20"/>
                <w:lang w:val="es-ES"/>
              </w:rPr>
            </w:pPr>
            <w:r w:rsidRPr="008F16FC">
              <w:rPr>
                <w:color w:val="000000"/>
                <w:sz w:val="20"/>
                <w:szCs w:val="20"/>
                <w:lang w:val="es-ES"/>
              </w:rPr>
              <w:t xml:space="preserve">                  </w:t>
            </w:r>
            <w:r w:rsidRPr="008F16FC">
              <w:rPr>
                <w:color w:val="000000"/>
                <w:sz w:val="20"/>
                <w:szCs w:val="20"/>
                <w:lang w:val="es-ES"/>
              </w:rPr>
              <w:br/>
              <w:t xml:space="preserve">                988   </w:t>
            </w:r>
          </w:p>
        </w:tc>
      </w:tr>
      <w:tr w:rsidR="008F16FC" w:rsidRPr="008F16FC" w14:paraId="331ADBB8" w14:textId="77777777" w:rsidTr="00BA304B">
        <w:trPr>
          <w:trHeight w:val="255"/>
        </w:trPr>
        <w:tc>
          <w:tcPr>
            <w:tcW w:w="3540" w:type="dxa"/>
            <w:tcBorders>
              <w:top w:val="nil"/>
              <w:left w:val="nil"/>
              <w:bottom w:val="nil"/>
              <w:right w:val="nil"/>
            </w:tcBorders>
            <w:shd w:val="clear" w:color="auto" w:fill="auto"/>
            <w:noWrap/>
            <w:vAlign w:val="bottom"/>
            <w:hideMark/>
          </w:tcPr>
          <w:p w14:paraId="1E93D8E1" w14:textId="77777777" w:rsidR="008F16FC" w:rsidRPr="008F16FC" w:rsidRDefault="008F16FC" w:rsidP="008F16FC">
            <w:pPr>
              <w:rPr>
                <w:color w:val="000000"/>
                <w:sz w:val="20"/>
                <w:szCs w:val="20"/>
                <w:lang w:val="es-ES"/>
              </w:rPr>
            </w:pPr>
            <w:r w:rsidRPr="008F16FC">
              <w:rPr>
                <w:color w:val="000000"/>
                <w:sz w:val="20"/>
                <w:szCs w:val="20"/>
                <w:lang w:val="es-ES"/>
              </w:rPr>
              <w:t>Otros intangibles</w:t>
            </w:r>
          </w:p>
        </w:tc>
        <w:tc>
          <w:tcPr>
            <w:tcW w:w="1340" w:type="dxa"/>
            <w:tcBorders>
              <w:top w:val="nil"/>
              <w:left w:val="nil"/>
              <w:bottom w:val="nil"/>
              <w:right w:val="nil"/>
            </w:tcBorders>
            <w:shd w:val="clear" w:color="auto" w:fill="auto"/>
            <w:noWrap/>
            <w:vAlign w:val="bottom"/>
            <w:hideMark/>
          </w:tcPr>
          <w:p w14:paraId="28F3FC18" w14:textId="77777777" w:rsidR="008F16FC" w:rsidRPr="008F16FC" w:rsidRDefault="008F16FC" w:rsidP="008F16FC">
            <w:pPr>
              <w:rPr>
                <w:color w:val="000000"/>
                <w:sz w:val="20"/>
                <w:szCs w:val="20"/>
                <w:lang w:val="es-ES"/>
              </w:rPr>
            </w:pPr>
            <w:r w:rsidRPr="008F16FC">
              <w:rPr>
                <w:color w:val="000000"/>
                <w:sz w:val="20"/>
                <w:szCs w:val="20"/>
                <w:lang w:val="es-ES"/>
              </w:rPr>
              <w:t xml:space="preserve">            66.787   </w:t>
            </w:r>
          </w:p>
        </w:tc>
      </w:tr>
      <w:tr w:rsidR="008F16FC" w:rsidRPr="008F16FC" w14:paraId="72D33E1B" w14:textId="77777777" w:rsidTr="00BA304B">
        <w:trPr>
          <w:trHeight w:val="255"/>
        </w:trPr>
        <w:tc>
          <w:tcPr>
            <w:tcW w:w="3540" w:type="dxa"/>
            <w:tcBorders>
              <w:top w:val="nil"/>
              <w:left w:val="nil"/>
              <w:bottom w:val="nil"/>
              <w:right w:val="nil"/>
            </w:tcBorders>
            <w:shd w:val="clear" w:color="auto" w:fill="auto"/>
            <w:noWrap/>
            <w:vAlign w:val="bottom"/>
            <w:hideMark/>
          </w:tcPr>
          <w:p w14:paraId="286BE1C2" w14:textId="77777777" w:rsidR="008F16FC" w:rsidRPr="008F16FC" w:rsidRDefault="008F16FC" w:rsidP="008F16FC">
            <w:pPr>
              <w:rPr>
                <w:b/>
                <w:bCs/>
                <w:color w:val="000000"/>
                <w:sz w:val="20"/>
                <w:szCs w:val="20"/>
                <w:lang w:val="es-ES"/>
              </w:rPr>
            </w:pPr>
            <w:r w:rsidRPr="008F16FC">
              <w:rPr>
                <w:b/>
                <w:bCs/>
                <w:color w:val="000000"/>
                <w:sz w:val="20"/>
                <w:szCs w:val="20"/>
                <w:lang w:val="es-ES"/>
              </w:rPr>
              <w:t>Total Activos intangibles</w:t>
            </w:r>
          </w:p>
        </w:tc>
        <w:tc>
          <w:tcPr>
            <w:tcW w:w="1340" w:type="dxa"/>
            <w:tcBorders>
              <w:top w:val="nil"/>
              <w:left w:val="nil"/>
              <w:bottom w:val="nil"/>
              <w:right w:val="nil"/>
            </w:tcBorders>
            <w:shd w:val="clear" w:color="auto" w:fill="auto"/>
            <w:noWrap/>
            <w:vAlign w:val="bottom"/>
            <w:hideMark/>
          </w:tcPr>
          <w:p w14:paraId="4DC0A6FE" w14:textId="77777777" w:rsidR="008F16FC" w:rsidRPr="008F16FC" w:rsidRDefault="008F16FC" w:rsidP="008F16FC">
            <w:pPr>
              <w:rPr>
                <w:b/>
                <w:bCs/>
                <w:color w:val="000000"/>
                <w:sz w:val="20"/>
                <w:szCs w:val="20"/>
                <w:lang w:val="es-ES"/>
              </w:rPr>
            </w:pPr>
            <w:r w:rsidRPr="008F16FC">
              <w:rPr>
                <w:b/>
                <w:bCs/>
                <w:color w:val="000000"/>
                <w:sz w:val="20"/>
                <w:szCs w:val="20"/>
                <w:lang w:val="es-ES"/>
              </w:rPr>
              <w:t xml:space="preserve">          206.151   </w:t>
            </w:r>
          </w:p>
        </w:tc>
      </w:tr>
      <w:tr w:rsidR="008F16FC" w:rsidRPr="008F16FC" w14:paraId="3BE9CC21" w14:textId="77777777" w:rsidTr="00BA304B">
        <w:trPr>
          <w:trHeight w:val="255"/>
        </w:trPr>
        <w:tc>
          <w:tcPr>
            <w:tcW w:w="3540" w:type="dxa"/>
            <w:tcBorders>
              <w:top w:val="nil"/>
              <w:left w:val="nil"/>
              <w:bottom w:val="nil"/>
              <w:right w:val="nil"/>
            </w:tcBorders>
            <w:shd w:val="clear" w:color="auto" w:fill="auto"/>
            <w:noWrap/>
            <w:vAlign w:val="bottom"/>
            <w:hideMark/>
          </w:tcPr>
          <w:p w14:paraId="2D0277DD" w14:textId="77777777" w:rsidR="008F16FC" w:rsidRPr="008F16FC" w:rsidRDefault="008F16FC" w:rsidP="008F16FC">
            <w:pPr>
              <w:rPr>
                <w:color w:val="000000"/>
                <w:sz w:val="20"/>
                <w:szCs w:val="20"/>
                <w:lang w:val="es-ES"/>
              </w:rPr>
            </w:pPr>
          </w:p>
        </w:tc>
        <w:tc>
          <w:tcPr>
            <w:tcW w:w="1340" w:type="dxa"/>
            <w:tcBorders>
              <w:top w:val="nil"/>
              <w:left w:val="nil"/>
              <w:bottom w:val="nil"/>
              <w:right w:val="nil"/>
            </w:tcBorders>
            <w:shd w:val="clear" w:color="auto" w:fill="auto"/>
            <w:noWrap/>
            <w:vAlign w:val="bottom"/>
            <w:hideMark/>
          </w:tcPr>
          <w:p w14:paraId="52BD1C0C" w14:textId="77777777" w:rsidR="008F16FC" w:rsidRPr="008F16FC" w:rsidRDefault="008F16FC" w:rsidP="008F16FC">
            <w:pPr>
              <w:rPr>
                <w:color w:val="000000"/>
                <w:sz w:val="20"/>
                <w:szCs w:val="20"/>
                <w:lang w:val="es-ES"/>
              </w:rPr>
            </w:pPr>
          </w:p>
        </w:tc>
      </w:tr>
      <w:tr w:rsidR="008F16FC" w:rsidRPr="008F16FC" w14:paraId="46D9CE2C" w14:textId="77777777" w:rsidTr="00BA304B">
        <w:trPr>
          <w:trHeight w:val="255"/>
        </w:trPr>
        <w:tc>
          <w:tcPr>
            <w:tcW w:w="3540" w:type="dxa"/>
            <w:tcBorders>
              <w:top w:val="nil"/>
              <w:left w:val="nil"/>
              <w:bottom w:val="nil"/>
              <w:right w:val="nil"/>
            </w:tcBorders>
            <w:shd w:val="clear" w:color="000000" w:fill="D9D9D9"/>
            <w:noWrap/>
            <w:vAlign w:val="bottom"/>
            <w:hideMark/>
          </w:tcPr>
          <w:p w14:paraId="1348EAAD" w14:textId="77777777" w:rsidR="008F16FC" w:rsidRPr="008F16FC" w:rsidRDefault="008F16FC" w:rsidP="008F16FC">
            <w:pPr>
              <w:rPr>
                <w:b/>
                <w:bCs/>
                <w:color w:val="000000"/>
                <w:sz w:val="20"/>
                <w:szCs w:val="20"/>
                <w:lang w:val="es-ES"/>
              </w:rPr>
            </w:pPr>
            <w:r w:rsidRPr="008F16FC">
              <w:rPr>
                <w:b/>
                <w:bCs/>
                <w:color w:val="000000"/>
                <w:sz w:val="20"/>
                <w:szCs w:val="20"/>
                <w:lang w:val="es-ES"/>
              </w:rPr>
              <w:t>TOTAL BIENES DE USO</w:t>
            </w:r>
          </w:p>
        </w:tc>
        <w:tc>
          <w:tcPr>
            <w:tcW w:w="1340" w:type="dxa"/>
            <w:tcBorders>
              <w:top w:val="nil"/>
              <w:left w:val="nil"/>
              <w:bottom w:val="nil"/>
              <w:right w:val="nil"/>
            </w:tcBorders>
            <w:shd w:val="clear" w:color="000000" w:fill="D9D9D9"/>
            <w:noWrap/>
            <w:vAlign w:val="bottom"/>
            <w:hideMark/>
          </w:tcPr>
          <w:p w14:paraId="6F5FBCC5" w14:textId="77777777" w:rsidR="008F16FC" w:rsidRPr="008F16FC" w:rsidRDefault="008F16FC" w:rsidP="008F16FC">
            <w:pPr>
              <w:rPr>
                <w:b/>
                <w:bCs/>
                <w:color w:val="000000"/>
                <w:sz w:val="20"/>
                <w:szCs w:val="20"/>
              </w:rPr>
            </w:pPr>
            <w:r w:rsidRPr="008F16FC">
              <w:rPr>
                <w:b/>
                <w:bCs/>
                <w:color w:val="000000"/>
                <w:sz w:val="20"/>
                <w:szCs w:val="20"/>
                <w:lang w:val="es-ES"/>
              </w:rPr>
              <w:t xml:space="preserve">      1.152.43</w:t>
            </w:r>
            <w:r w:rsidRPr="008F16FC">
              <w:rPr>
                <w:b/>
                <w:bCs/>
                <w:color w:val="000000"/>
                <w:sz w:val="20"/>
                <w:szCs w:val="20"/>
              </w:rPr>
              <w:t xml:space="preserve">6   </w:t>
            </w:r>
          </w:p>
        </w:tc>
      </w:tr>
      <w:tr w:rsidR="008F16FC" w:rsidRPr="008F16FC" w14:paraId="55A69C9B" w14:textId="77777777" w:rsidTr="00BA304B">
        <w:trPr>
          <w:trHeight w:val="255"/>
        </w:trPr>
        <w:tc>
          <w:tcPr>
            <w:tcW w:w="3540" w:type="dxa"/>
            <w:tcBorders>
              <w:top w:val="nil"/>
              <w:left w:val="nil"/>
              <w:bottom w:val="nil"/>
              <w:right w:val="nil"/>
            </w:tcBorders>
            <w:shd w:val="clear" w:color="auto" w:fill="auto"/>
            <w:noWrap/>
            <w:vAlign w:val="bottom"/>
            <w:hideMark/>
          </w:tcPr>
          <w:p w14:paraId="2CC74A86"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7482B6AA" w14:textId="77777777" w:rsidR="008F16FC" w:rsidRPr="008F16FC" w:rsidRDefault="008F16FC" w:rsidP="008F16FC">
            <w:pPr>
              <w:rPr>
                <w:color w:val="000000"/>
                <w:sz w:val="20"/>
                <w:szCs w:val="20"/>
              </w:rPr>
            </w:pPr>
          </w:p>
        </w:tc>
      </w:tr>
      <w:tr w:rsidR="008F16FC" w:rsidRPr="008F16FC" w14:paraId="2BAA39DE" w14:textId="77777777" w:rsidTr="00BA304B">
        <w:trPr>
          <w:trHeight w:val="255"/>
        </w:trPr>
        <w:tc>
          <w:tcPr>
            <w:tcW w:w="3540" w:type="dxa"/>
            <w:tcBorders>
              <w:top w:val="nil"/>
              <w:left w:val="nil"/>
              <w:bottom w:val="nil"/>
              <w:right w:val="nil"/>
            </w:tcBorders>
            <w:shd w:val="clear" w:color="auto" w:fill="auto"/>
            <w:noWrap/>
            <w:vAlign w:val="bottom"/>
            <w:hideMark/>
          </w:tcPr>
          <w:p w14:paraId="73D2C218" w14:textId="77777777" w:rsidR="008F16FC" w:rsidRPr="008F16FC" w:rsidRDefault="008F16FC" w:rsidP="008F16FC">
            <w:pPr>
              <w:rPr>
                <w:color w:val="000000"/>
                <w:sz w:val="20"/>
                <w:szCs w:val="20"/>
                <w:lang w:val="es-ES"/>
              </w:rPr>
            </w:pPr>
            <w:r w:rsidRPr="008F16FC">
              <w:rPr>
                <w:color w:val="000000"/>
                <w:sz w:val="20"/>
                <w:szCs w:val="20"/>
                <w:lang w:val="es-ES"/>
              </w:rPr>
              <w:t>Ingresos por contratos de construcción</w:t>
            </w:r>
          </w:p>
        </w:tc>
        <w:tc>
          <w:tcPr>
            <w:tcW w:w="1340" w:type="dxa"/>
            <w:tcBorders>
              <w:top w:val="nil"/>
              <w:left w:val="nil"/>
              <w:bottom w:val="nil"/>
              <w:right w:val="nil"/>
            </w:tcBorders>
            <w:shd w:val="clear" w:color="auto" w:fill="auto"/>
            <w:noWrap/>
            <w:vAlign w:val="bottom"/>
            <w:hideMark/>
          </w:tcPr>
          <w:p w14:paraId="776D001C" w14:textId="77777777" w:rsidR="008F16FC" w:rsidRPr="008F16FC" w:rsidRDefault="008F16FC" w:rsidP="008F16FC">
            <w:pPr>
              <w:rPr>
                <w:color w:val="000000"/>
                <w:sz w:val="20"/>
                <w:szCs w:val="20"/>
              </w:rPr>
            </w:pPr>
            <w:r w:rsidRPr="008F16FC">
              <w:rPr>
                <w:color w:val="000000"/>
                <w:sz w:val="20"/>
                <w:szCs w:val="20"/>
                <w:lang w:val="es-ES"/>
              </w:rPr>
              <w:t xml:space="preserve">      </w:t>
            </w:r>
            <w:r w:rsidRPr="008F16FC">
              <w:rPr>
                <w:color w:val="000000"/>
                <w:sz w:val="20"/>
                <w:szCs w:val="20"/>
              </w:rPr>
              <w:t xml:space="preserve">3.260.920   </w:t>
            </w:r>
          </w:p>
        </w:tc>
      </w:tr>
      <w:tr w:rsidR="008F16FC" w:rsidRPr="008F16FC" w14:paraId="6510F5A4" w14:textId="77777777" w:rsidTr="00BA304B">
        <w:trPr>
          <w:trHeight w:val="255"/>
        </w:trPr>
        <w:tc>
          <w:tcPr>
            <w:tcW w:w="3540" w:type="dxa"/>
            <w:tcBorders>
              <w:top w:val="nil"/>
              <w:left w:val="nil"/>
              <w:bottom w:val="nil"/>
              <w:right w:val="nil"/>
            </w:tcBorders>
            <w:shd w:val="clear" w:color="auto" w:fill="auto"/>
            <w:noWrap/>
            <w:vAlign w:val="bottom"/>
            <w:hideMark/>
          </w:tcPr>
          <w:p w14:paraId="3C7AD1B1" w14:textId="77777777" w:rsidR="008F16FC" w:rsidRPr="008F16FC" w:rsidRDefault="008F16FC" w:rsidP="008F16FC">
            <w:pPr>
              <w:rPr>
                <w:color w:val="000000"/>
                <w:sz w:val="20"/>
                <w:szCs w:val="20"/>
              </w:rPr>
            </w:pPr>
          </w:p>
        </w:tc>
        <w:tc>
          <w:tcPr>
            <w:tcW w:w="1340" w:type="dxa"/>
            <w:tcBorders>
              <w:top w:val="nil"/>
              <w:left w:val="nil"/>
              <w:bottom w:val="nil"/>
              <w:right w:val="nil"/>
            </w:tcBorders>
            <w:shd w:val="clear" w:color="auto" w:fill="auto"/>
            <w:noWrap/>
            <w:vAlign w:val="bottom"/>
            <w:hideMark/>
          </w:tcPr>
          <w:p w14:paraId="4ECB372F" w14:textId="77777777" w:rsidR="008F16FC" w:rsidRPr="008F16FC" w:rsidRDefault="008F16FC" w:rsidP="008F16FC">
            <w:pPr>
              <w:rPr>
                <w:color w:val="000000"/>
                <w:sz w:val="20"/>
                <w:szCs w:val="20"/>
              </w:rPr>
            </w:pPr>
          </w:p>
        </w:tc>
      </w:tr>
      <w:tr w:rsidR="008F16FC" w:rsidRPr="008F16FC" w14:paraId="40C145F9" w14:textId="77777777" w:rsidTr="00BA304B">
        <w:trPr>
          <w:trHeight w:val="255"/>
        </w:trPr>
        <w:tc>
          <w:tcPr>
            <w:tcW w:w="3540" w:type="dxa"/>
            <w:tcBorders>
              <w:top w:val="nil"/>
              <w:left w:val="nil"/>
              <w:bottom w:val="nil"/>
              <w:right w:val="nil"/>
            </w:tcBorders>
            <w:shd w:val="clear" w:color="auto" w:fill="auto"/>
            <w:noWrap/>
            <w:vAlign w:val="bottom"/>
            <w:hideMark/>
          </w:tcPr>
          <w:p w14:paraId="56AC802D" w14:textId="77777777" w:rsidR="008F16FC" w:rsidRPr="008F16FC" w:rsidRDefault="008F16FC" w:rsidP="008F16FC">
            <w:pPr>
              <w:rPr>
                <w:b/>
                <w:bCs/>
                <w:color w:val="000000"/>
                <w:sz w:val="20"/>
                <w:szCs w:val="20"/>
              </w:rPr>
            </w:pPr>
            <w:r w:rsidRPr="008F16FC">
              <w:rPr>
                <w:b/>
                <w:bCs/>
                <w:color w:val="000000"/>
                <w:sz w:val="20"/>
                <w:szCs w:val="20"/>
              </w:rPr>
              <w:t>% sobre ventas</w:t>
            </w:r>
          </w:p>
        </w:tc>
        <w:tc>
          <w:tcPr>
            <w:tcW w:w="1340" w:type="dxa"/>
            <w:tcBorders>
              <w:top w:val="nil"/>
              <w:left w:val="nil"/>
              <w:bottom w:val="nil"/>
              <w:right w:val="nil"/>
            </w:tcBorders>
            <w:shd w:val="clear" w:color="auto" w:fill="auto"/>
            <w:noWrap/>
            <w:vAlign w:val="bottom"/>
            <w:hideMark/>
          </w:tcPr>
          <w:p w14:paraId="32BE11E5" w14:textId="77777777" w:rsidR="008F16FC" w:rsidRPr="008F16FC" w:rsidRDefault="008F16FC" w:rsidP="008F16FC">
            <w:pPr>
              <w:jc w:val="center"/>
              <w:rPr>
                <w:b/>
                <w:bCs/>
                <w:color w:val="000000"/>
                <w:sz w:val="20"/>
                <w:szCs w:val="20"/>
              </w:rPr>
            </w:pPr>
            <w:r w:rsidRPr="008F16FC">
              <w:rPr>
                <w:b/>
                <w:bCs/>
                <w:color w:val="000000"/>
                <w:sz w:val="20"/>
                <w:szCs w:val="20"/>
              </w:rPr>
              <w:t>35%</w:t>
            </w:r>
          </w:p>
        </w:tc>
      </w:tr>
    </w:tbl>
    <w:p w14:paraId="51A63BBF" w14:textId="77777777" w:rsidR="008F16FC" w:rsidRPr="008F16FC" w:rsidRDefault="008F16FC" w:rsidP="008F16FC">
      <w:pPr>
        <w:widowControl w:val="0"/>
        <w:jc w:val="both"/>
        <w:rPr>
          <w:rFonts w:eastAsia="Calibri"/>
          <w:sz w:val="20"/>
          <w:szCs w:val="20"/>
          <w:lang w:val="es-MX"/>
        </w:rPr>
      </w:pPr>
    </w:p>
    <w:p w14:paraId="714EE381" w14:textId="77777777" w:rsidR="008F16FC" w:rsidRPr="008F16FC" w:rsidRDefault="008F16FC" w:rsidP="008F16FC">
      <w:pPr>
        <w:jc w:val="both"/>
        <w:rPr>
          <w:rFonts w:eastAsia="Calibri"/>
          <w:sz w:val="20"/>
          <w:szCs w:val="20"/>
          <w:lang w:val="es-MX"/>
        </w:rPr>
      </w:pPr>
      <w:r w:rsidRPr="008F16FC">
        <w:rPr>
          <w:rFonts w:eastAsia="Calibri"/>
          <w:sz w:val="20"/>
          <w:szCs w:val="20"/>
          <w:lang w:val="es-MX"/>
        </w:rPr>
        <w:t>A continuación, se detalla el nivel de inversión de la Compañía en el período intermedio de tres meses finalizado el 30 de septiembre de 2019, respecto de sus ventas de manera comparativas con el ejercicio finalizado el 30 de junio 2019, expresados en miles de Pesos.</w:t>
      </w:r>
    </w:p>
    <w:p w14:paraId="7A7AB2E3" w14:textId="77777777" w:rsidR="008F16FC" w:rsidRPr="008F16FC" w:rsidRDefault="008F16FC" w:rsidP="008F16FC">
      <w:pPr>
        <w:jc w:val="both"/>
        <w:rPr>
          <w:rFonts w:eastAsia="Calibri"/>
          <w:sz w:val="20"/>
          <w:szCs w:val="20"/>
          <w:lang w:val="es-MX"/>
        </w:rPr>
      </w:pPr>
    </w:p>
    <w:tbl>
      <w:tblPr>
        <w:tblW w:w="6220" w:type="dxa"/>
        <w:tblInd w:w="55" w:type="dxa"/>
        <w:tblCellMar>
          <w:left w:w="70" w:type="dxa"/>
          <w:right w:w="70" w:type="dxa"/>
        </w:tblCellMar>
        <w:tblLook w:val="04A0" w:firstRow="1" w:lastRow="0" w:firstColumn="1" w:lastColumn="0" w:noHBand="0" w:noVBand="1"/>
      </w:tblPr>
      <w:tblGrid>
        <w:gridCol w:w="3540"/>
        <w:gridCol w:w="1340"/>
        <w:gridCol w:w="1340"/>
      </w:tblGrid>
      <w:tr w:rsidR="008F16FC" w:rsidRPr="008F16FC" w14:paraId="67C7CDB0" w14:textId="77777777" w:rsidTr="008F16FC">
        <w:trPr>
          <w:trHeight w:val="255"/>
        </w:trPr>
        <w:tc>
          <w:tcPr>
            <w:tcW w:w="3540" w:type="dxa"/>
            <w:tcBorders>
              <w:top w:val="nil"/>
              <w:left w:val="nil"/>
              <w:bottom w:val="nil"/>
              <w:right w:val="nil"/>
            </w:tcBorders>
            <w:shd w:val="clear" w:color="auto" w:fill="auto"/>
            <w:noWrap/>
            <w:vAlign w:val="bottom"/>
            <w:hideMark/>
          </w:tcPr>
          <w:p w14:paraId="502DA560" w14:textId="77777777" w:rsidR="008F16FC" w:rsidRPr="008F16FC" w:rsidRDefault="008F16FC" w:rsidP="008F16FC">
            <w:pPr>
              <w:rPr>
                <w:color w:val="000000"/>
                <w:sz w:val="18"/>
                <w:szCs w:val="18"/>
                <w:lang w:val="es-ES"/>
              </w:rPr>
            </w:pPr>
          </w:p>
        </w:tc>
        <w:tc>
          <w:tcPr>
            <w:tcW w:w="1340" w:type="dxa"/>
            <w:tcBorders>
              <w:top w:val="nil"/>
              <w:left w:val="nil"/>
              <w:bottom w:val="nil"/>
              <w:right w:val="nil"/>
            </w:tcBorders>
            <w:shd w:val="clear" w:color="auto" w:fill="auto"/>
            <w:noWrap/>
            <w:vAlign w:val="bottom"/>
            <w:hideMark/>
          </w:tcPr>
          <w:p w14:paraId="022E37E9" w14:textId="77777777" w:rsidR="008F16FC" w:rsidRPr="008F16FC" w:rsidRDefault="008F16FC" w:rsidP="008F16FC">
            <w:pPr>
              <w:jc w:val="center"/>
              <w:rPr>
                <w:b/>
                <w:bCs/>
                <w:color w:val="000000"/>
                <w:sz w:val="18"/>
                <w:szCs w:val="18"/>
              </w:rPr>
            </w:pPr>
            <w:r w:rsidRPr="008F16FC">
              <w:rPr>
                <w:b/>
                <w:bCs/>
                <w:color w:val="000000"/>
                <w:sz w:val="18"/>
                <w:szCs w:val="18"/>
              </w:rPr>
              <w:t>30/09/2019</w:t>
            </w:r>
          </w:p>
        </w:tc>
        <w:tc>
          <w:tcPr>
            <w:tcW w:w="1340" w:type="dxa"/>
            <w:tcBorders>
              <w:top w:val="nil"/>
              <w:left w:val="nil"/>
              <w:bottom w:val="nil"/>
              <w:right w:val="nil"/>
            </w:tcBorders>
            <w:vAlign w:val="bottom"/>
          </w:tcPr>
          <w:p w14:paraId="42238590" w14:textId="77777777" w:rsidR="008F16FC" w:rsidRPr="008F16FC" w:rsidRDefault="008F16FC" w:rsidP="008F16FC">
            <w:pPr>
              <w:jc w:val="center"/>
              <w:rPr>
                <w:b/>
                <w:bCs/>
                <w:color w:val="000000"/>
                <w:sz w:val="18"/>
                <w:szCs w:val="18"/>
              </w:rPr>
            </w:pPr>
            <w:r w:rsidRPr="008F16FC">
              <w:rPr>
                <w:b/>
                <w:bCs/>
                <w:color w:val="000000"/>
                <w:sz w:val="18"/>
                <w:szCs w:val="18"/>
              </w:rPr>
              <w:t>30/06/2019</w:t>
            </w:r>
          </w:p>
        </w:tc>
      </w:tr>
      <w:tr w:rsidR="008F16FC" w:rsidRPr="008F16FC" w14:paraId="531D321D" w14:textId="77777777" w:rsidTr="008F16FC">
        <w:trPr>
          <w:trHeight w:val="255"/>
        </w:trPr>
        <w:tc>
          <w:tcPr>
            <w:tcW w:w="3540" w:type="dxa"/>
            <w:tcBorders>
              <w:top w:val="nil"/>
              <w:left w:val="nil"/>
              <w:bottom w:val="nil"/>
              <w:right w:val="nil"/>
            </w:tcBorders>
            <w:shd w:val="clear" w:color="auto" w:fill="auto"/>
            <w:noWrap/>
            <w:vAlign w:val="bottom"/>
            <w:hideMark/>
          </w:tcPr>
          <w:p w14:paraId="772ACAC0" w14:textId="77777777" w:rsidR="008F16FC" w:rsidRPr="008F16FC" w:rsidRDefault="008F16FC" w:rsidP="008F16FC">
            <w:pPr>
              <w:rPr>
                <w:b/>
                <w:bCs/>
                <w:color w:val="000000"/>
                <w:sz w:val="18"/>
                <w:szCs w:val="18"/>
              </w:rPr>
            </w:pPr>
            <w:r w:rsidRPr="008F16FC">
              <w:rPr>
                <w:b/>
                <w:bCs/>
                <w:color w:val="000000"/>
                <w:sz w:val="18"/>
                <w:szCs w:val="18"/>
              </w:rPr>
              <w:t>Propiedades, planta y equipo</w:t>
            </w:r>
          </w:p>
        </w:tc>
        <w:tc>
          <w:tcPr>
            <w:tcW w:w="1340" w:type="dxa"/>
            <w:tcBorders>
              <w:top w:val="nil"/>
              <w:left w:val="nil"/>
              <w:bottom w:val="nil"/>
              <w:right w:val="nil"/>
            </w:tcBorders>
            <w:shd w:val="clear" w:color="auto" w:fill="auto"/>
            <w:noWrap/>
            <w:vAlign w:val="bottom"/>
            <w:hideMark/>
          </w:tcPr>
          <w:p w14:paraId="3FB12495" w14:textId="77777777" w:rsidR="008F16FC" w:rsidRPr="008F16FC" w:rsidRDefault="008F16FC" w:rsidP="008F16FC">
            <w:pPr>
              <w:rPr>
                <w:color w:val="000000"/>
                <w:sz w:val="18"/>
                <w:szCs w:val="18"/>
              </w:rPr>
            </w:pPr>
          </w:p>
        </w:tc>
        <w:tc>
          <w:tcPr>
            <w:tcW w:w="1340" w:type="dxa"/>
            <w:tcBorders>
              <w:top w:val="nil"/>
              <w:left w:val="nil"/>
              <w:bottom w:val="nil"/>
              <w:right w:val="nil"/>
            </w:tcBorders>
            <w:vAlign w:val="bottom"/>
          </w:tcPr>
          <w:p w14:paraId="09D53349" w14:textId="77777777" w:rsidR="008F16FC" w:rsidRPr="008F16FC" w:rsidRDefault="008F16FC" w:rsidP="008F16FC">
            <w:pPr>
              <w:rPr>
                <w:color w:val="000000"/>
                <w:sz w:val="18"/>
                <w:szCs w:val="18"/>
              </w:rPr>
            </w:pPr>
          </w:p>
        </w:tc>
      </w:tr>
      <w:tr w:rsidR="008F16FC" w:rsidRPr="008F16FC" w14:paraId="7480EDEF" w14:textId="77777777" w:rsidTr="008F16FC">
        <w:trPr>
          <w:trHeight w:val="255"/>
        </w:trPr>
        <w:tc>
          <w:tcPr>
            <w:tcW w:w="3540" w:type="dxa"/>
            <w:tcBorders>
              <w:top w:val="nil"/>
              <w:left w:val="nil"/>
              <w:bottom w:val="nil"/>
              <w:right w:val="nil"/>
            </w:tcBorders>
            <w:shd w:val="clear" w:color="auto" w:fill="auto"/>
            <w:noWrap/>
            <w:vAlign w:val="bottom"/>
            <w:hideMark/>
          </w:tcPr>
          <w:p w14:paraId="22185E06" w14:textId="77777777" w:rsidR="008F16FC" w:rsidRPr="008F16FC" w:rsidRDefault="008F16FC" w:rsidP="008F16FC">
            <w:pPr>
              <w:rPr>
                <w:color w:val="000000"/>
                <w:sz w:val="18"/>
                <w:szCs w:val="18"/>
              </w:rPr>
            </w:pPr>
            <w:r w:rsidRPr="008F16FC">
              <w:rPr>
                <w:color w:val="000000"/>
                <w:sz w:val="18"/>
                <w:szCs w:val="18"/>
              </w:rPr>
              <w:t>Edificios</w:t>
            </w:r>
          </w:p>
        </w:tc>
        <w:tc>
          <w:tcPr>
            <w:tcW w:w="1340" w:type="dxa"/>
            <w:tcBorders>
              <w:top w:val="nil"/>
              <w:left w:val="nil"/>
              <w:bottom w:val="nil"/>
              <w:right w:val="nil"/>
            </w:tcBorders>
            <w:shd w:val="clear" w:color="auto" w:fill="auto"/>
            <w:noWrap/>
            <w:vAlign w:val="bottom"/>
          </w:tcPr>
          <w:p w14:paraId="1BDBDDB4" w14:textId="77777777" w:rsidR="008F16FC" w:rsidRPr="008F16FC" w:rsidRDefault="008F16FC" w:rsidP="008F16FC">
            <w:pPr>
              <w:rPr>
                <w:color w:val="000000"/>
                <w:sz w:val="18"/>
                <w:szCs w:val="18"/>
              </w:rPr>
            </w:pPr>
            <w:r w:rsidRPr="008F16FC">
              <w:rPr>
                <w:color w:val="000000"/>
                <w:sz w:val="18"/>
                <w:szCs w:val="18"/>
              </w:rPr>
              <w:t xml:space="preserve">       1.823.830</w:t>
            </w:r>
          </w:p>
        </w:tc>
        <w:tc>
          <w:tcPr>
            <w:tcW w:w="1340" w:type="dxa"/>
            <w:tcBorders>
              <w:top w:val="nil"/>
              <w:left w:val="nil"/>
              <w:bottom w:val="nil"/>
              <w:right w:val="nil"/>
            </w:tcBorders>
            <w:vAlign w:val="bottom"/>
          </w:tcPr>
          <w:p w14:paraId="5CD50DD8" w14:textId="77777777" w:rsidR="008F16FC" w:rsidRPr="008F16FC" w:rsidRDefault="008F16FC" w:rsidP="008F16FC">
            <w:pPr>
              <w:rPr>
                <w:color w:val="000000"/>
                <w:sz w:val="18"/>
                <w:szCs w:val="18"/>
                <w:lang w:val="es-AR"/>
              </w:rPr>
            </w:pPr>
            <w:r w:rsidRPr="008F16FC">
              <w:rPr>
                <w:color w:val="000000"/>
                <w:sz w:val="18"/>
                <w:szCs w:val="18"/>
                <w:lang w:val="es-AR"/>
              </w:rPr>
              <w:t xml:space="preserve">       1.424.150   </w:t>
            </w:r>
          </w:p>
        </w:tc>
      </w:tr>
      <w:tr w:rsidR="008F16FC" w:rsidRPr="008F16FC" w14:paraId="1C10A77B" w14:textId="77777777" w:rsidTr="008F16FC">
        <w:trPr>
          <w:trHeight w:val="255"/>
        </w:trPr>
        <w:tc>
          <w:tcPr>
            <w:tcW w:w="3540" w:type="dxa"/>
            <w:tcBorders>
              <w:top w:val="nil"/>
              <w:left w:val="nil"/>
              <w:bottom w:val="nil"/>
              <w:right w:val="nil"/>
            </w:tcBorders>
            <w:shd w:val="clear" w:color="auto" w:fill="auto"/>
            <w:noWrap/>
            <w:vAlign w:val="bottom"/>
            <w:hideMark/>
          </w:tcPr>
          <w:p w14:paraId="1134DB32" w14:textId="77777777" w:rsidR="008F16FC" w:rsidRPr="008F16FC" w:rsidRDefault="008F16FC" w:rsidP="008F16FC">
            <w:pPr>
              <w:rPr>
                <w:color w:val="000000"/>
                <w:sz w:val="18"/>
                <w:szCs w:val="18"/>
                <w:lang w:val="es-AR"/>
              </w:rPr>
            </w:pPr>
            <w:r w:rsidRPr="008F16FC">
              <w:rPr>
                <w:color w:val="000000"/>
                <w:sz w:val="18"/>
                <w:szCs w:val="18"/>
                <w:lang w:val="es-AR"/>
              </w:rPr>
              <w:t>Terrenos</w:t>
            </w:r>
          </w:p>
        </w:tc>
        <w:tc>
          <w:tcPr>
            <w:tcW w:w="1340" w:type="dxa"/>
            <w:tcBorders>
              <w:top w:val="nil"/>
              <w:left w:val="nil"/>
              <w:bottom w:val="nil"/>
              <w:right w:val="nil"/>
            </w:tcBorders>
            <w:shd w:val="clear" w:color="auto" w:fill="auto"/>
            <w:noWrap/>
            <w:vAlign w:val="bottom"/>
          </w:tcPr>
          <w:p w14:paraId="33C9B9E6" w14:textId="77777777" w:rsidR="008F16FC" w:rsidRPr="008F16FC" w:rsidRDefault="008F16FC" w:rsidP="008F16FC">
            <w:pPr>
              <w:rPr>
                <w:color w:val="000000"/>
                <w:sz w:val="18"/>
                <w:szCs w:val="18"/>
                <w:lang w:val="es-AR"/>
              </w:rPr>
            </w:pPr>
            <w:r w:rsidRPr="008F16FC">
              <w:rPr>
                <w:color w:val="000000"/>
                <w:sz w:val="18"/>
                <w:szCs w:val="18"/>
                <w:lang w:val="es-AR"/>
              </w:rPr>
              <w:t xml:space="preserve">          589.654</w:t>
            </w:r>
          </w:p>
        </w:tc>
        <w:tc>
          <w:tcPr>
            <w:tcW w:w="1340" w:type="dxa"/>
            <w:tcBorders>
              <w:top w:val="nil"/>
              <w:left w:val="nil"/>
              <w:bottom w:val="nil"/>
              <w:right w:val="nil"/>
            </w:tcBorders>
            <w:vAlign w:val="bottom"/>
          </w:tcPr>
          <w:p w14:paraId="5CED70E3" w14:textId="77777777" w:rsidR="008F16FC" w:rsidRPr="008F16FC" w:rsidRDefault="008F16FC" w:rsidP="008F16FC">
            <w:pPr>
              <w:rPr>
                <w:color w:val="000000"/>
                <w:sz w:val="18"/>
                <w:szCs w:val="18"/>
                <w:lang w:val="es-AR"/>
              </w:rPr>
            </w:pPr>
            <w:r w:rsidRPr="008F16FC">
              <w:rPr>
                <w:color w:val="000000"/>
                <w:sz w:val="18"/>
                <w:szCs w:val="18"/>
                <w:lang w:val="es-AR"/>
              </w:rPr>
              <w:t xml:space="preserve">          578.503   </w:t>
            </w:r>
          </w:p>
        </w:tc>
      </w:tr>
      <w:tr w:rsidR="008F16FC" w:rsidRPr="008F16FC" w14:paraId="26F48A5D" w14:textId="77777777" w:rsidTr="008F16FC">
        <w:trPr>
          <w:trHeight w:val="255"/>
        </w:trPr>
        <w:tc>
          <w:tcPr>
            <w:tcW w:w="3540" w:type="dxa"/>
            <w:tcBorders>
              <w:top w:val="nil"/>
              <w:left w:val="nil"/>
              <w:bottom w:val="nil"/>
              <w:right w:val="nil"/>
            </w:tcBorders>
            <w:shd w:val="clear" w:color="auto" w:fill="auto"/>
            <w:noWrap/>
            <w:vAlign w:val="bottom"/>
            <w:hideMark/>
          </w:tcPr>
          <w:p w14:paraId="45F5EC8E" w14:textId="77777777" w:rsidR="008F16FC" w:rsidRPr="008F16FC" w:rsidRDefault="008F16FC" w:rsidP="008F16FC">
            <w:pPr>
              <w:rPr>
                <w:color w:val="000000"/>
                <w:sz w:val="18"/>
                <w:szCs w:val="18"/>
                <w:lang w:val="es-ES"/>
              </w:rPr>
            </w:pPr>
            <w:r w:rsidRPr="008F16FC">
              <w:rPr>
                <w:color w:val="000000"/>
                <w:sz w:val="18"/>
                <w:szCs w:val="18"/>
                <w:lang w:val="es-ES"/>
              </w:rPr>
              <w:t>Equipo de oficina / Muebles y útiles</w:t>
            </w:r>
          </w:p>
        </w:tc>
        <w:tc>
          <w:tcPr>
            <w:tcW w:w="1340" w:type="dxa"/>
            <w:tcBorders>
              <w:top w:val="nil"/>
              <w:left w:val="nil"/>
              <w:bottom w:val="nil"/>
              <w:right w:val="nil"/>
            </w:tcBorders>
            <w:shd w:val="clear" w:color="auto" w:fill="auto"/>
            <w:noWrap/>
            <w:vAlign w:val="bottom"/>
          </w:tcPr>
          <w:p w14:paraId="0680D962" w14:textId="77777777" w:rsidR="008F16FC" w:rsidRPr="008F16FC" w:rsidRDefault="008F16FC" w:rsidP="008F16FC">
            <w:pPr>
              <w:rPr>
                <w:color w:val="000000"/>
                <w:sz w:val="18"/>
                <w:szCs w:val="18"/>
                <w:lang w:val="es-MX"/>
              </w:rPr>
            </w:pPr>
            <w:r w:rsidRPr="008F16FC">
              <w:rPr>
                <w:color w:val="000000"/>
                <w:sz w:val="18"/>
                <w:szCs w:val="18"/>
                <w:lang w:val="es-MX"/>
              </w:rPr>
              <w:t xml:space="preserve">            12.748</w:t>
            </w:r>
          </w:p>
        </w:tc>
        <w:tc>
          <w:tcPr>
            <w:tcW w:w="1340" w:type="dxa"/>
            <w:tcBorders>
              <w:top w:val="nil"/>
              <w:left w:val="nil"/>
              <w:bottom w:val="nil"/>
              <w:right w:val="nil"/>
            </w:tcBorders>
            <w:vAlign w:val="bottom"/>
          </w:tcPr>
          <w:p w14:paraId="18203741" w14:textId="77777777" w:rsidR="008F16FC" w:rsidRPr="008F16FC" w:rsidRDefault="008F16FC" w:rsidP="008F16FC">
            <w:pPr>
              <w:rPr>
                <w:color w:val="000000"/>
                <w:sz w:val="18"/>
                <w:szCs w:val="18"/>
                <w:lang w:val="es-MX"/>
              </w:rPr>
            </w:pPr>
            <w:r w:rsidRPr="008F16FC">
              <w:rPr>
                <w:color w:val="000000"/>
                <w:sz w:val="18"/>
                <w:szCs w:val="18"/>
                <w:lang w:val="es-ES"/>
              </w:rPr>
              <w:t xml:space="preserve">            </w:t>
            </w:r>
            <w:r w:rsidRPr="008F16FC">
              <w:rPr>
                <w:color w:val="000000"/>
                <w:sz w:val="18"/>
                <w:szCs w:val="18"/>
                <w:lang w:val="es-AR"/>
              </w:rPr>
              <w:t xml:space="preserve">13.025   </w:t>
            </w:r>
          </w:p>
        </w:tc>
      </w:tr>
      <w:tr w:rsidR="008F16FC" w:rsidRPr="008F16FC" w14:paraId="7191AF8C" w14:textId="77777777" w:rsidTr="008F16FC">
        <w:trPr>
          <w:trHeight w:val="255"/>
        </w:trPr>
        <w:tc>
          <w:tcPr>
            <w:tcW w:w="3540" w:type="dxa"/>
            <w:tcBorders>
              <w:top w:val="nil"/>
              <w:left w:val="nil"/>
              <w:bottom w:val="nil"/>
              <w:right w:val="nil"/>
            </w:tcBorders>
            <w:shd w:val="clear" w:color="auto" w:fill="auto"/>
            <w:noWrap/>
            <w:vAlign w:val="bottom"/>
            <w:hideMark/>
          </w:tcPr>
          <w:p w14:paraId="0E6CCBC8" w14:textId="77777777" w:rsidR="008F16FC" w:rsidRPr="008F16FC" w:rsidRDefault="008F16FC" w:rsidP="008F16FC">
            <w:pPr>
              <w:rPr>
                <w:color w:val="000000"/>
                <w:sz w:val="18"/>
                <w:szCs w:val="18"/>
                <w:lang w:val="es-AR"/>
              </w:rPr>
            </w:pPr>
            <w:r w:rsidRPr="008F16FC">
              <w:rPr>
                <w:color w:val="000000"/>
                <w:sz w:val="18"/>
                <w:szCs w:val="18"/>
                <w:lang w:val="es-AR"/>
              </w:rPr>
              <w:t>Maquinarias y herramientas</w:t>
            </w:r>
          </w:p>
        </w:tc>
        <w:tc>
          <w:tcPr>
            <w:tcW w:w="1340" w:type="dxa"/>
            <w:tcBorders>
              <w:top w:val="nil"/>
              <w:left w:val="nil"/>
              <w:bottom w:val="nil"/>
              <w:right w:val="nil"/>
            </w:tcBorders>
            <w:shd w:val="clear" w:color="auto" w:fill="auto"/>
            <w:noWrap/>
            <w:vAlign w:val="bottom"/>
          </w:tcPr>
          <w:p w14:paraId="7ED281C2" w14:textId="77777777" w:rsidR="008F16FC" w:rsidRPr="008F16FC" w:rsidRDefault="008F16FC" w:rsidP="008F16FC">
            <w:pPr>
              <w:rPr>
                <w:color w:val="000000"/>
                <w:sz w:val="18"/>
                <w:szCs w:val="18"/>
              </w:rPr>
            </w:pPr>
            <w:r w:rsidRPr="008F16FC">
              <w:rPr>
                <w:color w:val="000000"/>
                <w:sz w:val="18"/>
                <w:szCs w:val="18"/>
                <w:lang w:val="es-AR"/>
              </w:rPr>
              <w:t xml:space="preserve">            80.59</w:t>
            </w:r>
            <w:r w:rsidRPr="008F16FC">
              <w:rPr>
                <w:color w:val="000000"/>
                <w:sz w:val="18"/>
                <w:szCs w:val="18"/>
              </w:rPr>
              <w:t>9</w:t>
            </w:r>
          </w:p>
        </w:tc>
        <w:tc>
          <w:tcPr>
            <w:tcW w:w="1340" w:type="dxa"/>
            <w:tcBorders>
              <w:top w:val="nil"/>
              <w:left w:val="nil"/>
              <w:bottom w:val="nil"/>
              <w:right w:val="nil"/>
            </w:tcBorders>
            <w:vAlign w:val="bottom"/>
          </w:tcPr>
          <w:p w14:paraId="6CC8E1F7" w14:textId="77777777" w:rsidR="008F16FC" w:rsidRPr="008F16FC" w:rsidRDefault="008F16FC" w:rsidP="008F16FC">
            <w:pPr>
              <w:rPr>
                <w:color w:val="000000"/>
                <w:sz w:val="18"/>
                <w:szCs w:val="18"/>
              </w:rPr>
            </w:pPr>
            <w:r w:rsidRPr="008F16FC">
              <w:rPr>
                <w:color w:val="000000"/>
                <w:sz w:val="18"/>
                <w:szCs w:val="18"/>
              </w:rPr>
              <w:t xml:space="preserve">            84.137   </w:t>
            </w:r>
          </w:p>
        </w:tc>
      </w:tr>
      <w:tr w:rsidR="008F16FC" w:rsidRPr="008F16FC" w14:paraId="6A25672C" w14:textId="77777777" w:rsidTr="008F16FC">
        <w:trPr>
          <w:trHeight w:val="255"/>
        </w:trPr>
        <w:tc>
          <w:tcPr>
            <w:tcW w:w="3540" w:type="dxa"/>
            <w:tcBorders>
              <w:top w:val="nil"/>
              <w:left w:val="nil"/>
              <w:bottom w:val="nil"/>
              <w:right w:val="nil"/>
            </w:tcBorders>
            <w:shd w:val="clear" w:color="auto" w:fill="auto"/>
            <w:noWrap/>
            <w:vAlign w:val="bottom"/>
            <w:hideMark/>
          </w:tcPr>
          <w:p w14:paraId="7D088092" w14:textId="77777777" w:rsidR="008F16FC" w:rsidRPr="008F16FC" w:rsidRDefault="008F16FC" w:rsidP="008F16FC">
            <w:pPr>
              <w:rPr>
                <w:color w:val="000000"/>
                <w:sz w:val="18"/>
                <w:szCs w:val="18"/>
              </w:rPr>
            </w:pPr>
            <w:r w:rsidRPr="008F16FC">
              <w:rPr>
                <w:color w:val="000000"/>
                <w:sz w:val="18"/>
                <w:szCs w:val="18"/>
              </w:rPr>
              <w:t>Instrumental</w:t>
            </w:r>
          </w:p>
        </w:tc>
        <w:tc>
          <w:tcPr>
            <w:tcW w:w="1340" w:type="dxa"/>
            <w:tcBorders>
              <w:top w:val="nil"/>
              <w:left w:val="nil"/>
              <w:bottom w:val="nil"/>
              <w:right w:val="nil"/>
            </w:tcBorders>
            <w:shd w:val="clear" w:color="auto" w:fill="auto"/>
            <w:noWrap/>
            <w:vAlign w:val="bottom"/>
          </w:tcPr>
          <w:p w14:paraId="4A3964D6" w14:textId="77777777" w:rsidR="008F16FC" w:rsidRPr="008F16FC" w:rsidRDefault="008F16FC" w:rsidP="008F16FC">
            <w:pPr>
              <w:rPr>
                <w:color w:val="000000"/>
                <w:sz w:val="18"/>
                <w:szCs w:val="18"/>
              </w:rPr>
            </w:pPr>
            <w:r w:rsidRPr="008F16FC">
              <w:rPr>
                <w:color w:val="000000"/>
                <w:sz w:val="18"/>
                <w:szCs w:val="18"/>
              </w:rPr>
              <w:t xml:space="preserve">            13.661</w:t>
            </w:r>
          </w:p>
        </w:tc>
        <w:tc>
          <w:tcPr>
            <w:tcW w:w="1340" w:type="dxa"/>
            <w:tcBorders>
              <w:top w:val="nil"/>
              <w:left w:val="nil"/>
              <w:bottom w:val="nil"/>
              <w:right w:val="nil"/>
            </w:tcBorders>
            <w:vAlign w:val="bottom"/>
          </w:tcPr>
          <w:p w14:paraId="16DE5311" w14:textId="77777777" w:rsidR="008F16FC" w:rsidRPr="008F16FC" w:rsidRDefault="008F16FC" w:rsidP="008F16FC">
            <w:pPr>
              <w:rPr>
                <w:color w:val="000000"/>
                <w:sz w:val="18"/>
                <w:szCs w:val="18"/>
                <w:lang w:val="es-AR"/>
              </w:rPr>
            </w:pPr>
            <w:r w:rsidRPr="008F16FC">
              <w:rPr>
                <w:color w:val="000000"/>
                <w:sz w:val="18"/>
                <w:szCs w:val="18"/>
              </w:rPr>
              <w:t xml:space="preserve">            </w:t>
            </w:r>
            <w:r w:rsidRPr="008F16FC">
              <w:rPr>
                <w:color w:val="000000"/>
                <w:sz w:val="18"/>
                <w:szCs w:val="18"/>
                <w:lang w:val="es-AR"/>
              </w:rPr>
              <w:t xml:space="preserve">15.282   </w:t>
            </w:r>
          </w:p>
        </w:tc>
      </w:tr>
      <w:tr w:rsidR="008F16FC" w:rsidRPr="008F16FC" w14:paraId="53F0319F" w14:textId="77777777" w:rsidTr="008F16FC">
        <w:trPr>
          <w:trHeight w:val="255"/>
        </w:trPr>
        <w:tc>
          <w:tcPr>
            <w:tcW w:w="3540" w:type="dxa"/>
            <w:tcBorders>
              <w:top w:val="nil"/>
              <w:left w:val="nil"/>
              <w:bottom w:val="nil"/>
              <w:right w:val="nil"/>
            </w:tcBorders>
            <w:shd w:val="clear" w:color="auto" w:fill="auto"/>
            <w:noWrap/>
            <w:vAlign w:val="bottom"/>
            <w:hideMark/>
          </w:tcPr>
          <w:p w14:paraId="37F4056F" w14:textId="77777777" w:rsidR="008F16FC" w:rsidRPr="008F16FC" w:rsidRDefault="008F16FC" w:rsidP="008F16FC">
            <w:pPr>
              <w:rPr>
                <w:color w:val="000000"/>
                <w:sz w:val="18"/>
                <w:szCs w:val="18"/>
                <w:lang w:val="es-AR"/>
              </w:rPr>
            </w:pPr>
            <w:r w:rsidRPr="008F16FC">
              <w:rPr>
                <w:color w:val="000000"/>
                <w:sz w:val="18"/>
                <w:szCs w:val="18"/>
                <w:lang w:val="es-AR"/>
              </w:rPr>
              <w:t>Rodados</w:t>
            </w:r>
          </w:p>
        </w:tc>
        <w:tc>
          <w:tcPr>
            <w:tcW w:w="1340" w:type="dxa"/>
            <w:tcBorders>
              <w:top w:val="nil"/>
              <w:left w:val="nil"/>
              <w:bottom w:val="nil"/>
              <w:right w:val="nil"/>
            </w:tcBorders>
            <w:shd w:val="clear" w:color="auto" w:fill="auto"/>
            <w:noWrap/>
            <w:vAlign w:val="bottom"/>
          </w:tcPr>
          <w:p w14:paraId="2781563B" w14:textId="77777777" w:rsidR="008F16FC" w:rsidRPr="008F16FC" w:rsidRDefault="008F16FC" w:rsidP="008F16FC">
            <w:pPr>
              <w:rPr>
                <w:color w:val="000000"/>
                <w:sz w:val="18"/>
                <w:szCs w:val="18"/>
                <w:lang w:val="es-AR"/>
              </w:rPr>
            </w:pPr>
            <w:r w:rsidRPr="008F16FC">
              <w:rPr>
                <w:color w:val="000000"/>
                <w:sz w:val="18"/>
                <w:szCs w:val="18"/>
                <w:lang w:val="es-AR"/>
              </w:rPr>
              <w:t xml:space="preserve">              4.395</w:t>
            </w:r>
          </w:p>
        </w:tc>
        <w:tc>
          <w:tcPr>
            <w:tcW w:w="1340" w:type="dxa"/>
            <w:tcBorders>
              <w:top w:val="nil"/>
              <w:left w:val="nil"/>
              <w:bottom w:val="nil"/>
              <w:right w:val="nil"/>
            </w:tcBorders>
            <w:vAlign w:val="bottom"/>
          </w:tcPr>
          <w:p w14:paraId="27D5E648" w14:textId="77777777" w:rsidR="008F16FC" w:rsidRPr="008F16FC" w:rsidRDefault="008F16FC" w:rsidP="008F16FC">
            <w:pPr>
              <w:rPr>
                <w:color w:val="000000"/>
                <w:sz w:val="18"/>
                <w:szCs w:val="18"/>
                <w:lang w:val="es-AR"/>
              </w:rPr>
            </w:pPr>
            <w:r w:rsidRPr="008F16FC">
              <w:rPr>
                <w:color w:val="000000"/>
                <w:sz w:val="18"/>
                <w:szCs w:val="18"/>
                <w:lang w:val="es-AR"/>
              </w:rPr>
              <w:t xml:space="preserve">              5.035   </w:t>
            </w:r>
          </w:p>
        </w:tc>
      </w:tr>
      <w:tr w:rsidR="008F16FC" w:rsidRPr="008F16FC" w14:paraId="51C68409" w14:textId="77777777" w:rsidTr="008F16FC">
        <w:trPr>
          <w:trHeight w:val="255"/>
        </w:trPr>
        <w:tc>
          <w:tcPr>
            <w:tcW w:w="3540" w:type="dxa"/>
            <w:tcBorders>
              <w:top w:val="nil"/>
              <w:left w:val="nil"/>
              <w:bottom w:val="nil"/>
              <w:right w:val="nil"/>
            </w:tcBorders>
            <w:shd w:val="clear" w:color="auto" w:fill="auto"/>
            <w:noWrap/>
            <w:vAlign w:val="bottom"/>
            <w:hideMark/>
          </w:tcPr>
          <w:p w14:paraId="40AC75F5" w14:textId="77777777" w:rsidR="008F16FC" w:rsidRPr="008F16FC" w:rsidRDefault="008F16FC" w:rsidP="008F16FC">
            <w:pPr>
              <w:rPr>
                <w:color w:val="000000"/>
                <w:sz w:val="18"/>
                <w:szCs w:val="18"/>
                <w:lang w:val="es-ES"/>
              </w:rPr>
            </w:pPr>
            <w:r w:rsidRPr="008F16FC">
              <w:rPr>
                <w:color w:val="000000"/>
                <w:sz w:val="18"/>
                <w:szCs w:val="18"/>
                <w:lang w:val="es-ES"/>
              </w:rPr>
              <w:t>Equipos de computación y comunicación</w:t>
            </w:r>
          </w:p>
        </w:tc>
        <w:tc>
          <w:tcPr>
            <w:tcW w:w="1340" w:type="dxa"/>
            <w:tcBorders>
              <w:top w:val="nil"/>
              <w:left w:val="nil"/>
              <w:bottom w:val="nil"/>
              <w:right w:val="nil"/>
            </w:tcBorders>
            <w:shd w:val="clear" w:color="auto" w:fill="auto"/>
            <w:noWrap/>
            <w:vAlign w:val="bottom"/>
          </w:tcPr>
          <w:p w14:paraId="3335FFA3" w14:textId="77777777" w:rsidR="008F16FC" w:rsidRPr="008F16FC" w:rsidRDefault="008F16FC" w:rsidP="008F16FC">
            <w:pPr>
              <w:rPr>
                <w:color w:val="000000"/>
                <w:sz w:val="18"/>
                <w:szCs w:val="18"/>
                <w:lang w:val="es-MX"/>
              </w:rPr>
            </w:pPr>
            <w:r w:rsidRPr="008F16FC">
              <w:rPr>
                <w:color w:val="000000"/>
                <w:sz w:val="18"/>
                <w:szCs w:val="18"/>
                <w:lang w:val="es-MX"/>
              </w:rPr>
              <w:t xml:space="preserve">            19.357</w:t>
            </w:r>
          </w:p>
        </w:tc>
        <w:tc>
          <w:tcPr>
            <w:tcW w:w="1340" w:type="dxa"/>
            <w:tcBorders>
              <w:top w:val="nil"/>
              <w:left w:val="nil"/>
              <w:bottom w:val="nil"/>
              <w:right w:val="nil"/>
            </w:tcBorders>
            <w:vAlign w:val="bottom"/>
          </w:tcPr>
          <w:p w14:paraId="399CDC91" w14:textId="77777777" w:rsidR="008F16FC" w:rsidRPr="008F16FC" w:rsidRDefault="008F16FC" w:rsidP="008F16FC">
            <w:pPr>
              <w:rPr>
                <w:color w:val="000000"/>
                <w:sz w:val="18"/>
                <w:szCs w:val="18"/>
                <w:lang w:val="es-MX"/>
              </w:rPr>
            </w:pPr>
            <w:r w:rsidRPr="008F16FC">
              <w:rPr>
                <w:color w:val="000000"/>
                <w:sz w:val="18"/>
                <w:szCs w:val="18"/>
                <w:lang w:val="es-ES"/>
              </w:rPr>
              <w:t xml:space="preserve">            </w:t>
            </w:r>
            <w:r w:rsidRPr="008F16FC">
              <w:rPr>
                <w:color w:val="000000"/>
                <w:sz w:val="18"/>
                <w:szCs w:val="18"/>
                <w:lang w:val="es-AR"/>
              </w:rPr>
              <w:t xml:space="preserve">19.359   </w:t>
            </w:r>
          </w:p>
        </w:tc>
      </w:tr>
      <w:tr w:rsidR="008F16FC" w:rsidRPr="008F16FC" w14:paraId="2B1FE0CF" w14:textId="77777777" w:rsidTr="008F16FC">
        <w:trPr>
          <w:trHeight w:val="255"/>
        </w:trPr>
        <w:tc>
          <w:tcPr>
            <w:tcW w:w="3540" w:type="dxa"/>
            <w:tcBorders>
              <w:top w:val="nil"/>
              <w:left w:val="nil"/>
              <w:bottom w:val="nil"/>
              <w:right w:val="nil"/>
            </w:tcBorders>
            <w:shd w:val="clear" w:color="auto" w:fill="auto"/>
            <w:noWrap/>
            <w:vAlign w:val="bottom"/>
            <w:hideMark/>
          </w:tcPr>
          <w:p w14:paraId="47C4338C" w14:textId="77777777" w:rsidR="008F16FC" w:rsidRPr="008F16FC" w:rsidRDefault="008F16FC" w:rsidP="008F16FC">
            <w:pPr>
              <w:rPr>
                <w:color w:val="000000"/>
                <w:sz w:val="18"/>
                <w:szCs w:val="18"/>
                <w:lang w:val="es-AR"/>
              </w:rPr>
            </w:pPr>
            <w:r w:rsidRPr="008F16FC">
              <w:rPr>
                <w:color w:val="000000"/>
                <w:sz w:val="18"/>
                <w:szCs w:val="18"/>
                <w:lang w:val="es-AR"/>
              </w:rPr>
              <w:t>Instalaciones</w:t>
            </w:r>
          </w:p>
        </w:tc>
        <w:tc>
          <w:tcPr>
            <w:tcW w:w="1340" w:type="dxa"/>
            <w:tcBorders>
              <w:top w:val="nil"/>
              <w:left w:val="nil"/>
              <w:bottom w:val="nil"/>
              <w:right w:val="nil"/>
            </w:tcBorders>
            <w:shd w:val="clear" w:color="auto" w:fill="auto"/>
            <w:noWrap/>
            <w:vAlign w:val="bottom"/>
          </w:tcPr>
          <w:p w14:paraId="4CFA5960" w14:textId="77777777" w:rsidR="008F16FC" w:rsidRPr="008F16FC" w:rsidRDefault="008F16FC" w:rsidP="008F16FC">
            <w:pPr>
              <w:rPr>
                <w:color w:val="000000"/>
                <w:sz w:val="18"/>
                <w:szCs w:val="18"/>
                <w:lang w:val="es-AR"/>
              </w:rPr>
            </w:pPr>
            <w:r w:rsidRPr="008F16FC">
              <w:rPr>
                <w:color w:val="000000"/>
                <w:sz w:val="18"/>
                <w:szCs w:val="18"/>
                <w:lang w:val="es-AR"/>
              </w:rPr>
              <w:t xml:space="preserve">          148.249</w:t>
            </w:r>
          </w:p>
        </w:tc>
        <w:tc>
          <w:tcPr>
            <w:tcW w:w="1340" w:type="dxa"/>
            <w:tcBorders>
              <w:top w:val="nil"/>
              <w:left w:val="nil"/>
              <w:bottom w:val="nil"/>
              <w:right w:val="nil"/>
            </w:tcBorders>
            <w:vAlign w:val="bottom"/>
          </w:tcPr>
          <w:p w14:paraId="3B4397B5" w14:textId="77777777" w:rsidR="008F16FC" w:rsidRPr="008F16FC" w:rsidRDefault="008F16FC" w:rsidP="008F16FC">
            <w:pPr>
              <w:rPr>
                <w:color w:val="000000"/>
                <w:sz w:val="18"/>
                <w:szCs w:val="18"/>
              </w:rPr>
            </w:pPr>
            <w:r w:rsidRPr="008F16FC">
              <w:rPr>
                <w:color w:val="000000"/>
                <w:sz w:val="18"/>
                <w:szCs w:val="18"/>
                <w:lang w:val="es-AR"/>
              </w:rPr>
              <w:t xml:space="preserve">          157.202</w:t>
            </w:r>
            <w:r w:rsidRPr="008F16FC">
              <w:rPr>
                <w:color w:val="000000"/>
                <w:sz w:val="18"/>
                <w:szCs w:val="18"/>
              </w:rPr>
              <w:t xml:space="preserve">   </w:t>
            </w:r>
          </w:p>
        </w:tc>
      </w:tr>
      <w:tr w:rsidR="008F16FC" w:rsidRPr="008F16FC" w14:paraId="7B43338C" w14:textId="77777777" w:rsidTr="008F16FC">
        <w:trPr>
          <w:trHeight w:val="255"/>
        </w:trPr>
        <w:tc>
          <w:tcPr>
            <w:tcW w:w="3540" w:type="dxa"/>
            <w:tcBorders>
              <w:top w:val="nil"/>
              <w:left w:val="nil"/>
              <w:bottom w:val="nil"/>
              <w:right w:val="nil"/>
            </w:tcBorders>
            <w:shd w:val="clear" w:color="auto" w:fill="auto"/>
            <w:noWrap/>
            <w:vAlign w:val="bottom"/>
            <w:hideMark/>
          </w:tcPr>
          <w:p w14:paraId="010027D1" w14:textId="77777777" w:rsidR="008F16FC" w:rsidRPr="008F16FC" w:rsidRDefault="008F16FC" w:rsidP="008F16FC">
            <w:pPr>
              <w:rPr>
                <w:color w:val="000000"/>
                <w:sz w:val="18"/>
                <w:szCs w:val="18"/>
              </w:rPr>
            </w:pPr>
            <w:r w:rsidRPr="008F16FC">
              <w:rPr>
                <w:color w:val="000000"/>
                <w:sz w:val="18"/>
                <w:szCs w:val="18"/>
              </w:rPr>
              <w:t>Laboratorios</w:t>
            </w:r>
          </w:p>
        </w:tc>
        <w:tc>
          <w:tcPr>
            <w:tcW w:w="1340" w:type="dxa"/>
            <w:tcBorders>
              <w:top w:val="nil"/>
              <w:left w:val="nil"/>
              <w:bottom w:val="nil"/>
              <w:right w:val="nil"/>
            </w:tcBorders>
            <w:shd w:val="clear" w:color="auto" w:fill="auto"/>
            <w:noWrap/>
            <w:vAlign w:val="bottom"/>
          </w:tcPr>
          <w:p w14:paraId="7E041C64" w14:textId="77777777" w:rsidR="008F16FC" w:rsidRPr="008F16FC" w:rsidRDefault="008F16FC" w:rsidP="008F16FC">
            <w:pPr>
              <w:rPr>
                <w:color w:val="000000"/>
                <w:sz w:val="18"/>
                <w:szCs w:val="18"/>
              </w:rPr>
            </w:pPr>
            <w:r w:rsidRPr="008F16FC">
              <w:rPr>
                <w:color w:val="000000"/>
                <w:sz w:val="18"/>
                <w:szCs w:val="18"/>
              </w:rPr>
              <w:t xml:space="preserve">                     -</w:t>
            </w:r>
          </w:p>
        </w:tc>
        <w:tc>
          <w:tcPr>
            <w:tcW w:w="1340" w:type="dxa"/>
            <w:tcBorders>
              <w:top w:val="nil"/>
              <w:left w:val="nil"/>
              <w:bottom w:val="nil"/>
              <w:right w:val="nil"/>
            </w:tcBorders>
            <w:vAlign w:val="bottom"/>
          </w:tcPr>
          <w:p w14:paraId="7EC2339E" w14:textId="77777777" w:rsidR="008F16FC" w:rsidRPr="008F16FC" w:rsidRDefault="008F16FC" w:rsidP="008F16FC">
            <w:pPr>
              <w:rPr>
                <w:color w:val="000000"/>
                <w:sz w:val="18"/>
                <w:szCs w:val="18"/>
                <w:lang w:val="es-ES"/>
              </w:rPr>
            </w:pPr>
            <w:r w:rsidRPr="008F16FC">
              <w:rPr>
                <w:color w:val="000000"/>
                <w:sz w:val="18"/>
                <w:szCs w:val="18"/>
              </w:rPr>
              <w:t xml:space="preserve">                     -     </w:t>
            </w:r>
          </w:p>
        </w:tc>
      </w:tr>
      <w:tr w:rsidR="008F16FC" w:rsidRPr="008F16FC" w14:paraId="3163295A" w14:textId="77777777" w:rsidTr="008F16FC">
        <w:trPr>
          <w:trHeight w:val="255"/>
        </w:trPr>
        <w:tc>
          <w:tcPr>
            <w:tcW w:w="3540" w:type="dxa"/>
            <w:tcBorders>
              <w:top w:val="nil"/>
              <w:left w:val="nil"/>
              <w:bottom w:val="nil"/>
              <w:right w:val="nil"/>
            </w:tcBorders>
            <w:shd w:val="clear" w:color="auto" w:fill="auto"/>
            <w:noWrap/>
            <w:vAlign w:val="bottom"/>
            <w:hideMark/>
          </w:tcPr>
          <w:p w14:paraId="5C1D8B80" w14:textId="77777777" w:rsidR="008F16FC" w:rsidRPr="008F16FC" w:rsidRDefault="008F16FC" w:rsidP="008F16FC">
            <w:pPr>
              <w:rPr>
                <w:color w:val="000000"/>
                <w:sz w:val="18"/>
                <w:szCs w:val="18"/>
                <w:lang w:val="es-ES"/>
              </w:rPr>
            </w:pPr>
            <w:r w:rsidRPr="008F16FC">
              <w:rPr>
                <w:color w:val="000000"/>
                <w:sz w:val="18"/>
                <w:szCs w:val="18"/>
                <w:lang w:val="es-ES"/>
              </w:rPr>
              <w:t>Construcción en curso</w:t>
            </w:r>
          </w:p>
        </w:tc>
        <w:tc>
          <w:tcPr>
            <w:tcW w:w="1340" w:type="dxa"/>
            <w:tcBorders>
              <w:top w:val="nil"/>
              <w:left w:val="nil"/>
              <w:bottom w:val="nil"/>
              <w:right w:val="nil"/>
            </w:tcBorders>
            <w:shd w:val="clear" w:color="auto" w:fill="auto"/>
            <w:noWrap/>
            <w:vAlign w:val="bottom"/>
          </w:tcPr>
          <w:p w14:paraId="747DA143" w14:textId="77777777" w:rsidR="008F16FC" w:rsidRPr="008F16FC" w:rsidRDefault="008F16FC" w:rsidP="008F16FC">
            <w:pPr>
              <w:rPr>
                <w:color w:val="000000"/>
                <w:sz w:val="18"/>
                <w:szCs w:val="18"/>
                <w:lang w:val="es-ES"/>
              </w:rPr>
            </w:pPr>
            <w:r w:rsidRPr="008F16FC">
              <w:rPr>
                <w:color w:val="000000"/>
                <w:sz w:val="18"/>
                <w:szCs w:val="18"/>
                <w:lang w:val="es-ES"/>
              </w:rPr>
              <w:t xml:space="preserve">           52.972</w:t>
            </w:r>
          </w:p>
        </w:tc>
        <w:tc>
          <w:tcPr>
            <w:tcW w:w="1340" w:type="dxa"/>
            <w:tcBorders>
              <w:top w:val="nil"/>
              <w:left w:val="nil"/>
              <w:bottom w:val="nil"/>
              <w:right w:val="nil"/>
            </w:tcBorders>
            <w:vAlign w:val="bottom"/>
          </w:tcPr>
          <w:p w14:paraId="12A07989" w14:textId="77777777" w:rsidR="008F16FC" w:rsidRPr="008F16FC" w:rsidRDefault="008F16FC" w:rsidP="008F16FC">
            <w:pPr>
              <w:rPr>
                <w:color w:val="000000"/>
                <w:sz w:val="18"/>
                <w:szCs w:val="18"/>
                <w:lang w:val="es-ES"/>
              </w:rPr>
            </w:pPr>
            <w:r w:rsidRPr="008F16FC">
              <w:rPr>
                <w:color w:val="000000"/>
                <w:sz w:val="18"/>
                <w:szCs w:val="18"/>
                <w:lang w:val="es-ES"/>
              </w:rPr>
              <w:t xml:space="preserve">            52.481   </w:t>
            </w:r>
          </w:p>
        </w:tc>
      </w:tr>
      <w:tr w:rsidR="008F16FC" w:rsidRPr="008F16FC" w14:paraId="084AA530" w14:textId="77777777" w:rsidTr="008F16FC">
        <w:trPr>
          <w:trHeight w:val="255"/>
        </w:trPr>
        <w:tc>
          <w:tcPr>
            <w:tcW w:w="3540" w:type="dxa"/>
            <w:tcBorders>
              <w:top w:val="nil"/>
              <w:left w:val="nil"/>
              <w:bottom w:val="nil"/>
              <w:right w:val="nil"/>
            </w:tcBorders>
            <w:shd w:val="clear" w:color="auto" w:fill="auto"/>
            <w:noWrap/>
            <w:vAlign w:val="bottom"/>
            <w:hideMark/>
          </w:tcPr>
          <w:p w14:paraId="44363E75" w14:textId="77777777" w:rsidR="008F16FC" w:rsidRPr="008F16FC" w:rsidRDefault="008F16FC" w:rsidP="008F16FC">
            <w:pPr>
              <w:rPr>
                <w:color w:val="000000"/>
                <w:sz w:val="18"/>
                <w:szCs w:val="18"/>
                <w:lang w:val="es-ES"/>
              </w:rPr>
            </w:pPr>
            <w:r w:rsidRPr="008F16FC">
              <w:rPr>
                <w:color w:val="000000"/>
                <w:sz w:val="18"/>
                <w:szCs w:val="18"/>
                <w:lang w:val="es-ES"/>
              </w:rPr>
              <w:t>Mejoras inmuebles de terceros</w:t>
            </w:r>
          </w:p>
        </w:tc>
        <w:tc>
          <w:tcPr>
            <w:tcW w:w="1340" w:type="dxa"/>
            <w:tcBorders>
              <w:top w:val="nil"/>
              <w:left w:val="nil"/>
              <w:bottom w:val="nil"/>
              <w:right w:val="nil"/>
            </w:tcBorders>
            <w:shd w:val="clear" w:color="auto" w:fill="auto"/>
            <w:noWrap/>
            <w:vAlign w:val="bottom"/>
          </w:tcPr>
          <w:p w14:paraId="7006E365" w14:textId="77777777" w:rsidR="008F16FC" w:rsidRPr="008F16FC" w:rsidRDefault="008F16FC" w:rsidP="008F16FC">
            <w:pPr>
              <w:rPr>
                <w:color w:val="000000"/>
                <w:sz w:val="18"/>
                <w:szCs w:val="18"/>
                <w:lang w:val="es-ES"/>
              </w:rPr>
            </w:pPr>
            <w:r w:rsidRPr="008F16FC">
              <w:rPr>
                <w:color w:val="000000"/>
                <w:sz w:val="18"/>
                <w:szCs w:val="18"/>
                <w:lang w:val="es-ES"/>
              </w:rPr>
              <w:t xml:space="preserve">         124.364</w:t>
            </w:r>
          </w:p>
        </w:tc>
        <w:tc>
          <w:tcPr>
            <w:tcW w:w="1340" w:type="dxa"/>
            <w:tcBorders>
              <w:top w:val="nil"/>
              <w:left w:val="nil"/>
              <w:bottom w:val="nil"/>
              <w:right w:val="nil"/>
            </w:tcBorders>
            <w:vAlign w:val="bottom"/>
          </w:tcPr>
          <w:p w14:paraId="534E922D" w14:textId="77777777" w:rsidR="008F16FC" w:rsidRPr="008F16FC" w:rsidRDefault="008F16FC" w:rsidP="008F16FC">
            <w:pPr>
              <w:rPr>
                <w:color w:val="000000"/>
                <w:sz w:val="18"/>
                <w:szCs w:val="18"/>
                <w:lang w:val="es-ES"/>
              </w:rPr>
            </w:pPr>
            <w:r w:rsidRPr="008F16FC">
              <w:rPr>
                <w:color w:val="000000"/>
                <w:sz w:val="18"/>
                <w:szCs w:val="18"/>
                <w:lang w:val="es-ES"/>
              </w:rPr>
              <w:t xml:space="preserve">          126.877   </w:t>
            </w:r>
          </w:p>
        </w:tc>
      </w:tr>
      <w:tr w:rsidR="008F16FC" w:rsidRPr="008F16FC" w14:paraId="53A5AEA5" w14:textId="77777777" w:rsidTr="008F16FC">
        <w:trPr>
          <w:trHeight w:val="255"/>
        </w:trPr>
        <w:tc>
          <w:tcPr>
            <w:tcW w:w="3540" w:type="dxa"/>
            <w:tcBorders>
              <w:top w:val="nil"/>
              <w:left w:val="nil"/>
              <w:bottom w:val="nil"/>
              <w:right w:val="nil"/>
            </w:tcBorders>
            <w:shd w:val="clear" w:color="auto" w:fill="auto"/>
            <w:noWrap/>
            <w:vAlign w:val="bottom"/>
            <w:hideMark/>
          </w:tcPr>
          <w:p w14:paraId="32AFD7F0" w14:textId="77777777" w:rsidR="008F16FC" w:rsidRPr="008F16FC" w:rsidRDefault="008F16FC" w:rsidP="008F16FC">
            <w:pPr>
              <w:rPr>
                <w:color w:val="000000"/>
                <w:sz w:val="18"/>
                <w:szCs w:val="18"/>
                <w:lang w:val="es-AR"/>
              </w:rPr>
            </w:pPr>
            <w:r w:rsidRPr="008F16FC">
              <w:rPr>
                <w:color w:val="000000"/>
                <w:sz w:val="18"/>
                <w:szCs w:val="18"/>
                <w:lang w:val="es-AR"/>
              </w:rPr>
              <w:t>Otros bienes de uso</w:t>
            </w:r>
          </w:p>
        </w:tc>
        <w:tc>
          <w:tcPr>
            <w:tcW w:w="1340" w:type="dxa"/>
            <w:tcBorders>
              <w:top w:val="nil"/>
              <w:left w:val="nil"/>
              <w:bottom w:val="nil"/>
              <w:right w:val="nil"/>
            </w:tcBorders>
            <w:shd w:val="clear" w:color="auto" w:fill="auto"/>
            <w:noWrap/>
            <w:vAlign w:val="bottom"/>
          </w:tcPr>
          <w:p w14:paraId="1EFBE031" w14:textId="77777777" w:rsidR="008F16FC" w:rsidRPr="008F16FC" w:rsidRDefault="008F16FC" w:rsidP="008F16FC">
            <w:pPr>
              <w:rPr>
                <w:color w:val="000000"/>
                <w:sz w:val="18"/>
                <w:szCs w:val="18"/>
                <w:lang w:val="es-AR"/>
              </w:rPr>
            </w:pPr>
            <w:r w:rsidRPr="008F16FC">
              <w:rPr>
                <w:color w:val="000000"/>
                <w:sz w:val="18"/>
                <w:szCs w:val="18"/>
                <w:lang w:val="es-AR"/>
              </w:rPr>
              <w:t xml:space="preserve">               13.902</w:t>
            </w:r>
          </w:p>
        </w:tc>
        <w:tc>
          <w:tcPr>
            <w:tcW w:w="1340" w:type="dxa"/>
            <w:tcBorders>
              <w:top w:val="nil"/>
              <w:left w:val="nil"/>
              <w:bottom w:val="nil"/>
              <w:right w:val="nil"/>
            </w:tcBorders>
            <w:vAlign w:val="bottom"/>
          </w:tcPr>
          <w:p w14:paraId="3FD46EA6" w14:textId="77777777" w:rsidR="008F16FC" w:rsidRPr="008F16FC" w:rsidRDefault="008F16FC" w:rsidP="008F16FC">
            <w:pPr>
              <w:rPr>
                <w:color w:val="000000"/>
                <w:sz w:val="18"/>
                <w:szCs w:val="18"/>
                <w:lang w:val="es-AR"/>
              </w:rPr>
            </w:pPr>
            <w:r w:rsidRPr="008F16FC">
              <w:rPr>
                <w:color w:val="000000"/>
                <w:sz w:val="18"/>
                <w:szCs w:val="18"/>
                <w:lang w:val="es-AR"/>
              </w:rPr>
              <w:t xml:space="preserve">            11.618   </w:t>
            </w:r>
          </w:p>
        </w:tc>
      </w:tr>
      <w:tr w:rsidR="008F16FC" w:rsidRPr="008F16FC" w14:paraId="1F072C87" w14:textId="77777777" w:rsidTr="008F16FC">
        <w:trPr>
          <w:trHeight w:val="255"/>
        </w:trPr>
        <w:tc>
          <w:tcPr>
            <w:tcW w:w="3540" w:type="dxa"/>
            <w:tcBorders>
              <w:top w:val="nil"/>
              <w:left w:val="nil"/>
              <w:bottom w:val="nil"/>
              <w:right w:val="nil"/>
            </w:tcBorders>
            <w:shd w:val="clear" w:color="auto" w:fill="auto"/>
            <w:noWrap/>
            <w:vAlign w:val="bottom"/>
            <w:hideMark/>
          </w:tcPr>
          <w:p w14:paraId="1629CFB4" w14:textId="77777777" w:rsidR="008F16FC" w:rsidRPr="008F16FC" w:rsidRDefault="008F16FC" w:rsidP="008F16FC">
            <w:pPr>
              <w:rPr>
                <w:b/>
                <w:bCs/>
                <w:color w:val="000000"/>
                <w:sz w:val="18"/>
                <w:szCs w:val="18"/>
                <w:lang w:val="es-ES"/>
              </w:rPr>
            </w:pPr>
            <w:r w:rsidRPr="008F16FC">
              <w:rPr>
                <w:b/>
                <w:bCs/>
                <w:color w:val="000000"/>
                <w:sz w:val="18"/>
                <w:szCs w:val="18"/>
                <w:lang w:val="es-ES"/>
              </w:rPr>
              <w:t>Total Propiedades, planta y equipo</w:t>
            </w:r>
          </w:p>
        </w:tc>
        <w:tc>
          <w:tcPr>
            <w:tcW w:w="1340" w:type="dxa"/>
            <w:tcBorders>
              <w:top w:val="nil"/>
              <w:left w:val="nil"/>
              <w:bottom w:val="nil"/>
              <w:right w:val="nil"/>
            </w:tcBorders>
            <w:shd w:val="clear" w:color="auto" w:fill="auto"/>
            <w:noWrap/>
            <w:vAlign w:val="bottom"/>
          </w:tcPr>
          <w:p w14:paraId="5D11E51C" w14:textId="77777777" w:rsidR="008F16FC" w:rsidRPr="008F16FC" w:rsidRDefault="008F16FC" w:rsidP="008F16FC">
            <w:pPr>
              <w:rPr>
                <w:b/>
                <w:bCs/>
                <w:color w:val="000000"/>
                <w:sz w:val="18"/>
                <w:szCs w:val="18"/>
                <w:lang w:val="es-MX"/>
              </w:rPr>
            </w:pPr>
            <w:r w:rsidRPr="008F16FC">
              <w:rPr>
                <w:b/>
                <w:bCs/>
                <w:color w:val="000000"/>
                <w:sz w:val="18"/>
                <w:szCs w:val="18"/>
                <w:lang w:val="es-MX"/>
              </w:rPr>
              <w:t xml:space="preserve">          2.883.730</w:t>
            </w:r>
          </w:p>
        </w:tc>
        <w:tc>
          <w:tcPr>
            <w:tcW w:w="1340" w:type="dxa"/>
            <w:tcBorders>
              <w:top w:val="nil"/>
              <w:left w:val="nil"/>
              <w:bottom w:val="nil"/>
              <w:right w:val="nil"/>
            </w:tcBorders>
            <w:vAlign w:val="bottom"/>
          </w:tcPr>
          <w:p w14:paraId="128F5045" w14:textId="77777777" w:rsidR="008F16FC" w:rsidRPr="008F16FC" w:rsidRDefault="008F16FC" w:rsidP="008F16FC">
            <w:pPr>
              <w:rPr>
                <w:b/>
                <w:bCs/>
                <w:color w:val="000000"/>
                <w:sz w:val="18"/>
                <w:szCs w:val="18"/>
                <w:lang w:val="es-MX"/>
              </w:rPr>
            </w:pPr>
            <w:r w:rsidRPr="008F16FC">
              <w:rPr>
                <w:b/>
                <w:bCs/>
                <w:color w:val="000000"/>
                <w:sz w:val="18"/>
                <w:szCs w:val="18"/>
                <w:lang w:val="es-ES"/>
              </w:rPr>
              <w:t xml:space="preserve">       </w:t>
            </w:r>
            <w:r w:rsidRPr="008F16FC">
              <w:rPr>
                <w:b/>
                <w:bCs/>
                <w:color w:val="000000"/>
                <w:sz w:val="18"/>
                <w:szCs w:val="18"/>
                <w:lang w:val="es-AR"/>
              </w:rPr>
              <w:t xml:space="preserve">2.487.669   </w:t>
            </w:r>
          </w:p>
        </w:tc>
      </w:tr>
      <w:tr w:rsidR="008F16FC" w:rsidRPr="008F16FC" w14:paraId="267BAF9C" w14:textId="77777777" w:rsidTr="008F16FC">
        <w:trPr>
          <w:trHeight w:val="255"/>
        </w:trPr>
        <w:tc>
          <w:tcPr>
            <w:tcW w:w="3540" w:type="dxa"/>
            <w:tcBorders>
              <w:top w:val="nil"/>
              <w:left w:val="nil"/>
              <w:bottom w:val="nil"/>
              <w:right w:val="nil"/>
            </w:tcBorders>
            <w:shd w:val="clear" w:color="auto" w:fill="auto"/>
            <w:noWrap/>
            <w:vAlign w:val="bottom"/>
            <w:hideMark/>
          </w:tcPr>
          <w:p w14:paraId="7143F921" w14:textId="77777777" w:rsidR="008F16FC" w:rsidRPr="008F16FC" w:rsidRDefault="008F16FC" w:rsidP="008F16FC">
            <w:pPr>
              <w:rPr>
                <w:color w:val="000000"/>
                <w:sz w:val="18"/>
                <w:szCs w:val="18"/>
                <w:lang w:val="es-MX"/>
              </w:rPr>
            </w:pPr>
          </w:p>
        </w:tc>
        <w:tc>
          <w:tcPr>
            <w:tcW w:w="1340" w:type="dxa"/>
            <w:tcBorders>
              <w:top w:val="nil"/>
              <w:left w:val="nil"/>
              <w:bottom w:val="nil"/>
              <w:right w:val="nil"/>
            </w:tcBorders>
            <w:shd w:val="clear" w:color="auto" w:fill="auto"/>
            <w:noWrap/>
            <w:vAlign w:val="bottom"/>
          </w:tcPr>
          <w:p w14:paraId="57B948C5" w14:textId="77777777" w:rsidR="008F16FC" w:rsidRPr="008F16FC" w:rsidRDefault="008F16FC" w:rsidP="008F16FC">
            <w:pPr>
              <w:rPr>
                <w:color w:val="000000"/>
                <w:sz w:val="18"/>
                <w:szCs w:val="18"/>
                <w:lang w:val="es-MX"/>
              </w:rPr>
            </w:pPr>
          </w:p>
        </w:tc>
        <w:tc>
          <w:tcPr>
            <w:tcW w:w="1340" w:type="dxa"/>
            <w:tcBorders>
              <w:top w:val="nil"/>
              <w:left w:val="nil"/>
              <w:bottom w:val="nil"/>
              <w:right w:val="nil"/>
            </w:tcBorders>
            <w:vAlign w:val="bottom"/>
          </w:tcPr>
          <w:p w14:paraId="7A29890D" w14:textId="77777777" w:rsidR="008F16FC" w:rsidRPr="008F16FC" w:rsidRDefault="008F16FC" w:rsidP="008F16FC">
            <w:pPr>
              <w:rPr>
                <w:color w:val="000000"/>
                <w:sz w:val="18"/>
                <w:szCs w:val="18"/>
                <w:lang w:val="es-MX"/>
              </w:rPr>
            </w:pPr>
          </w:p>
        </w:tc>
      </w:tr>
      <w:tr w:rsidR="008F16FC" w:rsidRPr="008F16FC" w14:paraId="1EBE300C" w14:textId="77777777" w:rsidTr="008F16FC">
        <w:trPr>
          <w:trHeight w:val="255"/>
        </w:trPr>
        <w:tc>
          <w:tcPr>
            <w:tcW w:w="3540" w:type="dxa"/>
            <w:tcBorders>
              <w:top w:val="nil"/>
              <w:left w:val="nil"/>
              <w:bottom w:val="nil"/>
              <w:right w:val="nil"/>
            </w:tcBorders>
            <w:shd w:val="clear" w:color="auto" w:fill="auto"/>
            <w:noWrap/>
            <w:vAlign w:val="bottom"/>
            <w:hideMark/>
          </w:tcPr>
          <w:p w14:paraId="720CBF1F" w14:textId="77777777" w:rsidR="008F16FC" w:rsidRPr="008F16FC" w:rsidRDefault="008F16FC" w:rsidP="008F16FC">
            <w:pPr>
              <w:rPr>
                <w:b/>
                <w:bCs/>
                <w:color w:val="000000"/>
                <w:sz w:val="18"/>
                <w:szCs w:val="18"/>
                <w:lang w:val="es-AR"/>
              </w:rPr>
            </w:pPr>
            <w:r w:rsidRPr="008F16FC">
              <w:rPr>
                <w:b/>
                <w:bCs/>
                <w:color w:val="000000"/>
                <w:sz w:val="18"/>
                <w:szCs w:val="18"/>
                <w:lang w:val="es-AR"/>
              </w:rPr>
              <w:t>Activos intangibles</w:t>
            </w:r>
          </w:p>
        </w:tc>
        <w:tc>
          <w:tcPr>
            <w:tcW w:w="1340" w:type="dxa"/>
            <w:tcBorders>
              <w:top w:val="nil"/>
              <w:left w:val="nil"/>
              <w:bottom w:val="nil"/>
              <w:right w:val="nil"/>
            </w:tcBorders>
            <w:shd w:val="clear" w:color="auto" w:fill="auto"/>
            <w:noWrap/>
            <w:vAlign w:val="bottom"/>
          </w:tcPr>
          <w:p w14:paraId="6E0D0517" w14:textId="77777777" w:rsidR="008F16FC" w:rsidRPr="008F16FC" w:rsidRDefault="008F16FC" w:rsidP="008F16FC">
            <w:pPr>
              <w:rPr>
                <w:color w:val="000000"/>
                <w:sz w:val="18"/>
                <w:szCs w:val="18"/>
                <w:lang w:val="es-AR"/>
              </w:rPr>
            </w:pPr>
          </w:p>
        </w:tc>
        <w:tc>
          <w:tcPr>
            <w:tcW w:w="1340" w:type="dxa"/>
            <w:tcBorders>
              <w:top w:val="nil"/>
              <w:left w:val="nil"/>
              <w:bottom w:val="nil"/>
              <w:right w:val="nil"/>
            </w:tcBorders>
            <w:vAlign w:val="bottom"/>
          </w:tcPr>
          <w:p w14:paraId="048934E0" w14:textId="77777777" w:rsidR="008F16FC" w:rsidRPr="008F16FC" w:rsidRDefault="008F16FC" w:rsidP="008F16FC">
            <w:pPr>
              <w:rPr>
                <w:color w:val="000000"/>
                <w:sz w:val="18"/>
                <w:szCs w:val="18"/>
                <w:lang w:val="es-AR"/>
              </w:rPr>
            </w:pPr>
          </w:p>
        </w:tc>
      </w:tr>
      <w:tr w:rsidR="008F16FC" w:rsidRPr="008F16FC" w14:paraId="30942DA3" w14:textId="77777777" w:rsidTr="008F16FC">
        <w:trPr>
          <w:trHeight w:val="255"/>
        </w:trPr>
        <w:tc>
          <w:tcPr>
            <w:tcW w:w="3540" w:type="dxa"/>
            <w:tcBorders>
              <w:top w:val="nil"/>
              <w:left w:val="nil"/>
              <w:bottom w:val="nil"/>
              <w:right w:val="nil"/>
            </w:tcBorders>
            <w:shd w:val="clear" w:color="auto" w:fill="auto"/>
            <w:noWrap/>
            <w:vAlign w:val="bottom"/>
            <w:hideMark/>
          </w:tcPr>
          <w:p w14:paraId="0145F875" w14:textId="77777777" w:rsidR="008F16FC" w:rsidRPr="008F16FC" w:rsidRDefault="008F16FC" w:rsidP="008F16FC">
            <w:pPr>
              <w:rPr>
                <w:color w:val="000000"/>
                <w:sz w:val="18"/>
                <w:szCs w:val="18"/>
                <w:lang w:val="es-AR"/>
              </w:rPr>
            </w:pPr>
            <w:r w:rsidRPr="008F16FC">
              <w:rPr>
                <w:color w:val="000000"/>
                <w:sz w:val="18"/>
                <w:szCs w:val="18"/>
                <w:lang w:val="es-AR"/>
              </w:rPr>
              <w:t>Desarrollos área espacial</w:t>
            </w:r>
          </w:p>
        </w:tc>
        <w:tc>
          <w:tcPr>
            <w:tcW w:w="1340" w:type="dxa"/>
            <w:tcBorders>
              <w:top w:val="nil"/>
              <w:left w:val="nil"/>
              <w:bottom w:val="nil"/>
              <w:right w:val="nil"/>
            </w:tcBorders>
            <w:shd w:val="clear" w:color="auto" w:fill="auto"/>
            <w:noWrap/>
            <w:vAlign w:val="bottom"/>
          </w:tcPr>
          <w:p w14:paraId="7459478A" w14:textId="77777777" w:rsidR="008F16FC" w:rsidRPr="008F16FC" w:rsidRDefault="008F16FC" w:rsidP="008F16FC">
            <w:pPr>
              <w:rPr>
                <w:color w:val="000000"/>
                <w:sz w:val="18"/>
                <w:szCs w:val="18"/>
                <w:lang w:val="es-AR"/>
              </w:rPr>
            </w:pPr>
            <w:r w:rsidRPr="008F16FC">
              <w:rPr>
                <w:color w:val="000000"/>
                <w:sz w:val="18"/>
                <w:szCs w:val="18"/>
                <w:lang w:val="es-AR"/>
              </w:rPr>
              <w:t xml:space="preserve">             301.875</w:t>
            </w:r>
          </w:p>
        </w:tc>
        <w:tc>
          <w:tcPr>
            <w:tcW w:w="1340" w:type="dxa"/>
            <w:tcBorders>
              <w:top w:val="nil"/>
              <w:left w:val="nil"/>
              <w:bottom w:val="nil"/>
              <w:right w:val="nil"/>
            </w:tcBorders>
            <w:vAlign w:val="bottom"/>
          </w:tcPr>
          <w:p w14:paraId="201A6B54" w14:textId="77777777" w:rsidR="008F16FC" w:rsidRPr="008F16FC" w:rsidRDefault="008F16FC" w:rsidP="008F16FC">
            <w:pPr>
              <w:rPr>
                <w:color w:val="000000"/>
                <w:sz w:val="18"/>
                <w:szCs w:val="18"/>
                <w:lang w:val="es-AR"/>
              </w:rPr>
            </w:pPr>
            <w:r w:rsidRPr="008F16FC">
              <w:rPr>
                <w:color w:val="000000"/>
                <w:sz w:val="18"/>
                <w:szCs w:val="18"/>
                <w:lang w:val="es-AR"/>
              </w:rPr>
              <w:t xml:space="preserve">          283.742   </w:t>
            </w:r>
          </w:p>
        </w:tc>
      </w:tr>
      <w:tr w:rsidR="008F16FC" w:rsidRPr="008F16FC" w14:paraId="6F7C20F1" w14:textId="77777777" w:rsidTr="008F16FC">
        <w:trPr>
          <w:trHeight w:val="255"/>
        </w:trPr>
        <w:tc>
          <w:tcPr>
            <w:tcW w:w="3540" w:type="dxa"/>
            <w:tcBorders>
              <w:top w:val="nil"/>
              <w:left w:val="nil"/>
              <w:bottom w:val="nil"/>
              <w:right w:val="nil"/>
            </w:tcBorders>
            <w:shd w:val="clear" w:color="auto" w:fill="auto"/>
            <w:noWrap/>
            <w:vAlign w:val="bottom"/>
            <w:hideMark/>
          </w:tcPr>
          <w:p w14:paraId="3FA7A1ED" w14:textId="77777777" w:rsidR="008F16FC" w:rsidRPr="008F16FC" w:rsidRDefault="008F16FC" w:rsidP="008F16FC">
            <w:pPr>
              <w:rPr>
                <w:color w:val="000000"/>
                <w:sz w:val="18"/>
                <w:szCs w:val="18"/>
                <w:lang w:val="es-AR"/>
              </w:rPr>
            </w:pPr>
            <w:r w:rsidRPr="008F16FC">
              <w:rPr>
                <w:color w:val="000000"/>
                <w:sz w:val="18"/>
                <w:szCs w:val="18"/>
                <w:lang w:val="es-AR"/>
              </w:rPr>
              <w:t>Desarrollos área nuclear</w:t>
            </w:r>
          </w:p>
        </w:tc>
        <w:tc>
          <w:tcPr>
            <w:tcW w:w="1340" w:type="dxa"/>
            <w:tcBorders>
              <w:top w:val="nil"/>
              <w:left w:val="nil"/>
              <w:bottom w:val="nil"/>
              <w:right w:val="nil"/>
            </w:tcBorders>
            <w:shd w:val="clear" w:color="auto" w:fill="auto"/>
            <w:noWrap/>
            <w:vAlign w:val="bottom"/>
          </w:tcPr>
          <w:p w14:paraId="1CFBE787" w14:textId="77777777" w:rsidR="008F16FC" w:rsidRPr="008F16FC" w:rsidRDefault="008F16FC" w:rsidP="008F16FC">
            <w:pPr>
              <w:rPr>
                <w:color w:val="000000"/>
                <w:sz w:val="18"/>
                <w:szCs w:val="18"/>
                <w:lang w:val="es-AR"/>
              </w:rPr>
            </w:pPr>
            <w:r w:rsidRPr="008F16FC">
              <w:rPr>
                <w:color w:val="000000"/>
                <w:sz w:val="18"/>
                <w:szCs w:val="18"/>
                <w:lang w:val="es-AR"/>
              </w:rPr>
              <w:t xml:space="preserve">               82.495</w:t>
            </w:r>
          </w:p>
        </w:tc>
        <w:tc>
          <w:tcPr>
            <w:tcW w:w="1340" w:type="dxa"/>
            <w:tcBorders>
              <w:top w:val="nil"/>
              <w:left w:val="nil"/>
              <w:bottom w:val="nil"/>
              <w:right w:val="nil"/>
            </w:tcBorders>
            <w:vAlign w:val="bottom"/>
          </w:tcPr>
          <w:p w14:paraId="06EDE523" w14:textId="77777777" w:rsidR="008F16FC" w:rsidRPr="008F16FC" w:rsidRDefault="008F16FC" w:rsidP="008F16FC">
            <w:pPr>
              <w:rPr>
                <w:color w:val="000000"/>
                <w:sz w:val="18"/>
                <w:szCs w:val="18"/>
                <w:lang w:val="es-AR"/>
              </w:rPr>
            </w:pPr>
            <w:r w:rsidRPr="008F16FC">
              <w:rPr>
                <w:color w:val="000000"/>
                <w:sz w:val="18"/>
                <w:szCs w:val="18"/>
                <w:lang w:val="es-AR"/>
              </w:rPr>
              <w:t xml:space="preserve">            81.525   </w:t>
            </w:r>
          </w:p>
        </w:tc>
      </w:tr>
      <w:tr w:rsidR="008F16FC" w:rsidRPr="008F16FC" w14:paraId="669C83A1" w14:textId="77777777" w:rsidTr="008F16FC">
        <w:trPr>
          <w:trHeight w:val="255"/>
        </w:trPr>
        <w:tc>
          <w:tcPr>
            <w:tcW w:w="3540" w:type="dxa"/>
            <w:tcBorders>
              <w:top w:val="nil"/>
              <w:left w:val="nil"/>
              <w:bottom w:val="nil"/>
              <w:right w:val="nil"/>
            </w:tcBorders>
            <w:shd w:val="clear" w:color="auto" w:fill="auto"/>
            <w:noWrap/>
            <w:vAlign w:val="bottom"/>
            <w:hideMark/>
          </w:tcPr>
          <w:p w14:paraId="0808A45B" w14:textId="77777777" w:rsidR="008F16FC" w:rsidRPr="008F16FC" w:rsidRDefault="008F16FC" w:rsidP="008F16FC">
            <w:pPr>
              <w:rPr>
                <w:color w:val="000000"/>
                <w:sz w:val="18"/>
                <w:szCs w:val="18"/>
                <w:lang w:val="es-AR"/>
              </w:rPr>
            </w:pPr>
            <w:r w:rsidRPr="008F16FC">
              <w:rPr>
                <w:color w:val="000000"/>
                <w:sz w:val="18"/>
                <w:szCs w:val="18"/>
                <w:lang w:val="es-AR"/>
              </w:rPr>
              <w:t>Desarrollos área SIT</w:t>
            </w:r>
          </w:p>
        </w:tc>
        <w:tc>
          <w:tcPr>
            <w:tcW w:w="1340" w:type="dxa"/>
            <w:tcBorders>
              <w:top w:val="nil"/>
              <w:left w:val="nil"/>
              <w:bottom w:val="nil"/>
              <w:right w:val="nil"/>
            </w:tcBorders>
            <w:shd w:val="clear" w:color="auto" w:fill="auto"/>
            <w:noWrap/>
            <w:vAlign w:val="bottom"/>
          </w:tcPr>
          <w:p w14:paraId="4E95F2A0" w14:textId="77777777" w:rsidR="008F16FC" w:rsidRPr="008F16FC" w:rsidRDefault="008F16FC" w:rsidP="008F16FC">
            <w:pPr>
              <w:rPr>
                <w:color w:val="000000"/>
                <w:sz w:val="18"/>
                <w:szCs w:val="18"/>
                <w:lang w:val="es-AR"/>
              </w:rPr>
            </w:pPr>
            <w:r w:rsidRPr="008F16FC">
              <w:rPr>
                <w:color w:val="000000"/>
                <w:sz w:val="18"/>
                <w:szCs w:val="18"/>
                <w:lang w:val="es-AR"/>
              </w:rPr>
              <w:t xml:space="preserve">                        -</w:t>
            </w:r>
          </w:p>
        </w:tc>
        <w:tc>
          <w:tcPr>
            <w:tcW w:w="1340" w:type="dxa"/>
            <w:tcBorders>
              <w:top w:val="nil"/>
              <w:left w:val="nil"/>
              <w:bottom w:val="nil"/>
              <w:right w:val="nil"/>
            </w:tcBorders>
            <w:vAlign w:val="bottom"/>
          </w:tcPr>
          <w:p w14:paraId="6989CD79" w14:textId="77777777" w:rsidR="008F16FC" w:rsidRPr="008F16FC" w:rsidRDefault="008F16FC" w:rsidP="008F16FC">
            <w:pPr>
              <w:rPr>
                <w:color w:val="000000"/>
                <w:sz w:val="18"/>
                <w:szCs w:val="18"/>
                <w:lang w:val="es-AR"/>
              </w:rPr>
            </w:pPr>
            <w:r w:rsidRPr="008F16FC">
              <w:rPr>
                <w:color w:val="000000"/>
                <w:sz w:val="18"/>
                <w:szCs w:val="18"/>
                <w:lang w:val="es-AR"/>
              </w:rPr>
              <w:t xml:space="preserve">                     -     </w:t>
            </w:r>
          </w:p>
        </w:tc>
      </w:tr>
      <w:tr w:rsidR="008F16FC" w:rsidRPr="008F16FC" w14:paraId="18F4504F" w14:textId="77777777" w:rsidTr="008F16FC">
        <w:trPr>
          <w:trHeight w:val="255"/>
        </w:trPr>
        <w:tc>
          <w:tcPr>
            <w:tcW w:w="3540" w:type="dxa"/>
            <w:tcBorders>
              <w:top w:val="nil"/>
              <w:left w:val="nil"/>
              <w:bottom w:val="nil"/>
              <w:right w:val="nil"/>
            </w:tcBorders>
            <w:shd w:val="clear" w:color="auto" w:fill="auto"/>
            <w:noWrap/>
            <w:vAlign w:val="bottom"/>
            <w:hideMark/>
          </w:tcPr>
          <w:p w14:paraId="1D72AE2D" w14:textId="77777777" w:rsidR="008F16FC" w:rsidRPr="008F16FC" w:rsidRDefault="008F16FC" w:rsidP="008F16FC">
            <w:pPr>
              <w:rPr>
                <w:color w:val="000000"/>
                <w:sz w:val="18"/>
                <w:szCs w:val="18"/>
                <w:lang w:val="es-AR"/>
              </w:rPr>
            </w:pPr>
            <w:r w:rsidRPr="008F16FC">
              <w:rPr>
                <w:color w:val="000000"/>
                <w:sz w:val="18"/>
                <w:szCs w:val="18"/>
                <w:lang w:val="es-AR"/>
              </w:rPr>
              <w:t>Desarrollos industriales</w:t>
            </w:r>
          </w:p>
        </w:tc>
        <w:tc>
          <w:tcPr>
            <w:tcW w:w="1340" w:type="dxa"/>
            <w:tcBorders>
              <w:top w:val="nil"/>
              <w:left w:val="nil"/>
              <w:bottom w:val="nil"/>
              <w:right w:val="nil"/>
            </w:tcBorders>
            <w:shd w:val="clear" w:color="auto" w:fill="auto"/>
            <w:noWrap/>
            <w:vAlign w:val="bottom"/>
          </w:tcPr>
          <w:p w14:paraId="5390C365" w14:textId="77777777" w:rsidR="008F16FC" w:rsidRPr="008F16FC" w:rsidRDefault="008F16FC" w:rsidP="008F16FC">
            <w:pPr>
              <w:rPr>
                <w:color w:val="000000"/>
                <w:sz w:val="18"/>
                <w:szCs w:val="18"/>
                <w:lang w:val="es-AR"/>
              </w:rPr>
            </w:pPr>
            <w:r w:rsidRPr="008F16FC">
              <w:rPr>
                <w:color w:val="000000"/>
                <w:sz w:val="18"/>
                <w:szCs w:val="18"/>
                <w:lang w:val="es-AR"/>
              </w:rPr>
              <w:t xml:space="preserve">               69.910</w:t>
            </w:r>
          </w:p>
        </w:tc>
        <w:tc>
          <w:tcPr>
            <w:tcW w:w="1340" w:type="dxa"/>
            <w:tcBorders>
              <w:top w:val="nil"/>
              <w:left w:val="nil"/>
              <w:bottom w:val="nil"/>
              <w:right w:val="nil"/>
            </w:tcBorders>
            <w:vAlign w:val="bottom"/>
          </w:tcPr>
          <w:p w14:paraId="73A4EBBB" w14:textId="77777777" w:rsidR="008F16FC" w:rsidRPr="008F16FC" w:rsidRDefault="008F16FC" w:rsidP="008F16FC">
            <w:pPr>
              <w:rPr>
                <w:color w:val="000000"/>
                <w:sz w:val="18"/>
                <w:szCs w:val="18"/>
                <w:lang w:val="es-AR"/>
              </w:rPr>
            </w:pPr>
            <w:r w:rsidRPr="008F16FC">
              <w:rPr>
                <w:color w:val="000000"/>
                <w:sz w:val="18"/>
                <w:szCs w:val="18"/>
                <w:lang w:val="es-AR"/>
              </w:rPr>
              <w:t xml:space="preserve">            71.398   </w:t>
            </w:r>
          </w:p>
        </w:tc>
      </w:tr>
      <w:tr w:rsidR="008F16FC" w:rsidRPr="008F16FC" w14:paraId="230E64E5" w14:textId="77777777" w:rsidTr="008F16FC">
        <w:trPr>
          <w:trHeight w:val="255"/>
        </w:trPr>
        <w:tc>
          <w:tcPr>
            <w:tcW w:w="3540" w:type="dxa"/>
            <w:tcBorders>
              <w:top w:val="nil"/>
              <w:left w:val="nil"/>
              <w:bottom w:val="nil"/>
              <w:right w:val="nil"/>
            </w:tcBorders>
            <w:shd w:val="clear" w:color="auto" w:fill="auto"/>
            <w:noWrap/>
            <w:vAlign w:val="bottom"/>
            <w:hideMark/>
          </w:tcPr>
          <w:p w14:paraId="6FB9A569" w14:textId="77777777" w:rsidR="008F16FC" w:rsidRPr="008F16FC" w:rsidRDefault="008F16FC" w:rsidP="008F16FC">
            <w:pPr>
              <w:rPr>
                <w:color w:val="000000"/>
                <w:sz w:val="18"/>
                <w:szCs w:val="18"/>
                <w:lang w:val="es-AR"/>
              </w:rPr>
            </w:pPr>
            <w:r w:rsidRPr="008F16FC">
              <w:rPr>
                <w:color w:val="000000"/>
                <w:sz w:val="18"/>
                <w:szCs w:val="18"/>
                <w:lang w:val="es-AR"/>
              </w:rPr>
              <w:t>Desarrollos sistemas de información</w:t>
            </w:r>
          </w:p>
        </w:tc>
        <w:tc>
          <w:tcPr>
            <w:tcW w:w="1340" w:type="dxa"/>
            <w:tcBorders>
              <w:top w:val="nil"/>
              <w:left w:val="nil"/>
              <w:bottom w:val="nil"/>
              <w:right w:val="nil"/>
            </w:tcBorders>
            <w:shd w:val="clear" w:color="auto" w:fill="auto"/>
            <w:noWrap/>
            <w:vAlign w:val="bottom"/>
          </w:tcPr>
          <w:p w14:paraId="400BAE9F" w14:textId="77777777" w:rsidR="008F16FC" w:rsidRPr="008F16FC" w:rsidRDefault="008F16FC" w:rsidP="008F16FC">
            <w:pPr>
              <w:rPr>
                <w:color w:val="000000"/>
                <w:sz w:val="18"/>
                <w:szCs w:val="18"/>
                <w:lang w:val="es-AR"/>
              </w:rPr>
            </w:pPr>
            <w:r w:rsidRPr="008F16FC">
              <w:rPr>
                <w:color w:val="000000"/>
                <w:sz w:val="18"/>
                <w:szCs w:val="18"/>
                <w:lang w:val="es-AR"/>
              </w:rPr>
              <w:t xml:space="preserve">               94.160</w:t>
            </w:r>
          </w:p>
        </w:tc>
        <w:tc>
          <w:tcPr>
            <w:tcW w:w="1340" w:type="dxa"/>
            <w:tcBorders>
              <w:top w:val="nil"/>
              <w:left w:val="nil"/>
              <w:bottom w:val="nil"/>
              <w:right w:val="nil"/>
            </w:tcBorders>
            <w:vAlign w:val="bottom"/>
          </w:tcPr>
          <w:p w14:paraId="1B36DECF" w14:textId="77777777" w:rsidR="008F16FC" w:rsidRPr="008F16FC" w:rsidRDefault="008F16FC" w:rsidP="008F16FC">
            <w:pPr>
              <w:rPr>
                <w:color w:val="000000"/>
                <w:sz w:val="18"/>
                <w:szCs w:val="18"/>
                <w:lang w:val="es-AR"/>
              </w:rPr>
            </w:pPr>
            <w:r w:rsidRPr="008F16FC">
              <w:rPr>
                <w:color w:val="000000"/>
                <w:sz w:val="18"/>
                <w:szCs w:val="18"/>
                <w:lang w:val="es-AR"/>
              </w:rPr>
              <w:t xml:space="preserve">            93.689   </w:t>
            </w:r>
          </w:p>
        </w:tc>
      </w:tr>
      <w:tr w:rsidR="008F16FC" w:rsidRPr="008F16FC" w14:paraId="116D0891" w14:textId="77777777" w:rsidTr="008F16FC">
        <w:trPr>
          <w:trHeight w:val="255"/>
        </w:trPr>
        <w:tc>
          <w:tcPr>
            <w:tcW w:w="3540" w:type="dxa"/>
            <w:tcBorders>
              <w:top w:val="nil"/>
              <w:left w:val="nil"/>
              <w:bottom w:val="nil"/>
              <w:right w:val="nil"/>
            </w:tcBorders>
            <w:shd w:val="clear" w:color="auto" w:fill="auto"/>
            <w:noWrap/>
            <w:vAlign w:val="bottom"/>
            <w:hideMark/>
          </w:tcPr>
          <w:p w14:paraId="7A4179C8" w14:textId="77777777" w:rsidR="008F16FC" w:rsidRPr="008F16FC" w:rsidRDefault="008F16FC" w:rsidP="008F16FC">
            <w:pPr>
              <w:rPr>
                <w:color w:val="000000"/>
                <w:sz w:val="18"/>
                <w:szCs w:val="18"/>
                <w:lang w:val="es-AR"/>
              </w:rPr>
            </w:pPr>
            <w:r w:rsidRPr="008F16FC">
              <w:rPr>
                <w:color w:val="000000"/>
                <w:sz w:val="18"/>
                <w:szCs w:val="18"/>
                <w:lang w:val="es-AR"/>
              </w:rPr>
              <w:t>Marcas y patentes</w:t>
            </w:r>
          </w:p>
        </w:tc>
        <w:tc>
          <w:tcPr>
            <w:tcW w:w="1340" w:type="dxa"/>
            <w:tcBorders>
              <w:top w:val="nil"/>
              <w:left w:val="nil"/>
              <w:bottom w:val="nil"/>
              <w:right w:val="nil"/>
            </w:tcBorders>
            <w:shd w:val="clear" w:color="auto" w:fill="auto"/>
            <w:noWrap/>
            <w:vAlign w:val="bottom"/>
          </w:tcPr>
          <w:p w14:paraId="3CE9F0A2" w14:textId="77777777" w:rsidR="008F16FC" w:rsidRPr="008F16FC" w:rsidRDefault="008F16FC" w:rsidP="008F16FC">
            <w:pPr>
              <w:rPr>
                <w:color w:val="000000"/>
                <w:sz w:val="18"/>
                <w:szCs w:val="18"/>
                <w:lang w:val="es-AR"/>
              </w:rPr>
            </w:pPr>
            <w:r w:rsidRPr="008F16FC">
              <w:rPr>
                <w:color w:val="000000"/>
                <w:sz w:val="18"/>
                <w:szCs w:val="18"/>
                <w:lang w:val="es-AR"/>
              </w:rPr>
              <w:t xml:space="preserve">                 4.182</w:t>
            </w:r>
          </w:p>
        </w:tc>
        <w:tc>
          <w:tcPr>
            <w:tcW w:w="1340" w:type="dxa"/>
            <w:tcBorders>
              <w:top w:val="nil"/>
              <w:left w:val="nil"/>
              <w:bottom w:val="nil"/>
              <w:right w:val="nil"/>
            </w:tcBorders>
            <w:vAlign w:val="bottom"/>
          </w:tcPr>
          <w:p w14:paraId="75C13DCE" w14:textId="77777777" w:rsidR="008F16FC" w:rsidRPr="008F16FC" w:rsidRDefault="008F16FC" w:rsidP="008F16FC">
            <w:pPr>
              <w:rPr>
                <w:color w:val="000000"/>
                <w:sz w:val="18"/>
                <w:szCs w:val="18"/>
                <w:lang w:val="es-AR"/>
              </w:rPr>
            </w:pPr>
            <w:r w:rsidRPr="008F16FC">
              <w:rPr>
                <w:color w:val="000000"/>
                <w:sz w:val="18"/>
                <w:szCs w:val="18"/>
                <w:lang w:val="es-AR"/>
              </w:rPr>
              <w:t xml:space="preserve">              4.020   </w:t>
            </w:r>
          </w:p>
        </w:tc>
      </w:tr>
      <w:tr w:rsidR="008F16FC" w:rsidRPr="008F16FC" w14:paraId="63D268D9" w14:textId="77777777" w:rsidTr="008F16FC">
        <w:trPr>
          <w:trHeight w:val="255"/>
        </w:trPr>
        <w:tc>
          <w:tcPr>
            <w:tcW w:w="3540" w:type="dxa"/>
            <w:tcBorders>
              <w:top w:val="nil"/>
              <w:left w:val="nil"/>
              <w:bottom w:val="nil"/>
              <w:right w:val="nil"/>
            </w:tcBorders>
            <w:shd w:val="clear" w:color="auto" w:fill="auto"/>
            <w:noWrap/>
            <w:vAlign w:val="bottom"/>
            <w:hideMark/>
          </w:tcPr>
          <w:p w14:paraId="1EEE588D" w14:textId="77777777" w:rsidR="008F16FC" w:rsidRPr="008F16FC" w:rsidRDefault="008F16FC" w:rsidP="008F16FC">
            <w:pPr>
              <w:rPr>
                <w:color w:val="000000"/>
                <w:sz w:val="18"/>
                <w:szCs w:val="18"/>
                <w:lang w:val="es-AR"/>
              </w:rPr>
            </w:pPr>
            <w:r w:rsidRPr="008F16FC">
              <w:rPr>
                <w:color w:val="000000"/>
                <w:sz w:val="18"/>
                <w:szCs w:val="18"/>
                <w:lang w:val="es-AR"/>
              </w:rPr>
              <w:t>Otros intangibles</w:t>
            </w:r>
          </w:p>
        </w:tc>
        <w:tc>
          <w:tcPr>
            <w:tcW w:w="1340" w:type="dxa"/>
            <w:tcBorders>
              <w:top w:val="nil"/>
              <w:left w:val="nil"/>
              <w:bottom w:val="nil"/>
              <w:right w:val="nil"/>
            </w:tcBorders>
            <w:shd w:val="clear" w:color="auto" w:fill="auto"/>
            <w:noWrap/>
            <w:vAlign w:val="bottom"/>
          </w:tcPr>
          <w:p w14:paraId="38C7E3B4" w14:textId="77777777" w:rsidR="008F16FC" w:rsidRPr="008F16FC" w:rsidRDefault="008F16FC" w:rsidP="008F16FC">
            <w:pPr>
              <w:rPr>
                <w:color w:val="000000"/>
                <w:sz w:val="18"/>
                <w:szCs w:val="18"/>
                <w:lang w:val="es-AR"/>
              </w:rPr>
            </w:pPr>
            <w:r w:rsidRPr="008F16FC">
              <w:rPr>
                <w:color w:val="000000"/>
                <w:sz w:val="18"/>
                <w:szCs w:val="18"/>
                <w:lang w:val="es-AR"/>
              </w:rPr>
              <w:t xml:space="preserve">               91.449</w:t>
            </w:r>
          </w:p>
        </w:tc>
        <w:tc>
          <w:tcPr>
            <w:tcW w:w="1340" w:type="dxa"/>
            <w:tcBorders>
              <w:top w:val="nil"/>
              <w:left w:val="nil"/>
              <w:bottom w:val="nil"/>
              <w:right w:val="nil"/>
            </w:tcBorders>
            <w:vAlign w:val="bottom"/>
          </w:tcPr>
          <w:p w14:paraId="677738FE" w14:textId="77777777" w:rsidR="008F16FC" w:rsidRPr="008F16FC" w:rsidRDefault="008F16FC" w:rsidP="008F16FC">
            <w:pPr>
              <w:rPr>
                <w:color w:val="000000"/>
                <w:sz w:val="18"/>
                <w:szCs w:val="18"/>
                <w:lang w:val="es-AR"/>
              </w:rPr>
            </w:pPr>
            <w:r w:rsidRPr="008F16FC">
              <w:rPr>
                <w:color w:val="000000"/>
                <w:sz w:val="18"/>
                <w:szCs w:val="18"/>
                <w:lang w:val="es-AR"/>
              </w:rPr>
              <w:t xml:space="preserve">          137.172   </w:t>
            </w:r>
          </w:p>
        </w:tc>
      </w:tr>
      <w:tr w:rsidR="008F16FC" w:rsidRPr="008F16FC" w14:paraId="2488E525" w14:textId="77777777" w:rsidTr="008F16FC">
        <w:trPr>
          <w:trHeight w:val="255"/>
        </w:trPr>
        <w:tc>
          <w:tcPr>
            <w:tcW w:w="3540" w:type="dxa"/>
            <w:tcBorders>
              <w:top w:val="nil"/>
              <w:left w:val="nil"/>
              <w:bottom w:val="nil"/>
              <w:right w:val="nil"/>
            </w:tcBorders>
            <w:shd w:val="clear" w:color="auto" w:fill="auto"/>
            <w:noWrap/>
            <w:vAlign w:val="bottom"/>
            <w:hideMark/>
          </w:tcPr>
          <w:p w14:paraId="1A0D4159" w14:textId="77777777" w:rsidR="008F16FC" w:rsidRPr="008F16FC" w:rsidRDefault="008F16FC" w:rsidP="008F16FC">
            <w:pPr>
              <w:rPr>
                <w:b/>
                <w:bCs/>
                <w:color w:val="000000"/>
                <w:sz w:val="18"/>
                <w:szCs w:val="18"/>
                <w:lang w:val="es-AR"/>
              </w:rPr>
            </w:pPr>
            <w:r w:rsidRPr="008F16FC">
              <w:rPr>
                <w:b/>
                <w:bCs/>
                <w:color w:val="000000"/>
                <w:sz w:val="18"/>
                <w:szCs w:val="18"/>
                <w:lang w:val="es-AR"/>
              </w:rPr>
              <w:t>Total Activos intangibles</w:t>
            </w:r>
          </w:p>
        </w:tc>
        <w:tc>
          <w:tcPr>
            <w:tcW w:w="1340" w:type="dxa"/>
            <w:tcBorders>
              <w:top w:val="nil"/>
              <w:left w:val="nil"/>
              <w:bottom w:val="nil"/>
              <w:right w:val="nil"/>
            </w:tcBorders>
            <w:shd w:val="clear" w:color="auto" w:fill="auto"/>
            <w:noWrap/>
            <w:vAlign w:val="bottom"/>
          </w:tcPr>
          <w:p w14:paraId="0990B81F" w14:textId="77777777" w:rsidR="008F16FC" w:rsidRPr="008F16FC" w:rsidRDefault="008F16FC" w:rsidP="008F16FC">
            <w:pPr>
              <w:rPr>
                <w:b/>
                <w:bCs/>
                <w:color w:val="000000"/>
                <w:sz w:val="18"/>
                <w:szCs w:val="18"/>
                <w:lang w:val="es-AR"/>
              </w:rPr>
            </w:pPr>
            <w:r w:rsidRPr="008F16FC">
              <w:rPr>
                <w:b/>
                <w:bCs/>
                <w:color w:val="000000"/>
                <w:sz w:val="18"/>
                <w:szCs w:val="18"/>
                <w:lang w:val="es-AR"/>
              </w:rPr>
              <w:t xml:space="preserve">             644.072</w:t>
            </w:r>
          </w:p>
        </w:tc>
        <w:tc>
          <w:tcPr>
            <w:tcW w:w="1340" w:type="dxa"/>
            <w:tcBorders>
              <w:top w:val="nil"/>
              <w:left w:val="nil"/>
              <w:bottom w:val="nil"/>
              <w:right w:val="nil"/>
            </w:tcBorders>
            <w:vAlign w:val="bottom"/>
          </w:tcPr>
          <w:p w14:paraId="0FF42700" w14:textId="77777777" w:rsidR="008F16FC" w:rsidRPr="008F16FC" w:rsidRDefault="008F16FC" w:rsidP="008F16FC">
            <w:pPr>
              <w:rPr>
                <w:b/>
                <w:bCs/>
                <w:color w:val="000000"/>
                <w:sz w:val="18"/>
                <w:szCs w:val="18"/>
                <w:lang w:val="es-AR"/>
              </w:rPr>
            </w:pPr>
            <w:r w:rsidRPr="008F16FC">
              <w:rPr>
                <w:b/>
                <w:bCs/>
                <w:color w:val="000000"/>
                <w:sz w:val="18"/>
                <w:szCs w:val="18"/>
                <w:lang w:val="es-AR"/>
              </w:rPr>
              <w:t xml:space="preserve">          671.545   </w:t>
            </w:r>
          </w:p>
        </w:tc>
      </w:tr>
      <w:tr w:rsidR="008F16FC" w:rsidRPr="008F16FC" w14:paraId="4FBFE624" w14:textId="77777777" w:rsidTr="008F16FC">
        <w:trPr>
          <w:trHeight w:val="255"/>
        </w:trPr>
        <w:tc>
          <w:tcPr>
            <w:tcW w:w="3540" w:type="dxa"/>
            <w:tcBorders>
              <w:top w:val="nil"/>
              <w:left w:val="nil"/>
              <w:bottom w:val="nil"/>
              <w:right w:val="nil"/>
            </w:tcBorders>
            <w:shd w:val="clear" w:color="auto" w:fill="auto"/>
            <w:noWrap/>
            <w:vAlign w:val="bottom"/>
            <w:hideMark/>
          </w:tcPr>
          <w:p w14:paraId="32CB947C" w14:textId="77777777" w:rsidR="008F16FC" w:rsidRPr="008F16FC" w:rsidRDefault="008F16FC" w:rsidP="008F16FC">
            <w:pPr>
              <w:rPr>
                <w:color w:val="000000"/>
                <w:sz w:val="18"/>
                <w:szCs w:val="18"/>
                <w:lang w:val="es-AR"/>
              </w:rPr>
            </w:pPr>
          </w:p>
        </w:tc>
        <w:tc>
          <w:tcPr>
            <w:tcW w:w="1340" w:type="dxa"/>
            <w:tcBorders>
              <w:top w:val="nil"/>
              <w:left w:val="nil"/>
              <w:bottom w:val="nil"/>
              <w:right w:val="nil"/>
            </w:tcBorders>
            <w:shd w:val="clear" w:color="auto" w:fill="auto"/>
            <w:noWrap/>
            <w:vAlign w:val="bottom"/>
          </w:tcPr>
          <w:p w14:paraId="470C1CEF" w14:textId="77777777" w:rsidR="008F16FC" w:rsidRPr="008F16FC" w:rsidRDefault="008F16FC" w:rsidP="008F16FC">
            <w:pPr>
              <w:rPr>
                <w:color w:val="000000"/>
                <w:sz w:val="18"/>
                <w:szCs w:val="18"/>
                <w:lang w:val="es-AR"/>
              </w:rPr>
            </w:pPr>
          </w:p>
        </w:tc>
        <w:tc>
          <w:tcPr>
            <w:tcW w:w="1340" w:type="dxa"/>
            <w:tcBorders>
              <w:top w:val="nil"/>
              <w:left w:val="nil"/>
              <w:bottom w:val="nil"/>
              <w:right w:val="nil"/>
            </w:tcBorders>
            <w:vAlign w:val="bottom"/>
          </w:tcPr>
          <w:p w14:paraId="36BEC608" w14:textId="77777777" w:rsidR="008F16FC" w:rsidRPr="008F16FC" w:rsidRDefault="008F16FC" w:rsidP="008F16FC">
            <w:pPr>
              <w:rPr>
                <w:color w:val="000000"/>
                <w:sz w:val="18"/>
                <w:szCs w:val="18"/>
                <w:lang w:val="es-AR"/>
              </w:rPr>
            </w:pPr>
          </w:p>
        </w:tc>
      </w:tr>
      <w:tr w:rsidR="008F16FC" w:rsidRPr="008F16FC" w14:paraId="7A8B8328" w14:textId="77777777" w:rsidTr="008F16FC">
        <w:trPr>
          <w:trHeight w:val="255"/>
        </w:trPr>
        <w:tc>
          <w:tcPr>
            <w:tcW w:w="3540" w:type="dxa"/>
            <w:tcBorders>
              <w:top w:val="nil"/>
              <w:left w:val="nil"/>
              <w:bottom w:val="nil"/>
              <w:right w:val="nil"/>
            </w:tcBorders>
            <w:shd w:val="clear" w:color="000000" w:fill="D9D9D9"/>
            <w:noWrap/>
            <w:vAlign w:val="bottom"/>
            <w:hideMark/>
          </w:tcPr>
          <w:p w14:paraId="0FECC6A0" w14:textId="77777777" w:rsidR="008F16FC" w:rsidRPr="008F16FC" w:rsidRDefault="008F16FC" w:rsidP="008F16FC">
            <w:pPr>
              <w:rPr>
                <w:b/>
                <w:bCs/>
                <w:color w:val="000000"/>
                <w:sz w:val="18"/>
                <w:szCs w:val="18"/>
                <w:lang w:val="es-AR"/>
              </w:rPr>
            </w:pPr>
            <w:r w:rsidRPr="008F16FC">
              <w:rPr>
                <w:b/>
                <w:bCs/>
                <w:color w:val="000000"/>
                <w:sz w:val="18"/>
                <w:szCs w:val="18"/>
                <w:lang w:val="es-AR"/>
              </w:rPr>
              <w:t>TOTAL BIENES DE USO</w:t>
            </w:r>
          </w:p>
        </w:tc>
        <w:tc>
          <w:tcPr>
            <w:tcW w:w="1340" w:type="dxa"/>
            <w:tcBorders>
              <w:top w:val="nil"/>
              <w:left w:val="nil"/>
              <w:bottom w:val="nil"/>
              <w:right w:val="nil"/>
            </w:tcBorders>
            <w:shd w:val="clear" w:color="000000" w:fill="D9D9D9"/>
            <w:noWrap/>
            <w:vAlign w:val="bottom"/>
          </w:tcPr>
          <w:p w14:paraId="098CAFE9" w14:textId="77777777" w:rsidR="008F16FC" w:rsidRPr="008F16FC" w:rsidRDefault="008F16FC" w:rsidP="008F16FC">
            <w:pPr>
              <w:rPr>
                <w:b/>
                <w:bCs/>
                <w:color w:val="000000"/>
                <w:sz w:val="18"/>
                <w:szCs w:val="18"/>
                <w:lang w:val="es-AR"/>
              </w:rPr>
            </w:pPr>
            <w:r w:rsidRPr="008F16FC">
              <w:rPr>
                <w:b/>
                <w:bCs/>
                <w:color w:val="000000"/>
                <w:sz w:val="18"/>
                <w:szCs w:val="18"/>
                <w:lang w:val="es-AR"/>
              </w:rPr>
              <w:t xml:space="preserve">          3.527.803</w:t>
            </w:r>
          </w:p>
        </w:tc>
        <w:tc>
          <w:tcPr>
            <w:tcW w:w="1340" w:type="dxa"/>
            <w:tcBorders>
              <w:top w:val="nil"/>
              <w:left w:val="nil"/>
              <w:bottom w:val="nil"/>
              <w:right w:val="nil"/>
            </w:tcBorders>
            <w:shd w:val="clear" w:color="000000" w:fill="D9D9D9"/>
            <w:vAlign w:val="bottom"/>
          </w:tcPr>
          <w:p w14:paraId="75453191" w14:textId="77777777" w:rsidR="008F16FC" w:rsidRPr="008F16FC" w:rsidRDefault="008F16FC" w:rsidP="008F16FC">
            <w:pPr>
              <w:rPr>
                <w:b/>
                <w:bCs/>
                <w:color w:val="000000"/>
                <w:sz w:val="18"/>
                <w:szCs w:val="18"/>
                <w:lang w:val="es-AR"/>
              </w:rPr>
            </w:pPr>
            <w:r w:rsidRPr="008F16FC">
              <w:rPr>
                <w:b/>
                <w:bCs/>
                <w:color w:val="000000"/>
                <w:sz w:val="18"/>
                <w:szCs w:val="18"/>
                <w:lang w:val="es-AR"/>
              </w:rPr>
              <w:t xml:space="preserve">       3.159.215   </w:t>
            </w:r>
          </w:p>
        </w:tc>
      </w:tr>
      <w:tr w:rsidR="008F16FC" w:rsidRPr="008F16FC" w14:paraId="213B2E09" w14:textId="77777777" w:rsidTr="008F16FC">
        <w:trPr>
          <w:trHeight w:val="255"/>
        </w:trPr>
        <w:tc>
          <w:tcPr>
            <w:tcW w:w="3540" w:type="dxa"/>
            <w:tcBorders>
              <w:top w:val="nil"/>
              <w:left w:val="nil"/>
              <w:bottom w:val="nil"/>
              <w:right w:val="nil"/>
            </w:tcBorders>
            <w:shd w:val="clear" w:color="auto" w:fill="auto"/>
            <w:noWrap/>
            <w:vAlign w:val="bottom"/>
            <w:hideMark/>
          </w:tcPr>
          <w:p w14:paraId="55337C8F" w14:textId="77777777" w:rsidR="008F16FC" w:rsidRPr="008F16FC" w:rsidRDefault="008F16FC" w:rsidP="008F16FC">
            <w:pPr>
              <w:rPr>
                <w:color w:val="000000"/>
                <w:sz w:val="18"/>
                <w:szCs w:val="18"/>
                <w:lang w:val="es-AR"/>
              </w:rPr>
            </w:pPr>
          </w:p>
        </w:tc>
        <w:tc>
          <w:tcPr>
            <w:tcW w:w="1340" w:type="dxa"/>
            <w:tcBorders>
              <w:top w:val="nil"/>
              <w:left w:val="nil"/>
              <w:bottom w:val="nil"/>
              <w:right w:val="nil"/>
            </w:tcBorders>
            <w:shd w:val="clear" w:color="auto" w:fill="auto"/>
            <w:noWrap/>
            <w:vAlign w:val="bottom"/>
          </w:tcPr>
          <w:p w14:paraId="333E4A80" w14:textId="77777777" w:rsidR="008F16FC" w:rsidRPr="008F16FC" w:rsidRDefault="008F16FC" w:rsidP="008F16FC">
            <w:pPr>
              <w:rPr>
                <w:color w:val="000000"/>
                <w:sz w:val="18"/>
                <w:szCs w:val="18"/>
                <w:lang w:val="es-AR"/>
              </w:rPr>
            </w:pPr>
          </w:p>
        </w:tc>
        <w:tc>
          <w:tcPr>
            <w:tcW w:w="1340" w:type="dxa"/>
            <w:tcBorders>
              <w:top w:val="nil"/>
              <w:left w:val="nil"/>
              <w:bottom w:val="nil"/>
              <w:right w:val="nil"/>
            </w:tcBorders>
            <w:vAlign w:val="bottom"/>
          </w:tcPr>
          <w:p w14:paraId="77BCCE17" w14:textId="77777777" w:rsidR="008F16FC" w:rsidRPr="008F16FC" w:rsidRDefault="008F16FC" w:rsidP="008F16FC">
            <w:pPr>
              <w:rPr>
                <w:color w:val="000000"/>
                <w:sz w:val="18"/>
                <w:szCs w:val="18"/>
                <w:lang w:val="es-AR"/>
              </w:rPr>
            </w:pPr>
          </w:p>
        </w:tc>
      </w:tr>
      <w:tr w:rsidR="008F16FC" w:rsidRPr="008F16FC" w14:paraId="362E9406" w14:textId="77777777" w:rsidTr="008F16FC">
        <w:trPr>
          <w:trHeight w:val="255"/>
        </w:trPr>
        <w:tc>
          <w:tcPr>
            <w:tcW w:w="3540" w:type="dxa"/>
            <w:tcBorders>
              <w:top w:val="nil"/>
              <w:left w:val="nil"/>
              <w:bottom w:val="nil"/>
              <w:right w:val="nil"/>
            </w:tcBorders>
            <w:shd w:val="clear" w:color="auto" w:fill="auto"/>
            <w:noWrap/>
            <w:vAlign w:val="bottom"/>
            <w:hideMark/>
          </w:tcPr>
          <w:p w14:paraId="7661D579" w14:textId="77777777" w:rsidR="008F16FC" w:rsidRPr="008F16FC" w:rsidRDefault="008F16FC" w:rsidP="008F16FC">
            <w:pPr>
              <w:rPr>
                <w:color w:val="000000"/>
                <w:sz w:val="18"/>
                <w:szCs w:val="18"/>
                <w:lang w:val="es-ES"/>
              </w:rPr>
            </w:pPr>
            <w:r w:rsidRPr="008F16FC">
              <w:rPr>
                <w:color w:val="000000"/>
                <w:sz w:val="18"/>
                <w:szCs w:val="18"/>
                <w:lang w:val="es-ES"/>
              </w:rPr>
              <w:t>Ingresos por contratos de construcción</w:t>
            </w:r>
          </w:p>
        </w:tc>
        <w:tc>
          <w:tcPr>
            <w:tcW w:w="1340" w:type="dxa"/>
            <w:tcBorders>
              <w:top w:val="nil"/>
              <w:left w:val="nil"/>
              <w:bottom w:val="nil"/>
              <w:right w:val="nil"/>
            </w:tcBorders>
            <w:shd w:val="clear" w:color="auto" w:fill="auto"/>
            <w:noWrap/>
            <w:vAlign w:val="bottom"/>
          </w:tcPr>
          <w:p w14:paraId="22478ABB" w14:textId="77777777" w:rsidR="008F16FC" w:rsidRPr="008F16FC" w:rsidRDefault="008F16FC" w:rsidP="008F16FC">
            <w:pPr>
              <w:rPr>
                <w:color w:val="000000"/>
                <w:sz w:val="18"/>
                <w:szCs w:val="18"/>
                <w:lang w:val="es-MX"/>
              </w:rPr>
            </w:pPr>
            <w:r w:rsidRPr="008F16FC">
              <w:rPr>
                <w:color w:val="000000"/>
                <w:sz w:val="18"/>
                <w:szCs w:val="18"/>
                <w:lang w:val="es-MX"/>
              </w:rPr>
              <w:t xml:space="preserve">          3.010.407</w:t>
            </w:r>
          </w:p>
        </w:tc>
        <w:tc>
          <w:tcPr>
            <w:tcW w:w="1340" w:type="dxa"/>
            <w:tcBorders>
              <w:top w:val="nil"/>
              <w:left w:val="nil"/>
              <w:bottom w:val="nil"/>
              <w:right w:val="nil"/>
            </w:tcBorders>
            <w:vAlign w:val="bottom"/>
          </w:tcPr>
          <w:p w14:paraId="2DA1E082" w14:textId="77777777" w:rsidR="008F16FC" w:rsidRPr="008F16FC" w:rsidRDefault="008F16FC" w:rsidP="008F16FC">
            <w:pPr>
              <w:rPr>
                <w:color w:val="000000"/>
                <w:sz w:val="18"/>
                <w:szCs w:val="18"/>
                <w:lang w:val="es-MX"/>
              </w:rPr>
            </w:pPr>
            <w:r w:rsidRPr="008F16FC">
              <w:rPr>
                <w:color w:val="000000"/>
                <w:sz w:val="18"/>
                <w:szCs w:val="18"/>
                <w:lang w:val="es-ES"/>
              </w:rPr>
              <w:t xml:space="preserve">      </w:t>
            </w:r>
            <w:r w:rsidRPr="008F16FC">
              <w:rPr>
                <w:color w:val="000000"/>
                <w:sz w:val="18"/>
                <w:szCs w:val="18"/>
                <w:lang w:val="es-AR"/>
              </w:rPr>
              <w:t xml:space="preserve"> </w:t>
            </w:r>
            <w:r w:rsidRPr="008F16FC">
              <w:rPr>
                <w:color w:val="000000"/>
                <w:sz w:val="18"/>
                <w:szCs w:val="18"/>
              </w:rPr>
              <w:t>8.497.127</w:t>
            </w:r>
          </w:p>
        </w:tc>
      </w:tr>
      <w:tr w:rsidR="008F16FC" w:rsidRPr="008F16FC" w14:paraId="7EDCF6D9" w14:textId="77777777" w:rsidTr="008F16FC">
        <w:trPr>
          <w:trHeight w:val="255"/>
        </w:trPr>
        <w:tc>
          <w:tcPr>
            <w:tcW w:w="3540" w:type="dxa"/>
            <w:tcBorders>
              <w:top w:val="nil"/>
              <w:left w:val="nil"/>
              <w:bottom w:val="nil"/>
              <w:right w:val="nil"/>
            </w:tcBorders>
            <w:shd w:val="clear" w:color="auto" w:fill="auto"/>
            <w:noWrap/>
            <w:vAlign w:val="bottom"/>
            <w:hideMark/>
          </w:tcPr>
          <w:p w14:paraId="33F177E2" w14:textId="77777777" w:rsidR="008F16FC" w:rsidRPr="008F16FC" w:rsidRDefault="008F16FC" w:rsidP="008F16FC">
            <w:pPr>
              <w:rPr>
                <w:color w:val="000000"/>
                <w:sz w:val="18"/>
                <w:szCs w:val="18"/>
                <w:lang w:val="es-MX"/>
              </w:rPr>
            </w:pPr>
          </w:p>
        </w:tc>
        <w:tc>
          <w:tcPr>
            <w:tcW w:w="1340" w:type="dxa"/>
            <w:tcBorders>
              <w:top w:val="nil"/>
              <w:left w:val="nil"/>
              <w:bottom w:val="nil"/>
              <w:right w:val="nil"/>
            </w:tcBorders>
            <w:shd w:val="clear" w:color="auto" w:fill="auto"/>
            <w:noWrap/>
            <w:vAlign w:val="bottom"/>
          </w:tcPr>
          <w:p w14:paraId="5190DA70" w14:textId="77777777" w:rsidR="008F16FC" w:rsidRPr="008F16FC" w:rsidRDefault="008F16FC" w:rsidP="008F16FC">
            <w:pPr>
              <w:rPr>
                <w:color w:val="000000"/>
                <w:sz w:val="18"/>
                <w:szCs w:val="18"/>
                <w:lang w:val="es-MX"/>
              </w:rPr>
            </w:pPr>
          </w:p>
        </w:tc>
        <w:tc>
          <w:tcPr>
            <w:tcW w:w="1340" w:type="dxa"/>
            <w:tcBorders>
              <w:top w:val="nil"/>
              <w:left w:val="nil"/>
              <w:bottom w:val="nil"/>
              <w:right w:val="nil"/>
            </w:tcBorders>
            <w:vAlign w:val="bottom"/>
          </w:tcPr>
          <w:p w14:paraId="3D18E383" w14:textId="77777777" w:rsidR="008F16FC" w:rsidRPr="008F16FC" w:rsidRDefault="008F16FC" w:rsidP="008F16FC">
            <w:pPr>
              <w:rPr>
                <w:color w:val="000000"/>
                <w:sz w:val="18"/>
                <w:szCs w:val="18"/>
                <w:lang w:val="es-MX"/>
              </w:rPr>
            </w:pPr>
          </w:p>
        </w:tc>
      </w:tr>
      <w:tr w:rsidR="008F16FC" w:rsidRPr="008F16FC" w14:paraId="625B6909" w14:textId="77777777" w:rsidTr="008F16FC">
        <w:trPr>
          <w:trHeight w:val="255"/>
        </w:trPr>
        <w:tc>
          <w:tcPr>
            <w:tcW w:w="3540" w:type="dxa"/>
            <w:tcBorders>
              <w:top w:val="nil"/>
              <w:left w:val="nil"/>
              <w:bottom w:val="nil"/>
              <w:right w:val="nil"/>
            </w:tcBorders>
            <w:shd w:val="clear" w:color="auto" w:fill="auto"/>
            <w:noWrap/>
            <w:vAlign w:val="bottom"/>
            <w:hideMark/>
          </w:tcPr>
          <w:p w14:paraId="7DF6D000" w14:textId="77777777" w:rsidR="008F16FC" w:rsidRPr="008F16FC" w:rsidRDefault="008F16FC" w:rsidP="008F16FC">
            <w:pPr>
              <w:rPr>
                <w:b/>
                <w:bCs/>
                <w:color w:val="000000"/>
                <w:sz w:val="18"/>
                <w:szCs w:val="18"/>
                <w:lang w:val="es-AR"/>
              </w:rPr>
            </w:pPr>
            <w:r w:rsidRPr="008F16FC">
              <w:rPr>
                <w:b/>
                <w:bCs/>
                <w:color w:val="000000"/>
                <w:sz w:val="18"/>
                <w:szCs w:val="18"/>
                <w:lang w:val="es-AR"/>
              </w:rPr>
              <w:t>% sobre ventas</w:t>
            </w:r>
          </w:p>
        </w:tc>
        <w:tc>
          <w:tcPr>
            <w:tcW w:w="1340" w:type="dxa"/>
            <w:tcBorders>
              <w:top w:val="nil"/>
              <w:left w:val="nil"/>
              <w:bottom w:val="nil"/>
              <w:right w:val="nil"/>
            </w:tcBorders>
            <w:shd w:val="clear" w:color="auto" w:fill="auto"/>
            <w:noWrap/>
            <w:vAlign w:val="bottom"/>
          </w:tcPr>
          <w:p w14:paraId="009682DF" w14:textId="77777777" w:rsidR="008F16FC" w:rsidRPr="008F16FC" w:rsidRDefault="008F16FC" w:rsidP="008F16FC">
            <w:pPr>
              <w:jc w:val="center"/>
              <w:rPr>
                <w:b/>
                <w:bCs/>
                <w:color w:val="000000"/>
                <w:sz w:val="18"/>
                <w:szCs w:val="18"/>
                <w:lang w:val="es-AR"/>
              </w:rPr>
            </w:pPr>
            <w:r w:rsidRPr="008F16FC">
              <w:rPr>
                <w:b/>
                <w:bCs/>
                <w:color w:val="000000"/>
                <w:sz w:val="18"/>
                <w:szCs w:val="18"/>
                <w:lang w:val="es-AR"/>
              </w:rPr>
              <w:t xml:space="preserve">             117%</w:t>
            </w:r>
          </w:p>
        </w:tc>
        <w:tc>
          <w:tcPr>
            <w:tcW w:w="1340" w:type="dxa"/>
            <w:tcBorders>
              <w:top w:val="nil"/>
              <w:left w:val="nil"/>
              <w:bottom w:val="nil"/>
              <w:right w:val="nil"/>
            </w:tcBorders>
            <w:vAlign w:val="bottom"/>
          </w:tcPr>
          <w:p w14:paraId="292743A9" w14:textId="77777777" w:rsidR="008F16FC" w:rsidRPr="008F16FC" w:rsidRDefault="008F16FC" w:rsidP="008F16FC">
            <w:pPr>
              <w:jc w:val="center"/>
              <w:rPr>
                <w:b/>
                <w:bCs/>
                <w:color w:val="000000"/>
                <w:sz w:val="18"/>
                <w:szCs w:val="18"/>
                <w:lang w:val="es-AR"/>
              </w:rPr>
            </w:pPr>
            <w:r w:rsidRPr="008F16FC">
              <w:rPr>
                <w:b/>
                <w:bCs/>
                <w:color w:val="000000"/>
                <w:sz w:val="18"/>
                <w:szCs w:val="18"/>
                <w:lang w:val="es-AR"/>
              </w:rPr>
              <w:t xml:space="preserve">   37%</w:t>
            </w:r>
          </w:p>
        </w:tc>
      </w:tr>
    </w:tbl>
    <w:p w14:paraId="67D95DEA" w14:textId="77777777" w:rsidR="008F16FC" w:rsidRPr="008F16FC" w:rsidRDefault="008F16FC" w:rsidP="008F16FC">
      <w:pPr>
        <w:widowControl w:val="0"/>
        <w:jc w:val="both"/>
        <w:rPr>
          <w:rFonts w:eastAsia="Calibri"/>
          <w:sz w:val="20"/>
          <w:szCs w:val="20"/>
          <w:lang w:val="es-MX"/>
        </w:rPr>
      </w:pPr>
    </w:p>
    <w:p w14:paraId="00BDE553" w14:textId="77777777" w:rsidR="008F16FC" w:rsidRPr="008F16FC" w:rsidRDefault="008F16FC" w:rsidP="008F16FC">
      <w:pPr>
        <w:rPr>
          <w:rFonts w:eastAsia="Calibri"/>
          <w:i/>
          <w:sz w:val="20"/>
          <w:szCs w:val="20"/>
          <w:lang w:val="es-MX"/>
        </w:rPr>
      </w:pPr>
      <w:bookmarkStart w:id="49" w:name="_Hlk14254265"/>
      <w:r w:rsidRPr="008F16FC">
        <w:rPr>
          <w:rFonts w:eastAsia="Calibri"/>
          <w:i/>
          <w:sz w:val="20"/>
          <w:szCs w:val="20"/>
          <w:lang w:val="es-MX"/>
        </w:rPr>
        <w:t>Nivel de Endeudamiento</w:t>
      </w:r>
    </w:p>
    <w:p w14:paraId="101350CF" w14:textId="77777777" w:rsidR="008F16FC" w:rsidRPr="008F16FC" w:rsidRDefault="008F16FC" w:rsidP="008F16FC">
      <w:pPr>
        <w:widowControl w:val="0"/>
        <w:jc w:val="both"/>
        <w:rPr>
          <w:rFonts w:eastAsia="Calibri"/>
          <w:sz w:val="20"/>
          <w:szCs w:val="20"/>
          <w:lang w:val="es-MX"/>
        </w:rPr>
      </w:pPr>
    </w:p>
    <w:p w14:paraId="500FDCC2" w14:textId="4DBA68B7" w:rsidR="008F16FC" w:rsidRPr="008F16FC" w:rsidRDefault="008F16FC" w:rsidP="008F16FC">
      <w:pPr>
        <w:jc w:val="both"/>
        <w:rPr>
          <w:rFonts w:eastAsia="Calibri"/>
          <w:sz w:val="20"/>
          <w:szCs w:val="20"/>
          <w:vertAlign w:val="superscript"/>
          <w:lang w:val="es-MX"/>
        </w:rPr>
      </w:pPr>
      <w:r w:rsidRPr="008F16FC">
        <w:rPr>
          <w:rFonts w:eastAsia="Calibri"/>
          <w:sz w:val="20"/>
          <w:szCs w:val="20"/>
          <w:lang w:val="es-MX"/>
        </w:rPr>
        <w:t xml:space="preserve">La Sociedad registraba al 30 de septiembre de 2019 un nivel de endeudamiento </w:t>
      </w:r>
      <w:bookmarkEnd w:id="49"/>
      <w:r w:rsidRPr="008F16FC">
        <w:rPr>
          <w:rFonts w:eastAsia="Calibri"/>
          <w:sz w:val="20"/>
          <w:szCs w:val="20"/>
          <w:lang w:val="es-MX"/>
        </w:rPr>
        <w:t>financiero de $1.452.194.728.</w:t>
      </w:r>
    </w:p>
    <w:p w14:paraId="0B94CF5D" w14:textId="77777777" w:rsidR="008F16FC" w:rsidRPr="008F16FC" w:rsidRDefault="008F16FC" w:rsidP="008F16FC">
      <w:pPr>
        <w:widowControl w:val="0"/>
        <w:jc w:val="both"/>
        <w:rPr>
          <w:rFonts w:eastAsia="Calibri"/>
          <w:sz w:val="20"/>
          <w:szCs w:val="20"/>
          <w:vertAlign w:val="superscript"/>
          <w:lang w:val="es-MX"/>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2013"/>
        <w:gridCol w:w="1714"/>
        <w:gridCol w:w="1262"/>
      </w:tblGrid>
      <w:tr w:rsidR="008F16FC" w:rsidRPr="00BC69AA" w14:paraId="2E050D11" w14:textId="77777777" w:rsidTr="00BA304B">
        <w:trPr>
          <w:trHeight w:val="454"/>
          <w:jc w:val="center"/>
        </w:trPr>
        <w:tc>
          <w:tcPr>
            <w:tcW w:w="3230" w:type="dxa"/>
            <w:vAlign w:val="center"/>
          </w:tcPr>
          <w:p w14:paraId="66E3EC83" w14:textId="77777777" w:rsidR="008F16FC" w:rsidRPr="00BA304B" w:rsidRDefault="008F16FC" w:rsidP="00BA304B">
            <w:pPr>
              <w:spacing w:after="200" w:line="276" w:lineRule="auto"/>
              <w:jc w:val="center"/>
              <w:rPr>
                <w:rFonts w:eastAsia="Calibri"/>
                <w:b/>
                <w:sz w:val="18"/>
                <w:lang w:val="es-AR"/>
              </w:rPr>
            </w:pPr>
            <w:r w:rsidRPr="00BA304B">
              <w:rPr>
                <w:rFonts w:eastAsia="Calibri"/>
                <w:b/>
                <w:sz w:val="18"/>
                <w:lang w:val="es-AR"/>
              </w:rPr>
              <w:t>Entidad</w:t>
            </w:r>
          </w:p>
        </w:tc>
        <w:tc>
          <w:tcPr>
            <w:tcW w:w="2013" w:type="dxa"/>
            <w:vAlign w:val="center"/>
          </w:tcPr>
          <w:p w14:paraId="50F5539A" w14:textId="77777777" w:rsidR="008F16FC" w:rsidRPr="00BA304B" w:rsidRDefault="008F16FC" w:rsidP="00BA304B">
            <w:pPr>
              <w:spacing w:after="200" w:line="276" w:lineRule="auto"/>
              <w:jc w:val="center"/>
              <w:rPr>
                <w:rFonts w:eastAsia="Calibri"/>
                <w:b/>
                <w:sz w:val="18"/>
                <w:lang w:val="es-AR"/>
              </w:rPr>
            </w:pPr>
            <w:r w:rsidRPr="00BA304B">
              <w:rPr>
                <w:rFonts w:eastAsia="Calibri"/>
                <w:b/>
                <w:sz w:val="18"/>
                <w:lang w:val="es-AR"/>
              </w:rPr>
              <w:t>Capital</w:t>
            </w:r>
          </w:p>
        </w:tc>
        <w:tc>
          <w:tcPr>
            <w:tcW w:w="1714" w:type="dxa"/>
            <w:vAlign w:val="center"/>
          </w:tcPr>
          <w:p w14:paraId="6E951801" w14:textId="77777777" w:rsidR="008F16FC" w:rsidRPr="00BA304B" w:rsidRDefault="008F16FC" w:rsidP="00BA304B">
            <w:pPr>
              <w:spacing w:after="200" w:line="276" w:lineRule="auto"/>
              <w:jc w:val="center"/>
              <w:rPr>
                <w:rFonts w:eastAsia="Calibri"/>
                <w:b/>
                <w:sz w:val="18"/>
                <w:lang w:val="es-AR"/>
              </w:rPr>
            </w:pPr>
            <w:r w:rsidRPr="00BA304B">
              <w:rPr>
                <w:rFonts w:eastAsia="Calibri"/>
                <w:b/>
                <w:sz w:val="18"/>
                <w:lang w:val="es-AR"/>
              </w:rPr>
              <w:t>Tasa</w:t>
            </w:r>
          </w:p>
        </w:tc>
        <w:tc>
          <w:tcPr>
            <w:tcW w:w="1262" w:type="dxa"/>
            <w:vAlign w:val="center"/>
          </w:tcPr>
          <w:p w14:paraId="68C6CF21" w14:textId="77777777" w:rsidR="008F16FC" w:rsidRPr="00BA304B" w:rsidRDefault="008F16FC" w:rsidP="00BA304B">
            <w:pPr>
              <w:tabs>
                <w:tab w:val="left" w:pos="1026"/>
              </w:tabs>
              <w:spacing w:after="200" w:line="276" w:lineRule="auto"/>
              <w:jc w:val="center"/>
              <w:rPr>
                <w:rFonts w:eastAsia="Calibri"/>
                <w:b/>
                <w:sz w:val="18"/>
                <w:lang w:val="es-AR"/>
              </w:rPr>
            </w:pPr>
            <w:r w:rsidRPr="00BA304B">
              <w:rPr>
                <w:rFonts w:eastAsia="Calibri"/>
                <w:b/>
                <w:sz w:val="18"/>
                <w:lang w:val="es-AR"/>
              </w:rPr>
              <w:t>VTO</w:t>
            </w:r>
          </w:p>
        </w:tc>
      </w:tr>
      <w:tr w:rsidR="008F16FC" w:rsidRPr="00BC69AA" w14:paraId="671D377E" w14:textId="77777777" w:rsidTr="00BA304B">
        <w:trPr>
          <w:trHeight w:val="454"/>
          <w:jc w:val="center"/>
        </w:trPr>
        <w:tc>
          <w:tcPr>
            <w:tcW w:w="3230" w:type="dxa"/>
            <w:vAlign w:val="center"/>
          </w:tcPr>
          <w:p w14:paraId="12D3041E" w14:textId="035020AE" w:rsidR="008F16FC" w:rsidRPr="00BA304B" w:rsidRDefault="008F16FC" w:rsidP="00BA304B">
            <w:pPr>
              <w:spacing w:after="200" w:line="276" w:lineRule="auto"/>
              <w:rPr>
                <w:rFonts w:eastAsia="Calibri"/>
                <w:sz w:val="18"/>
                <w:lang w:val="es-AR"/>
              </w:rPr>
            </w:pPr>
            <w:r w:rsidRPr="00BA304B">
              <w:rPr>
                <w:rFonts w:eastAsia="Calibri"/>
                <w:sz w:val="18"/>
                <w:lang w:val="es-AR"/>
              </w:rPr>
              <w:t xml:space="preserve">BICE EN USD PREFI EXPO </w:t>
            </w:r>
            <w:r w:rsidRPr="00727BCF">
              <w:rPr>
                <w:rFonts w:eastAsia="Calibri"/>
                <w:sz w:val="18"/>
                <w:szCs w:val="18"/>
                <w:lang w:val="es-AR"/>
              </w:rPr>
              <w:t>17233</w:t>
            </w:r>
          </w:p>
        </w:tc>
        <w:tc>
          <w:tcPr>
            <w:tcW w:w="2013" w:type="dxa"/>
            <w:vAlign w:val="center"/>
          </w:tcPr>
          <w:p w14:paraId="4451BC8E" w14:textId="340271C7"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 xml:space="preserve">USD </w:t>
            </w:r>
            <w:r w:rsidRPr="00727BCF">
              <w:rPr>
                <w:rFonts w:eastAsia="Calibri"/>
                <w:sz w:val="18"/>
                <w:szCs w:val="18"/>
                <w:lang w:val="es-AR"/>
              </w:rPr>
              <w:t>3</w:t>
            </w:r>
            <w:r w:rsidRPr="00BA304B">
              <w:rPr>
                <w:rFonts w:eastAsia="Calibri"/>
                <w:sz w:val="18"/>
                <w:lang w:val="es-AR"/>
              </w:rPr>
              <w:t>.000.000.-</w:t>
            </w:r>
          </w:p>
        </w:tc>
        <w:tc>
          <w:tcPr>
            <w:tcW w:w="1714" w:type="dxa"/>
            <w:vAlign w:val="center"/>
          </w:tcPr>
          <w:p w14:paraId="0EBB5C45" w14:textId="5CD3AC78"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6</w:t>
            </w:r>
            <w:r w:rsidRPr="00727BCF">
              <w:rPr>
                <w:rFonts w:eastAsia="Calibri"/>
                <w:sz w:val="18"/>
                <w:szCs w:val="18"/>
                <w:lang w:val="es-AR"/>
              </w:rPr>
              <w:t>,</w:t>
            </w:r>
            <w:r w:rsidRPr="00BA304B">
              <w:rPr>
                <w:rFonts w:eastAsia="Calibri"/>
                <w:sz w:val="18"/>
                <w:lang w:val="es-AR"/>
              </w:rPr>
              <w:t>25</w:t>
            </w:r>
          </w:p>
        </w:tc>
        <w:tc>
          <w:tcPr>
            <w:tcW w:w="1262" w:type="dxa"/>
            <w:vAlign w:val="center"/>
          </w:tcPr>
          <w:p w14:paraId="44CF7DE3" w14:textId="3F8C6BE2"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27-11</w:t>
            </w:r>
            <w:r w:rsidRPr="00BA304B">
              <w:rPr>
                <w:rFonts w:eastAsia="Calibri"/>
                <w:sz w:val="18"/>
                <w:lang w:val="es-AR"/>
              </w:rPr>
              <w:t>-2019</w:t>
            </w:r>
          </w:p>
        </w:tc>
      </w:tr>
      <w:tr w:rsidR="008F16FC" w:rsidRPr="00BC69AA" w14:paraId="6C8F1AF4" w14:textId="77777777" w:rsidTr="00BA304B">
        <w:trPr>
          <w:trHeight w:val="454"/>
          <w:jc w:val="center"/>
        </w:trPr>
        <w:tc>
          <w:tcPr>
            <w:tcW w:w="3230" w:type="dxa"/>
            <w:vAlign w:val="center"/>
          </w:tcPr>
          <w:p w14:paraId="66E6C84B" w14:textId="09139359" w:rsidR="008F16FC" w:rsidRPr="00BA304B" w:rsidRDefault="008F16FC" w:rsidP="00BA304B">
            <w:pPr>
              <w:spacing w:after="200" w:line="276" w:lineRule="auto"/>
              <w:rPr>
                <w:rFonts w:eastAsia="Calibri"/>
                <w:sz w:val="18"/>
                <w:lang w:val="es-AR"/>
              </w:rPr>
            </w:pPr>
            <w:r w:rsidRPr="00BA304B">
              <w:rPr>
                <w:rFonts w:eastAsia="Calibri"/>
                <w:sz w:val="18"/>
                <w:lang w:val="es-AR"/>
              </w:rPr>
              <w:t xml:space="preserve">BICE EN USD PREFI EXPO </w:t>
            </w:r>
            <w:r w:rsidRPr="00727BCF">
              <w:rPr>
                <w:rFonts w:eastAsia="Calibri"/>
                <w:sz w:val="18"/>
                <w:szCs w:val="18"/>
                <w:lang w:val="es-AR"/>
              </w:rPr>
              <w:t>17250</w:t>
            </w:r>
          </w:p>
        </w:tc>
        <w:tc>
          <w:tcPr>
            <w:tcW w:w="2013" w:type="dxa"/>
            <w:vAlign w:val="center"/>
          </w:tcPr>
          <w:p w14:paraId="3E9ED830" w14:textId="77777777"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USD 2.000.000.-</w:t>
            </w:r>
          </w:p>
        </w:tc>
        <w:tc>
          <w:tcPr>
            <w:tcW w:w="1714" w:type="dxa"/>
            <w:vAlign w:val="center"/>
          </w:tcPr>
          <w:p w14:paraId="6ED87556" w14:textId="4F08736E"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6</w:t>
            </w:r>
            <w:r w:rsidRPr="00727BCF">
              <w:rPr>
                <w:rFonts w:eastAsia="Calibri"/>
                <w:sz w:val="18"/>
                <w:szCs w:val="18"/>
                <w:lang w:val="es-AR"/>
              </w:rPr>
              <w:t>,</w:t>
            </w:r>
            <w:r w:rsidRPr="00BA304B">
              <w:rPr>
                <w:rFonts w:eastAsia="Calibri"/>
                <w:sz w:val="18"/>
                <w:lang w:val="es-AR"/>
              </w:rPr>
              <w:t>25</w:t>
            </w:r>
          </w:p>
        </w:tc>
        <w:tc>
          <w:tcPr>
            <w:tcW w:w="1262" w:type="dxa"/>
            <w:vAlign w:val="center"/>
          </w:tcPr>
          <w:p w14:paraId="011A6486" w14:textId="12412259"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31-12</w:t>
            </w:r>
            <w:r w:rsidRPr="00BA304B">
              <w:rPr>
                <w:rFonts w:eastAsia="Calibri"/>
                <w:sz w:val="18"/>
                <w:lang w:val="es-AR"/>
              </w:rPr>
              <w:t>-2019</w:t>
            </w:r>
          </w:p>
        </w:tc>
      </w:tr>
      <w:tr w:rsidR="008F16FC" w:rsidRPr="00BC69AA" w14:paraId="373A76C2" w14:textId="77777777" w:rsidTr="00BA304B">
        <w:trPr>
          <w:trHeight w:val="454"/>
          <w:jc w:val="center"/>
        </w:trPr>
        <w:tc>
          <w:tcPr>
            <w:tcW w:w="3230" w:type="dxa"/>
            <w:vAlign w:val="center"/>
          </w:tcPr>
          <w:p w14:paraId="4909FE46" w14:textId="67CF6C93" w:rsidR="008F16FC" w:rsidRPr="00BA304B" w:rsidRDefault="008F16FC" w:rsidP="00BA304B">
            <w:pPr>
              <w:spacing w:after="200" w:line="276" w:lineRule="auto"/>
              <w:rPr>
                <w:rFonts w:eastAsia="Calibri"/>
                <w:sz w:val="18"/>
                <w:lang w:val="es-AR"/>
              </w:rPr>
            </w:pPr>
            <w:r w:rsidRPr="00BA304B">
              <w:rPr>
                <w:rFonts w:eastAsia="Calibri"/>
                <w:sz w:val="18"/>
                <w:lang w:val="es-AR"/>
              </w:rPr>
              <w:t xml:space="preserve">BICE EN USD PREFI EXPO </w:t>
            </w:r>
            <w:r w:rsidRPr="00727BCF">
              <w:rPr>
                <w:rFonts w:eastAsia="Calibri"/>
                <w:sz w:val="18"/>
                <w:szCs w:val="18"/>
                <w:lang w:val="es-AR"/>
              </w:rPr>
              <w:t>17322</w:t>
            </w:r>
          </w:p>
        </w:tc>
        <w:tc>
          <w:tcPr>
            <w:tcW w:w="2013" w:type="dxa"/>
            <w:vAlign w:val="center"/>
          </w:tcPr>
          <w:p w14:paraId="1F6C9D92" w14:textId="1B851EBE"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 xml:space="preserve">USD </w:t>
            </w:r>
            <w:r w:rsidRPr="00727BCF">
              <w:rPr>
                <w:rFonts w:eastAsia="Calibri"/>
                <w:sz w:val="18"/>
                <w:szCs w:val="18"/>
                <w:lang w:val="es-AR"/>
              </w:rPr>
              <w:t>2</w:t>
            </w:r>
            <w:r w:rsidRPr="00BA304B">
              <w:rPr>
                <w:rFonts w:eastAsia="Calibri"/>
                <w:sz w:val="18"/>
                <w:lang w:val="es-AR"/>
              </w:rPr>
              <w:t>.000.000.-</w:t>
            </w:r>
          </w:p>
        </w:tc>
        <w:tc>
          <w:tcPr>
            <w:tcW w:w="1714" w:type="dxa"/>
            <w:vAlign w:val="center"/>
          </w:tcPr>
          <w:p w14:paraId="24E5B139" w14:textId="5CF9229B"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6</w:t>
            </w:r>
            <w:r w:rsidRPr="00727BCF">
              <w:rPr>
                <w:rFonts w:eastAsia="Calibri"/>
                <w:sz w:val="18"/>
                <w:szCs w:val="18"/>
                <w:lang w:val="es-AR"/>
              </w:rPr>
              <w:t>,</w:t>
            </w:r>
            <w:r w:rsidRPr="00BA304B">
              <w:rPr>
                <w:rFonts w:eastAsia="Calibri"/>
                <w:sz w:val="18"/>
                <w:lang w:val="es-AR"/>
              </w:rPr>
              <w:t>25</w:t>
            </w:r>
          </w:p>
        </w:tc>
        <w:tc>
          <w:tcPr>
            <w:tcW w:w="1262" w:type="dxa"/>
            <w:vAlign w:val="center"/>
          </w:tcPr>
          <w:p w14:paraId="1ACCA09D" w14:textId="5CB18E5E"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22-01-2020</w:t>
            </w:r>
          </w:p>
        </w:tc>
      </w:tr>
      <w:tr w:rsidR="008F16FC" w:rsidRPr="00BC69AA" w14:paraId="3F7C7C03" w14:textId="77777777" w:rsidTr="00BA304B">
        <w:trPr>
          <w:trHeight w:val="454"/>
          <w:jc w:val="center"/>
        </w:trPr>
        <w:tc>
          <w:tcPr>
            <w:tcW w:w="3230" w:type="dxa"/>
            <w:vAlign w:val="center"/>
          </w:tcPr>
          <w:p w14:paraId="58EAD481" w14:textId="22AF81DE" w:rsidR="008F16FC" w:rsidRPr="00BA304B" w:rsidRDefault="008F16FC" w:rsidP="00BA304B">
            <w:pPr>
              <w:spacing w:after="200" w:line="276" w:lineRule="auto"/>
              <w:rPr>
                <w:rFonts w:eastAsia="Calibri"/>
                <w:sz w:val="18"/>
                <w:lang w:val="es-AR"/>
              </w:rPr>
            </w:pPr>
            <w:r w:rsidRPr="00BA304B">
              <w:rPr>
                <w:rFonts w:eastAsia="Calibri"/>
                <w:sz w:val="18"/>
                <w:lang w:val="es-AR"/>
              </w:rPr>
              <w:t xml:space="preserve">BICE EN USD PREFI EXPO </w:t>
            </w:r>
            <w:r w:rsidRPr="00727BCF">
              <w:rPr>
                <w:rFonts w:eastAsia="Calibri"/>
                <w:sz w:val="18"/>
                <w:szCs w:val="18"/>
                <w:lang w:val="es-AR"/>
              </w:rPr>
              <w:t>17562</w:t>
            </w:r>
          </w:p>
        </w:tc>
        <w:tc>
          <w:tcPr>
            <w:tcW w:w="2013" w:type="dxa"/>
            <w:vAlign w:val="center"/>
          </w:tcPr>
          <w:p w14:paraId="43E74582" w14:textId="77777777"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USD 2.000.000.-</w:t>
            </w:r>
          </w:p>
        </w:tc>
        <w:tc>
          <w:tcPr>
            <w:tcW w:w="1714" w:type="dxa"/>
            <w:vAlign w:val="center"/>
          </w:tcPr>
          <w:p w14:paraId="1A62749B" w14:textId="4215F3B2"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15,00</w:t>
            </w:r>
          </w:p>
        </w:tc>
        <w:tc>
          <w:tcPr>
            <w:tcW w:w="1262" w:type="dxa"/>
            <w:vAlign w:val="center"/>
          </w:tcPr>
          <w:p w14:paraId="4E2012C2" w14:textId="5F32C988"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22-04-2020</w:t>
            </w:r>
          </w:p>
        </w:tc>
      </w:tr>
      <w:tr w:rsidR="008F16FC" w:rsidRPr="00BC69AA" w14:paraId="04E2D6E3" w14:textId="77777777" w:rsidTr="00BA304B">
        <w:trPr>
          <w:trHeight w:val="454"/>
          <w:jc w:val="center"/>
        </w:trPr>
        <w:tc>
          <w:tcPr>
            <w:tcW w:w="3230" w:type="dxa"/>
            <w:vAlign w:val="center"/>
          </w:tcPr>
          <w:p w14:paraId="25AE4945" w14:textId="3A6A4664" w:rsidR="008F16FC" w:rsidRPr="00BA304B" w:rsidRDefault="008F16FC" w:rsidP="00BA304B">
            <w:pPr>
              <w:spacing w:after="200" w:line="276" w:lineRule="auto"/>
              <w:rPr>
                <w:rFonts w:eastAsia="Calibri"/>
                <w:sz w:val="18"/>
                <w:lang w:val="es-AR"/>
              </w:rPr>
            </w:pPr>
            <w:r w:rsidRPr="00BA304B">
              <w:rPr>
                <w:rFonts w:eastAsia="Calibri"/>
                <w:sz w:val="18"/>
                <w:lang w:val="es-AR"/>
              </w:rPr>
              <w:t xml:space="preserve">BICE EN USD PREFI EXPO </w:t>
            </w:r>
            <w:r w:rsidRPr="00727BCF">
              <w:rPr>
                <w:rFonts w:eastAsia="Calibri"/>
                <w:sz w:val="18"/>
                <w:szCs w:val="18"/>
                <w:lang w:val="es-AR"/>
              </w:rPr>
              <w:t>17573</w:t>
            </w:r>
          </w:p>
        </w:tc>
        <w:tc>
          <w:tcPr>
            <w:tcW w:w="2013" w:type="dxa"/>
            <w:vAlign w:val="center"/>
          </w:tcPr>
          <w:p w14:paraId="2A3DAF2A" w14:textId="1A1B37F5"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 xml:space="preserve">USD </w:t>
            </w:r>
            <w:r w:rsidRPr="00727BCF">
              <w:rPr>
                <w:rFonts w:eastAsia="Calibri"/>
                <w:sz w:val="18"/>
                <w:szCs w:val="18"/>
                <w:lang w:val="es-AR"/>
              </w:rPr>
              <w:t>1</w:t>
            </w:r>
            <w:r w:rsidRPr="00BA304B">
              <w:rPr>
                <w:rFonts w:eastAsia="Calibri"/>
                <w:sz w:val="18"/>
                <w:lang w:val="es-AR"/>
              </w:rPr>
              <w:t>.000.000.-</w:t>
            </w:r>
          </w:p>
        </w:tc>
        <w:tc>
          <w:tcPr>
            <w:tcW w:w="1714" w:type="dxa"/>
            <w:vAlign w:val="center"/>
          </w:tcPr>
          <w:p w14:paraId="1B75A298" w14:textId="213E6C60"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15,00</w:t>
            </w:r>
          </w:p>
        </w:tc>
        <w:tc>
          <w:tcPr>
            <w:tcW w:w="1262" w:type="dxa"/>
            <w:vAlign w:val="center"/>
          </w:tcPr>
          <w:p w14:paraId="0AEB6DE0" w14:textId="72D06574"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28-04</w:t>
            </w:r>
            <w:r w:rsidRPr="00BA304B">
              <w:rPr>
                <w:rFonts w:eastAsia="Calibri"/>
                <w:sz w:val="18"/>
                <w:lang w:val="es-AR"/>
              </w:rPr>
              <w:t>-2020</w:t>
            </w:r>
          </w:p>
        </w:tc>
      </w:tr>
      <w:tr w:rsidR="008F16FC" w:rsidRPr="00BC69AA" w14:paraId="55552186" w14:textId="77777777" w:rsidTr="00BA304B">
        <w:trPr>
          <w:trHeight w:val="454"/>
          <w:jc w:val="center"/>
        </w:trPr>
        <w:tc>
          <w:tcPr>
            <w:tcW w:w="3230" w:type="dxa"/>
            <w:vAlign w:val="center"/>
          </w:tcPr>
          <w:p w14:paraId="0D5A71E6" w14:textId="3FD11764" w:rsidR="008F16FC" w:rsidRPr="00BA304B" w:rsidRDefault="008F16FC" w:rsidP="00BA304B">
            <w:pPr>
              <w:spacing w:after="200" w:line="276" w:lineRule="auto"/>
              <w:rPr>
                <w:rFonts w:eastAsia="Calibri"/>
                <w:sz w:val="18"/>
                <w:lang w:val="es-AR"/>
              </w:rPr>
            </w:pPr>
            <w:r w:rsidRPr="00BA304B">
              <w:rPr>
                <w:rFonts w:eastAsia="Calibri"/>
                <w:sz w:val="18"/>
                <w:lang w:val="es-AR"/>
              </w:rPr>
              <w:t xml:space="preserve">BANCO GALICIA </w:t>
            </w:r>
          </w:p>
        </w:tc>
        <w:tc>
          <w:tcPr>
            <w:tcW w:w="2013" w:type="dxa"/>
            <w:vAlign w:val="center"/>
          </w:tcPr>
          <w:p w14:paraId="61D03734" w14:textId="77777777"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USD 2.000.000.-</w:t>
            </w:r>
          </w:p>
        </w:tc>
        <w:tc>
          <w:tcPr>
            <w:tcW w:w="1714" w:type="dxa"/>
            <w:vAlign w:val="center"/>
          </w:tcPr>
          <w:p w14:paraId="0BE2BE01" w14:textId="537B21BB"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7,35</w:t>
            </w:r>
          </w:p>
        </w:tc>
        <w:tc>
          <w:tcPr>
            <w:tcW w:w="1262" w:type="dxa"/>
            <w:vAlign w:val="center"/>
          </w:tcPr>
          <w:p w14:paraId="149FE65C" w14:textId="35C9EAEF"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28-02</w:t>
            </w:r>
            <w:r w:rsidRPr="00BA304B">
              <w:rPr>
                <w:rFonts w:eastAsia="Calibri"/>
                <w:sz w:val="18"/>
                <w:lang w:val="es-AR"/>
              </w:rPr>
              <w:t>-2019</w:t>
            </w:r>
          </w:p>
        </w:tc>
      </w:tr>
      <w:tr w:rsidR="008F16FC" w:rsidRPr="00BC69AA" w14:paraId="080EE1AF" w14:textId="77777777" w:rsidTr="00BA304B">
        <w:trPr>
          <w:trHeight w:val="454"/>
          <w:jc w:val="center"/>
        </w:trPr>
        <w:tc>
          <w:tcPr>
            <w:tcW w:w="3230" w:type="dxa"/>
            <w:vAlign w:val="center"/>
          </w:tcPr>
          <w:p w14:paraId="3DF4042C" w14:textId="77777777" w:rsidR="008F16FC" w:rsidRPr="00BA304B" w:rsidRDefault="008F16FC" w:rsidP="00BA304B">
            <w:pPr>
              <w:spacing w:after="200" w:line="276" w:lineRule="auto"/>
              <w:rPr>
                <w:rFonts w:eastAsia="Calibri"/>
                <w:sz w:val="18"/>
                <w:lang w:val="es-AR"/>
              </w:rPr>
            </w:pPr>
            <w:r w:rsidRPr="00BA304B">
              <w:rPr>
                <w:rFonts w:eastAsia="Calibri"/>
                <w:sz w:val="18"/>
                <w:lang w:val="es-AR"/>
              </w:rPr>
              <w:t>HSBC BANK</w:t>
            </w:r>
          </w:p>
        </w:tc>
        <w:tc>
          <w:tcPr>
            <w:tcW w:w="2013" w:type="dxa"/>
            <w:vAlign w:val="center"/>
          </w:tcPr>
          <w:p w14:paraId="5550D470" w14:textId="1E46B129"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 xml:space="preserve">$ </w:t>
            </w:r>
            <w:r w:rsidRPr="00727BCF">
              <w:rPr>
                <w:rFonts w:eastAsia="Calibri"/>
                <w:sz w:val="18"/>
                <w:szCs w:val="18"/>
                <w:lang w:val="es-AR"/>
              </w:rPr>
              <w:t>57</w:t>
            </w:r>
            <w:r w:rsidRPr="00BA304B">
              <w:rPr>
                <w:rFonts w:eastAsia="Calibri"/>
                <w:sz w:val="18"/>
                <w:lang w:val="es-AR"/>
              </w:rPr>
              <w:t>.000.000.-</w:t>
            </w:r>
          </w:p>
        </w:tc>
        <w:tc>
          <w:tcPr>
            <w:tcW w:w="1714" w:type="dxa"/>
            <w:vAlign w:val="center"/>
          </w:tcPr>
          <w:p w14:paraId="18F2BF55" w14:textId="19073FAC"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Fija 21,</w:t>
            </w:r>
            <w:r w:rsidRPr="00727BCF">
              <w:rPr>
                <w:rFonts w:eastAsia="Calibri"/>
                <w:sz w:val="18"/>
                <w:szCs w:val="18"/>
                <w:lang w:val="es-AR"/>
              </w:rPr>
              <w:t>5</w:t>
            </w:r>
          </w:p>
        </w:tc>
        <w:tc>
          <w:tcPr>
            <w:tcW w:w="1262" w:type="dxa"/>
            <w:vAlign w:val="center"/>
          </w:tcPr>
          <w:p w14:paraId="33A2CFE9" w14:textId="77777777"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20-07-2020</w:t>
            </w:r>
          </w:p>
        </w:tc>
      </w:tr>
      <w:tr w:rsidR="008F16FC" w:rsidRPr="00BC69AA" w14:paraId="3702F4E6" w14:textId="77777777" w:rsidTr="00BA304B">
        <w:trPr>
          <w:trHeight w:val="454"/>
          <w:jc w:val="center"/>
        </w:trPr>
        <w:tc>
          <w:tcPr>
            <w:tcW w:w="3230" w:type="dxa"/>
            <w:vAlign w:val="center"/>
          </w:tcPr>
          <w:p w14:paraId="3DF4A75A" w14:textId="77777777" w:rsidR="008F16FC" w:rsidRPr="00BA304B" w:rsidRDefault="008F16FC" w:rsidP="00BA304B">
            <w:pPr>
              <w:spacing w:after="200" w:line="276" w:lineRule="auto"/>
              <w:rPr>
                <w:rFonts w:eastAsia="Calibri"/>
                <w:sz w:val="18"/>
                <w:lang w:val="es-AR"/>
              </w:rPr>
            </w:pPr>
            <w:r w:rsidRPr="00BA304B">
              <w:rPr>
                <w:rFonts w:eastAsia="Calibri"/>
                <w:sz w:val="18"/>
                <w:lang w:val="es-AR"/>
              </w:rPr>
              <w:t>BANCO DE LA PAMPA</w:t>
            </w:r>
          </w:p>
        </w:tc>
        <w:tc>
          <w:tcPr>
            <w:tcW w:w="2013" w:type="dxa"/>
            <w:vAlign w:val="center"/>
          </w:tcPr>
          <w:p w14:paraId="6DC50B0C" w14:textId="462271CA"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 xml:space="preserve">$ </w:t>
            </w:r>
            <w:r w:rsidRPr="00727BCF">
              <w:rPr>
                <w:rFonts w:eastAsia="Calibri"/>
                <w:sz w:val="18"/>
                <w:szCs w:val="18"/>
                <w:lang w:val="es-AR"/>
              </w:rPr>
              <w:t>1.047.474</w:t>
            </w:r>
            <w:r w:rsidRPr="00BA304B">
              <w:rPr>
                <w:rFonts w:eastAsia="Calibri"/>
                <w:sz w:val="18"/>
                <w:lang w:val="es-AR"/>
              </w:rPr>
              <w:t>.-</w:t>
            </w:r>
          </w:p>
        </w:tc>
        <w:tc>
          <w:tcPr>
            <w:tcW w:w="1714" w:type="dxa"/>
            <w:vAlign w:val="center"/>
          </w:tcPr>
          <w:p w14:paraId="3B45C605" w14:textId="77777777"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Fija 29,00</w:t>
            </w:r>
          </w:p>
        </w:tc>
        <w:tc>
          <w:tcPr>
            <w:tcW w:w="1262" w:type="dxa"/>
            <w:vAlign w:val="center"/>
          </w:tcPr>
          <w:p w14:paraId="7ECA6EA0" w14:textId="77777777"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24-12-2019</w:t>
            </w:r>
          </w:p>
        </w:tc>
      </w:tr>
      <w:tr w:rsidR="008F16FC" w:rsidRPr="00BC69AA" w14:paraId="610AF3EF" w14:textId="77777777" w:rsidTr="00BA304B">
        <w:trPr>
          <w:trHeight w:val="454"/>
          <w:jc w:val="center"/>
        </w:trPr>
        <w:tc>
          <w:tcPr>
            <w:tcW w:w="3230" w:type="dxa"/>
            <w:vAlign w:val="center"/>
          </w:tcPr>
          <w:p w14:paraId="0779F04D" w14:textId="6DD66656" w:rsidR="008F16FC" w:rsidRPr="00BA304B" w:rsidRDefault="008F16FC" w:rsidP="00BA304B">
            <w:pPr>
              <w:spacing w:after="200" w:line="276" w:lineRule="auto"/>
              <w:rPr>
                <w:rFonts w:eastAsia="Calibri"/>
                <w:sz w:val="18"/>
                <w:lang w:val="es-AR"/>
              </w:rPr>
            </w:pPr>
            <w:r w:rsidRPr="00BA304B">
              <w:rPr>
                <w:rFonts w:eastAsia="Calibri"/>
                <w:sz w:val="18"/>
                <w:lang w:val="es-AR"/>
              </w:rPr>
              <w:t>Oblig. Negociables CIII Serie I</w:t>
            </w:r>
          </w:p>
        </w:tc>
        <w:tc>
          <w:tcPr>
            <w:tcW w:w="2013" w:type="dxa"/>
            <w:vAlign w:val="center"/>
          </w:tcPr>
          <w:p w14:paraId="6C047E28" w14:textId="32743716"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 xml:space="preserve">$ </w:t>
            </w:r>
            <w:r w:rsidRPr="00727BCF">
              <w:rPr>
                <w:rFonts w:eastAsia="Calibri"/>
                <w:sz w:val="18"/>
                <w:szCs w:val="18"/>
                <w:lang w:val="es-AR"/>
              </w:rPr>
              <w:t>50</w:t>
            </w:r>
            <w:r w:rsidRPr="00BA304B">
              <w:rPr>
                <w:rFonts w:eastAsia="Calibri"/>
                <w:sz w:val="18"/>
                <w:lang w:val="es-AR"/>
              </w:rPr>
              <w:t>.000.000.-</w:t>
            </w:r>
          </w:p>
        </w:tc>
        <w:tc>
          <w:tcPr>
            <w:tcW w:w="1714" w:type="dxa"/>
            <w:vAlign w:val="center"/>
          </w:tcPr>
          <w:p w14:paraId="0368A99D" w14:textId="77777777"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Badlar promedio</w:t>
            </w:r>
          </w:p>
        </w:tc>
        <w:tc>
          <w:tcPr>
            <w:tcW w:w="1262" w:type="dxa"/>
            <w:vAlign w:val="center"/>
          </w:tcPr>
          <w:p w14:paraId="613FA0DC" w14:textId="77777777" w:rsidR="008F16FC" w:rsidRPr="00BA304B" w:rsidRDefault="008F16FC" w:rsidP="00BA304B">
            <w:pPr>
              <w:spacing w:after="200" w:line="276" w:lineRule="auto"/>
              <w:jc w:val="center"/>
              <w:rPr>
                <w:rFonts w:eastAsia="Calibri"/>
                <w:sz w:val="18"/>
                <w:lang w:val="es-AR"/>
              </w:rPr>
            </w:pPr>
            <w:r w:rsidRPr="00BA304B">
              <w:rPr>
                <w:rFonts w:eastAsia="Calibri"/>
                <w:sz w:val="18"/>
                <w:lang w:val="es-AR"/>
              </w:rPr>
              <w:t>20-10-2020</w:t>
            </w:r>
          </w:p>
        </w:tc>
      </w:tr>
      <w:tr w:rsidR="008F16FC" w:rsidRPr="00BC69AA" w14:paraId="23B5629A" w14:textId="77777777" w:rsidTr="00BA304B">
        <w:trPr>
          <w:trHeight w:val="454"/>
          <w:jc w:val="center"/>
        </w:trPr>
        <w:tc>
          <w:tcPr>
            <w:tcW w:w="3230" w:type="dxa"/>
            <w:vAlign w:val="center"/>
          </w:tcPr>
          <w:p w14:paraId="7C3CF3C2" w14:textId="2F7225A1" w:rsidR="008F16FC" w:rsidRPr="00BA304B" w:rsidRDefault="008F16FC" w:rsidP="00BA304B">
            <w:pPr>
              <w:spacing w:after="200" w:line="276" w:lineRule="auto"/>
              <w:rPr>
                <w:rFonts w:eastAsia="Calibri"/>
                <w:sz w:val="18"/>
                <w:lang w:val="es-AR"/>
              </w:rPr>
            </w:pPr>
            <w:r w:rsidRPr="00BA304B">
              <w:rPr>
                <w:rFonts w:eastAsia="Calibri"/>
                <w:sz w:val="18"/>
                <w:lang w:val="es-AR"/>
              </w:rPr>
              <w:t xml:space="preserve">Oblig. Negociables </w:t>
            </w:r>
            <w:r w:rsidRPr="00727BCF">
              <w:rPr>
                <w:rFonts w:eastAsia="Calibri"/>
                <w:sz w:val="18"/>
                <w:szCs w:val="18"/>
                <w:lang w:val="es-AR"/>
              </w:rPr>
              <w:t>Corporativas</w:t>
            </w:r>
          </w:p>
        </w:tc>
        <w:tc>
          <w:tcPr>
            <w:tcW w:w="2013" w:type="dxa"/>
            <w:vAlign w:val="center"/>
          </w:tcPr>
          <w:p w14:paraId="496054CF" w14:textId="77777777" w:rsidR="008F16FC" w:rsidRPr="00BA304B" w:rsidRDefault="008F16FC" w:rsidP="00BA304B">
            <w:pPr>
              <w:spacing w:after="200" w:line="276" w:lineRule="auto"/>
              <w:jc w:val="right"/>
              <w:rPr>
                <w:rFonts w:eastAsia="Calibri"/>
                <w:sz w:val="18"/>
                <w:lang w:val="es-AR"/>
              </w:rPr>
            </w:pPr>
            <w:r w:rsidRPr="00BA304B">
              <w:rPr>
                <w:rFonts w:eastAsia="Calibri"/>
                <w:sz w:val="18"/>
                <w:lang w:val="es-AR"/>
              </w:rPr>
              <w:t>$ 500.000.000.-</w:t>
            </w:r>
          </w:p>
        </w:tc>
        <w:tc>
          <w:tcPr>
            <w:tcW w:w="1714" w:type="dxa"/>
            <w:vAlign w:val="center"/>
          </w:tcPr>
          <w:p w14:paraId="0FA26271" w14:textId="491A54C6"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Variable</w:t>
            </w:r>
          </w:p>
        </w:tc>
        <w:tc>
          <w:tcPr>
            <w:tcW w:w="1262" w:type="dxa"/>
            <w:vAlign w:val="center"/>
          </w:tcPr>
          <w:p w14:paraId="63A74956" w14:textId="4BB154BD" w:rsidR="008F16FC" w:rsidRPr="00BA304B" w:rsidRDefault="008F16FC" w:rsidP="00BA304B">
            <w:pPr>
              <w:spacing w:after="200" w:line="276" w:lineRule="auto"/>
              <w:jc w:val="center"/>
              <w:rPr>
                <w:rFonts w:eastAsia="Calibri"/>
                <w:sz w:val="18"/>
                <w:lang w:val="es-AR"/>
              </w:rPr>
            </w:pPr>
            <w:r w:rsidRPr="00727BCF">
              <w:rPr>
                <w:rFonts w:eastAsia="Calibri"/>
                <w:sz w:val="18"/>
                <w:szCs w:val="18"/>
                <w:lang w:val="es-AR"/>
              </w:rPr>
              <w:t>31-07</w:t>
            </w:r>
            <w:r w:rsidRPr="00BA304B">
              <w:rPr>
                <w:rFonts w:eastAsia="Calibri"/>
                <w:sz w:val="18"/>
                <w:lang w:val="es-AR"/>
              </w:rPr>
              <w:t>-2023</w:t>
            </w:r>
          </w:p>
        </w:tc>
      </w:tr>
    </w:tbl>
    <w:p w14:paraId="0094792D" w14:textId="77777777" w:rsidR="008F16FC" w:rsidRPr="008F16FC" w:rsidRDefault="008F16FC" w:rsidP="008F16FC">
      <w:pPr>
        <w:rPr>
          <w:rFonts w:eastAsia="Calibri"/>
          <w:sz w:val="20"/>
          <w:szCs w:val="20"/>
          <w:lang w:val="es-ES" w:eastAsia="es-ES"/>
        </w:rPr>
      </w:pPr>
    </w:p>
    <w:p w14:paraId="2F06E603" w14:textId="77777777" w:rsidR="008F16FC" w:rsidRPr="008F16FC" w:rsidRDefault="008F16FC" w:rsidP="008F16FC">
      <w:pPr>
        <w:widowControl w:val="0"/>
        <w:jc w:val="both"/>
        <w:rPr>
          <w:rFonts w:eastAsia="Calibri"/>
          <w:sz w:val="20"/>
          <w:szCs w:val="20"/>
          <w:lang w:val="es-ES"/>
        </w:rPr>
      </w:pPr>
      <w:r w:rsidRPr="008F16FC">
        <w:rPr>
          <w:rFonts w:eastAsia="Calibri"/>
          <w:b/>
          <w:bCs/>
          <w:i/>
          <w:iCs/>
          <w:sz w:val="20"/>
          <w:szCs w:val="20"/>
          <w:lang w:val="es-ES"/>
        </w:rPr>
        <w:t>Información sobre tendencias</w:t>
      </w:r>
    </w:p>
    <w:p w14:paraId="36B2DE74" w14:textId="77777777" w:rsidR="008F16FC" w:rsidRPr="008F16FC" w:rsidRDefault="008F16FC" w:rsidP="008F16FC">
      <w:pPr>
        <w:widowControl w:val="0"/>
        <w:jc w:val="both"/>
        <w:rPr>
          <w:rFonts w:eastAsia="Calibri"/>
          <w:sz w:val="20"/>
          <w:szCs w:val="20"/>
          <w:lang w:val="es-MX"/>
        </w:rPr>
      </w:pPr>
    </w:p>
    <w:p w14:paraId="070CC80F" w14:textId="77777777" w:rsidR="008F16FC" w:rsidRPr="008F16FC" w:rsidRDefault="008F16FC" w:rsidP="008F16FC">
      <w:pPr>
        <w:widowControl w:val="0"/>
        <w:jc w:val="both"/>
        <w:rPr>
          <w:sz w:val="20"/>
          <w:lang w:val="es-ES"/>
        </w:rPr>
      </w:pPr>
      <w:r w:rsidRPr="008F16FC">
        <w:rPr>
          <w:sz w:val="20"/>
          <w:lang w:val="es-ES"/>
        </w:rPr>
        <w:t>La Gerencia de Negocios Nucleares continúa activamente con las iniciativas de negociaciones de nuevos proyectos en la Argentina y en otros países. Asimismo, dedica tiempo y esfuerzo al desarrollo de nuevas tecnologías que marcan tendencia en el mercado nuclear.</w:t>
      </w:r>
    </w:p>
    <w:p w14:paraId="1063989B" w14:textId="77777777" w:rsidR="008F16FC" w:rsidRPr="008F16FC" w:rsidRDefault="008F16FC" w:rsidP="008F16FC">
      <w:pPr>
        <w:widowControl w:val="0"/>
        <w:jc w:val="both"/>
        <w:rPr>
          <w:sz w:val="20"/>
          <w:lang w:val="es-ES"/>
        </w:rPr>
      </w:pPr>
      <w:r w:rsidRPr="008F16FC">
        <w:rPr>
          <w:sz w:val="20"/>
          <w:lang w:val="es-ES"/>
        </w:rPr>
        <w:t>La Gerencia de Negocios Espaciales apunta a desarrollar tecnología para satélites de nueva generación, para los cuales se están realizando importantes esfuerzos de comercialización.</w:t>
      </w:r>
    </w:p>
    <w:p w14:paraId="04266F28" w14:textId="77777777" w:rsidR="005B7266" w:rsidRDefault="005B7266" w:rsidP="008F16FC">
      <w:pPr>
        <w:widowControl w:val="0"/>
        <w:jc w:val="both"/>
        <w:rPr>
          <w:sz w:val="20"/>
          <w:lang w:val="es-ES"/>
        </w:rPr>
      </w:pPr>
    </w:p>
    <w:p w14:paraId="57E22BC7" w14:textId="2271D5DE" w:rsidR="008F16FC" w:rsidRPr="008F16FC" w:rsidRDefault="008F16FC" w:rsidP="008F16FC">
      <w:pPr>
        <w:widowControl w:val="0"/>
        <w:jc w:val="both"/>
        <w:rPr>
          <w:sz w:val="20"/>
          <w:lang w:val="es-ES"/>
        </w:rPr>
      </w:pPr>
      <w:r w:rsidRPr="008F16FC">
        <w:rPr>
          <w:sz w:val="20"/>
          <w:lang w:val="es-ES"/>
        </w:rPr>
        <w:t>La Gerencia de Negocios de Gobierno ha identificado un crecimiento de la demanda de radares y soluciones de sensado remoto por la necesidad de incrementar capacidades para protección de recursos naturales, fronteras, marítima, aeronavegación, meteorología, entre otros. Se encuentra trabajando en desarrollar relaciones comerciales y técnicas con distintas empresas y organismos en Argentina y en otros países.</w:t>
      </w:r>
    </w:p>
    <w:p w14:paraId="2B7AC2DB" w14:textId="77777777" w:rsidR="005B7266" w:rsidRDefault="005B7266" w:rsidP="008F16FC">
      <w:pPr>
        <w:widowControl w:val="0"/>
        <w:jc w:val="both"/>
        <w:rPr>
          <w:sz w:val="20"/>
          <w:lang w:val="es-ES"/>
        </w:rPr>
      </w:pPr>
    </w:p>
    <w:p w14:paraId="1AB65759" w14:textId="51830C46" w:rsidR="008F16FC" w:rsidRPr="008F16FC" w:rsidRDefault="008F16FC" w:rsidP="008F16FC">
      <w:pPr>
        <w:widowControl w:val="0"/>
        <w:jc w:val="both"/>
        <w:rPr>
          <w:sz w:val="20"/>
          <w:lang w:val="es-ES"/>
        </w:rPr>
      </w:pPr>
      <w:r w:rsidRPr="008F16FC">
        <w:rPr>
          <w:sz w:val="20"/>
          <w:lang w:val="es-ES"/>
        </w:rPr>
        <w:t>Se espera seguir expandiendo la provisión de centros de Medicina Nuclear y Radioterapia en las distintas localizaciones dentro de Argentina y a nivel internacional.</w:t>
      </w:r>
    </w:p>
    <w:p w14:paraId="4236484F" w14:textId="77777777" w:rsidR="005B7266" w:rsidRDefault="005B7266" w:rsidP="008F16FC">
      <w:pPr>
        <w:widowControl w:val="0"/>
        <w:jc w:val="both"/>
        <w:rPr>
          <w:sz w:val="20"/>
          <w:lang w:val="es-ES"/>
        </w:rPr>
      </w:pPr>
    </w:p>
    <w:p w14:paraId="6041B3F1" w14:textId="1F9214D7" w:rsidR="008F16FC" w:rsidRPr="00BA304B" w:rsidRDefault="008F16FC" w:rsidP="008F16FC">
      <w:pPr>
        <w:widowControl w:val="0"/>
        <w:jc w:val="both"/>
        <w:rPr>
          <w:rFonts w:eastAsia="Calibri"/>
          <w:sz w:val="22"/>
          <w:lang w:val="es-MX"/>
        </w:rPr>
      </w:pPr>
      <w:r w:rsidRPr="008F16FC">
        <w:rPr>
          <w:sz w:val="20"/>
          <w:lang w:val="es-ES"/>
        </w:rPr>
        <w:t xml:space="preserve">El EBITDA y el apalancamiento financiero vienen mejorando especialmente por la cartera de contratos vigente con fuerte componente exportadora, aunque subsiste un impacto económico-financiero proveniente de la ampliación en los plazos de certificación, facturación y cobro de los trabajos, derivada de las condiciones presupuestarias de los clientes y los extensos tiempos administrativos para la aprobación de las redeterminaciones de precios. </w:t>
      </w:r>
    </w:p>
    <w:p w14:paraId="4463E608" w14:textId="77777777" w:rsidR="0015704E" w:rsidRPr="007213A1" w:rsidRDefault="0015704E" w:rsidP="0015704E">
      <w:pPr>
        <w:widowControl w:val="0"/>
        <w:jc w:val="both"/>
        <w:rPr>
          <w:rFonts w:eastAsia="Calibri"/>
          <w:sz w:val="20"/>
          <w:szCs w:val="20"/>
          <w:lang w:val="es-MX"/>
        </w:rPr>
      </w:pPr>
    </w:p>
    <w:p w14:paraId="477C9ABF" w14:textId="77777777" w:rsidR="008A1437" w:rsidRPr="007213A1" w:rsidRDefault="008A1437">
      <w:pPr>
        <w:rPr>
          <w:b/>
          <w:sz w:val="20"/>
          <w:szCs w:val="20"/>
          <w:lang w:val="es-MX" w:eastAsia="es-ES"/>
        </w:rPr>
      </w:pPr>
      <w:r w:rsidRPr="007213A1">
        <w:rPr>
          <w:b/>
          <w:sz w:val="20"/>
          <w:szCs w:val="20"/>
          <w:lang w:val="es-MX" w:eastAsia="es-ES"/>
        </w:rPr>
        <w:br w:type="page"/>
      </w:r>
    </w:p>
    <w:p w14:paraId="12496310" w14:textId="5A238C86" w:rsidR="008A1437" w:rsidRPr="007213A1" w:rsidRDefault="008A1437" w:rsidP="008A1437">
      <w:pPr>
        <w:jc w:val="center"/>
        <w:rPr>
          <w:b/>
          <w:bCs/>
          <w:sz w:val="20"/>
          <w:szCs w:val="20"/>
          <w:lang w:val="es-ES" w:eastAsia="es-ES"/>
        </w:rPr>
      </w:pPr>
      <w:r w:rsidRPr="007213A1">
        <w:rPr>
          <w:b/>
          <w:bCs/>
          <w:sz w:val="20"/>
          <w:szCs w:val="20"/>
          <w:lang w:val="es-ES" w:eastAsia="es-ES"/>
        </w:rPr>
        <w:t>IX</w:t>
      </w:r>
      <w:r w:rsidR="00A227AF">
        <w:rPr>
          <w:b/>
          <w:bCs/>
          <w:sz w:val="20"/>
          <w:szCs w:val="20"/>
          <w:lang w:val="es-ES" w:eastAsia="es-ES"/>
        </w:rPr>
        <w:t>.</w:t>
      </w:r>
      <w:r w:rsidRPr="007213A1">
        <w:rPr>
          <w:b/>
          <w:bCs/>
          <w:sz w:val="20"/>
          <w:szCs w:val="20"/>
          <w:lang w:val="es-ES" w:eastAsia="es-ES"/>
        </w:rPr>
        <w:tab/>
        <w:t>DE LA OFERTA, LISTADO Y NEGOCIACIÓN DE LAS OBLIGACIONES NEGOCIABLES</w:t>
      </w:r>
    </w:p>
    <w:p w14:paraId="246A0FD7" w14:textId="77777777" w:rsidR="0015704E" w:rsidRPr="007213A1" w:rsidRDefault="0015704E" w:rsidP="0015704E">
      <w:pPr>
        <w:widowControl w:val="0"/>
        <w:suppressLineNumbers/>
        <w:suppressAutoHyphens/>
        <w:rPr>
          <w:b/>
          <w:sz w:val="20"/>
          <w:szCs w:val="20"/>
          <w:lang w:val="es-ES" w:eastAsia="es-ES"/>
        </w:rPr>
      </w:pPr>
    </w:p>
    <w:p w14:paraId="13EE7955" w14:textId="77777777" w:rsidR="003412C6" w:rsidRPr="007213A1" w:rsidRDefault="003412C6" w:rsidP="003412C6">
      <w:pPr>
        <w:widowControl w:val="0"/>
        <w:jc w:val="both"/>
        <w:rPr>
          <w:sz w:val="20"/>
          <w:szCs w:val="20"/>
          <w:lang w:val="x-none" w:eastAsia="x-none"/>
        </w:rPr>
      </w:pPr>
      <w:r w:rsidRPr="007213A1">
        <w:rPr>
          <w:sz w:val="20"/>
          <w:szCs w:val="20"/>
          <w:lang w:val="es-AR" w:eastAsia="x-none"/>
        </w:rPr>
        <w:t>L</w:t>
      </w:r>
      <w:r w:rsidRPr="007213A1">
        <w:rPr>
          <w:sz w:val="20"/>
          <w:szCs w:val="20"/>
          <w:lang w:val="x-none" w:eastAsia="x-none"/>
        </w:rPr>
        <w:t xml:space="preserve">as Obligaciones Negociables serán colocadas públicamente en </w:t>
      </w:r>
      <w:r w:rsidRPr="007213A1">
        <w:rPr>
          <w:sz w:val="20"/>
          <w:szCs w:val="20"/>
          <w:lang w:val="es-AR" w:eastAsia="x-none"/>
        </w:rPr>
        <w:t xml:space="preserve">la </w:t>
      </w:r>
      <w:r w:rsidRPr="007213A1">
        <w:rPr>
          <w:sz w:val="20"/>
          <w:szCs w:val="20"/>
          <w:lang w:val="x-none" w:eastAsia="x-none"/>
        </w:rPr>
        <w:t xml:space="preserve">Argentina conforme </w:t>
      </w:r>
      <w:r w:rsidRPr="007213A1">
        <w:rPr>
          <w:sz w:val="20"/>
          <w:szCs w:val="20"/>
          <w:lang w:val="es-AR" w:eastAsia="x-none"/>
        </w:rPr>
        <w:t>de acuerdo con</w:t>
      </w:r>
      <w:r w:rsidRPr="007213A1">
        <w:rPr>
          <w:sz w:val="20"/>
          <w:szCs w:val="20"/>
          <w:lang w:val="x-none" w:eastAsia="x-none"/>
        </w:rPr>
        <w:t xml:space="preserve"> los términos de la Ley de Mercado de Capitales, las Normas de la CNV y sus modificatorias y/o complementarias y cualquier otra ley y/o reglamentación aplicable.</w:t>
      </w:r>
    </w:p>
    <w:p w14:paraId="3EB17DA2" w14:textId="77777777" w:rsidR="003412C6" w:rsidRPr="007213A1" w:rsidRDefault="003412C6" w:rsidP="003412C6">
      <w:pPr>
        <w:widowControl w:val="0"/>
        <w:jc w:val="both"/>
        <w:rPr>
          <w:b/>
          <w:sz w:val="20"/>
          <w:szCs w:val="20"/>
          <w:lang w:val="x-none" w:eastAsia="x-none"/>
        </w:rPr>
      </w:pPr>
    </w:p>
    <w:p w14:paraId="3A2D7BD4" w14:textId="77777777" w:rsidR="003412C6" w:rsidRPr="007213A1" w:rsidRDefault="003412C6" w:rsidP="003412C6">
      <w:pPr>
        <w:widowControl w:val="0"/>
        <w:jc w:val="both"/>
        <w:outlineLvl w:val="1"/>
        <w:rPr>
          <w:b/>
          <w:sz w:val="20"/>
          <w:szCs w:val="20"/>
          <w:lang w:val="es-AR" w:eastAsia="x-none"/>
        </w:rPr>
      </w:pPr>
      <w:r w:rsidRPr="007213A1">
        <w:rPr>
          <w:b/>
          <w:sz w:val="20"/>
          <w:szCs w:val="20"/>
          <w:lang w:val="es-AR" w:eastAsia="x-none"/>
        </w:rPr>
        <w:t>a) Términos y Condiciones de las Obligaciones Negociables</w:t>
      </w:r>
    </w:p>
    <w:p w14:paraId="7DF454E5" w14:textId="77777777" w:rsidR="003412C6" w:rsidRPr="007213A1" w:rsidRDefault="003412C6" w:rsidP="003412C6">
      <w:pPr>
        <w:widowControl w:val="0"/>
        <w:jc w:val="both"/>
        <w:rPr>
          <w:b/>
          <w:bCs/>
          <w:sz w:val="20"/>
          <w:szCs w:val="20"/>
          <w:lang w:val="es-AR" w:eastAsia="x-none"/>
        </w:rPr>
      </w:pPr>
    </w:p>
    <w:p w14:paraId="2169D013" w14:textId="77777777" w:rsidR="003412C6" w:rsidRPr="007213A1" w:rsidRDefault="003412C6" w:rsidP="003412C6">
      <w:pPr>
        <w:widowControl w:val="0"/>
        <w:jc w:val="both"/>
        <w:rPr>
          <w:bCs/>
          <w:sz w:val="20"/>
          <w:szCs w:val="20"/>
          <w:lang w:val="es-AR" w:eastAsia="x-none"/>
        </w:rPr>
      </w:pPr>
      <w:r w:rsidRPr="007213A1">
        <w:rPr>
          <w:bCs/>
          <w:sz w:val="20"/>
          <w:szCs w:val="20"/>
          <w:lang w:val="es-AR" w:eastAsia="x-none"/>
        </w:rPr>
        <w:t>A continuación, se detallan los términos y condiciones generales de las Obligaciones Negociables que la Sociedad podrá emitir en el marco del Programa. Los términos y condiciones específicos de las Obligaciones Negociables de cada Clase y/o Serie serán detallados en los Suplementos de Precio.</w:t>
      </w:r>
    </w:p>
    <w:p w14:paraId="73603E8B" w14:textId="77777777" w:rsidR="003412C6" w:rsidRPr="007213A1" w:rsidRDefault="003412C6" w:rsidP="003412C6">
      <w:pPr>
        <w:widowControl w:val="0"/>
        <w:jc w:val="both"/>
        <w:rPr>
          <w:sz w:val="20"/>
          <w:szCs w:val="20"/>
          <w:lang w:val="es-AR"/>
        </w:rPr>
      </w:pPr>
    </w:p>
    <w:p w14:paraId="4E4C4BF0" w14:textId="77777777" w:rsidR="003412C6" w:rsidRPr="007213A1" w:rsidRDefault="003412C6" w:rsidP="003412C6">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Algunas Definiciones</w:t>
      </w:r>
    </w:p>
    <w:p w14:paraId="600A1053" w14:textId="77777777" w:rsidR="003412C6" w:rsidRPr="007213A1" w:rsidRDefault="003412C6" w:rsidP="003412C6">
      <w:pPr>
        <w:widowControl w:val="0"/>
        <w:jc w:val="both"/>
        <w:rPr>
          <w:sz w:val="20"/>
          <w:szCs w:val="20"/>
          <w:lang w:val="es-AR"/>
        </w:rPr>
      </w:pPr>
    </w:p>
    <w:p w14:paraId="7D212DB2" w14:textId="77777777" w:rsidR="003412C6" w:rsidRPr="007213A1" w:rsidRDefault="003412C6" w:rsidP="003412C6">
      <w:pPr>
        <w:widowControl w:val="0"/>
        <w:jc w:val="both"/>
        <w:rPr>
          <w:sz w:val="20"/>
          <w:szCs w:val="20"/>
          <w:lang w:val="es-AR"/>
        </w:rPr>
      </w:pPr>
      <w:r w:rsidRPr="007213A1">
        <w:rPr>
          <w:sz w:val="20"/>
          <w:szCs w:val="20"/>
          <w:lang w:val="es-AR"/>
        </w:rPr>
        <w:t xml:space="preserve">Las siguientes son algunas definiciones utilizadas en la presente sección. </w:t>
      </w:r>
    </w:p>
    <w:p w14:paraId="7CE2F4EE" w14:textId="77777777" w:rsidR="003412C6" w:rsidRPr="007213A1" w:rsidRDefault="003412C6" w:rsidP="003412C6">
      <w:pPr>
        <w:widowControl w:val="0"/>
        <w:jc w:val="both"/>
        <w:rPr>
          <w:sz w:val="20"/>
          <w:szCs w:val="20"/>
          <w:lang w:val="es-AR"/>
        </w:rPr>
      </w:pPr>
    </w:p>
    <w:p w14:paraId="29DB44A0" w14:textId="77777777" w:rsidR="003412C6" w:rsidRPr="007213A1" w:rsidRDefault="003412C6" w:rsidP="003412C6">
      <w:pPr>
        <w:widowControl w:val="0"/>
        <w:jc w:val="both"/>
        <w:rPr>
          <w:sz w:val="20"/>
          <w:szCs w:val="20"/>
          <w:lang w:val="es-AR"/>
        </w:rPr>
      </w:pPr>
      <w:r w:rsidRPr="007213A1">
        <w:rPr>
          <w:sz w:val="20"/>
          <w:szCs w:val="20"/>
          <w:lang w:val="es-AR"/>
        </w:rPr>
        <w:t>“</w:t>
      </w:r>
      <w:r w:rsidRPr="007213A1">
        <w:rPr>
          <w:sz w:val="20"/>
          <w:szCs w:val="20"/>
          <w:u w:val="single"/>
          <w:lang w:val="es-AR"/>
        </w:rPr>
        <w:t>Día Hábil</w:t>
      </w:r>
      <w:r w:rsidRPr="007213A1">
        <w:rPr>
          <w:sz w:val="20"/>
          <w:szCs w:val="20"/>
          <w:lang w:val="es-AR"/>
        </w:rPr>
        <w:t>” significa aquel día en que las entidades financieras pueden operar normalmente en toda su actividad bancaria y cambiaria en la Ciudad Autónoma de Buenos Aires y/o en la jurisdicción que se indique en el Suplemento de Precio.</w:t>
      </w:r>
    </w:p>
    <w:p w14:paraId="5BE472D5" w14:textId="77777777" w:rsidR="003412C6" w:rsidRPr="007213A1" w:rsidRDefault="003412C6" w:rsidP="003412C6">
      <w:pPr>
        <w:widowControl w:val="0"/>
        <w:jc w:val="both"/>
        <w:rPr>
          <w:sz w:val="20"/>
          <w:szCs w:val="20"/>
          <w:lang w:val="es-AR"/>
        </w:rPr>
      </w:pPr>
    </w:p>
    <w:p w14:paraId="661644DF" w14:textId="77777777" w:rsidR="003412C6" w:rsidRPr="007213A1" w:rsidRDefault="003412C6" w:rsidP="003412C6">
      <w:pPr>
        <w:widowControl w:val="0"/>
        <w:jc w:val="both"/>
        <w:rPr>
          <w:sz w:val="20"/>
          <w:szCs w:val="20"/>
          <w:lang w:val="es-AR"/>
        </w:rPr>
      </w:pPr>
      <w:r w:rsidRPr="007213A1">
        <w:rPr>
          <w:sz w:val="20"/>
          <w:szCs w:val="20"/>
          <w:lang w:val="es-AR"/>
        </w:rPr>
        <w:t>“</w:t>
      </w:r>
      <w:r w:rsidRPr="007213A1">
        <w:rPr>
          <w:sz w:val="20"/>
          <w:szCs w:val="20"/>
          <w:u w:val="single"/>
          <w:lang w:val="es-AR"/>
        </w:rPr>
        <w:t>Efecto Sustancial Adverso</w:t>
      </w:r>
      <w:r w:rsidRPr="007213A1">
        <w:rPr>
          <w:sz w:val="20"/>
          <w:szCs w:val="20"/>
          <w:lang w:val="es-AR"/>
        </w:rPr>
        <w:t>” significa un efecto sustancial adverso sobre (i) la capacidad de la Emisora para cumplir con sus obligaciones sustanciales conforme las Obligaciones Negociables, o (ii) las circunstancias (financieras o de otra clase), ganancias o transacciones, de la Emisora y de sus Subsidiarias consideradas conjuntamente.</w:t>
      </w:r>
    </w:p>
    <w:p w14:paraId="7F5D03A3" w14:textId="77777777" w:rsidR="003412C6" w:rsidRPr="007213A1" w:rsidRDefault="003412C6" w:rsidP="003412C6">
      <w:pPr>
        <w:widowControl w:val="0"/>
        <w:jc w:val="both"/>
        <w:rPr>
          <w:sz w:val="20"/>
          <w:szCs w:val="20"/>
          <w:lang w:val="es-AR"/>
        </w:rPr>
      </w:pPr>
    </w:p>
    <w:p w14:paraId="2E61823F" w14:textId="77777777" w:rsidR="003412C6" w:rsidRPr="007213A1" w:rsidRDefault="003412C6" w:rsidP="003412C6">
      <w:pPr>
        <w:widowControl w:val="0"/>
        <w:jc w:val="both"/>
        <w:rPr>
          <w:sz w:val="20"/>
          <w:szCs w:val="20"/>
          <w:lang w:val="es-AR"/>
        </w:rPr>
      </w:pPr>
      <w:r w:rsidRPr="007213A1">
        <w:rPr>
          <w:sz w:val="20"/>
          <w:szCs w:val="20"/>
          <w:lang w:val="es-AR"/>
        </w:rPr>
        <w:t>“</w:t>
      </w:r>
      <w:r w:rsidRPr="007213A1">
        <w:rPr>
          <w:sz w:val="20"/>
          <w:szCs w:val="20"/>
          <w:u w:val="single"/>
          <w:lang w:val="es-AR"/>
        </w:rPr>
        <w:t>Fecha de Emisión</w:t>
      </w:r>
      <w:r w:rsidRPr="007213A1">
        <w:rPr>
          <w:sz w:val="20"/>
          <w:szCs w:val="20"/>
          <w:lang w:val="es-AR"/>
        </w:rPr>
        <w:t>” significa la fecha de emisión y entrega de cada Clase y/o Serie de Obligaciones Negociables.</w:t>
      </w:r>
    </w:p>
    <w:p w14:paraId="6DCE7271" w14:textId="77777777" w:rsidR="003412C6" w:rsidRPr="007213A1" w:rsidRDefault="003412C6" w:rsidP="003412C6">
      <w:pPr>
        <w:widowControl w:val="0"/>
        <w:jc w:val="both"/>
        <w:rPr>
          <w:sz w:val="20"/>
          <w:szCs w:val="20"/>
          <w:lang w:val="es-AR"/>
        </w:rPr>
      </w:pPr>
    </w:p>
    <w:p w14:paraId="240944CD" w14:textId="77777777" w:rsidR="003412C6" w:rsidRPr="007213A1" w:rsidRDefault="003412C6" w:rsidP="003412C6">
      <w:pPr>
        <w:widowControl w:val="0"/>
        <w:jc w:val="both"/>
        <w:rPr>
          <w:sz w:val="20"/>
          <w:szCs w:val="20"/>
          <w:lang w:val="es-AR"/>
        </w:rPr>
      </w:pPr>
      <w:r w:rsidRPr="007213A1">
        <w:rPr>
          <w:sz w:val="20"/>
          <w:szCs w:val="20"/>
          <w:lang w:val="es-AR"/>
        </w:rPr>
        <w:t>“</w:t>
      </w:r>
      <w:r w:rsidRPr="007213A1">
        <w:rPr>
          <w:sz w:val="20"/>
          <w:szCs w:val="20"/>
          <w:u w:val="single"/>
          <w:lang w:val="es-AR"/>
        </w:rPr>
        <w:t>Gravamen</w:t>
      </w:r>
      <w:r w:rsidRPr="007213A1">
        <w:rPr>
          <w:sz w:val="20"/>
          <w:szCs w:val="20"/>
          <w:lang w:val="es-AR"/>
        </w:rPr>
        <w:t>” cualquier hipoteca, cargo, prenda, cesión en garantía, cesión fiduciaria en garantía, fianza, gravamen, acuerdo preferencial u otra forma de afectación, o conforme ello sea determinado en el Suplemento de Precio aplicable.</w:t>
      </w:r>
    </w:p>
    <w:p w14:paraId="12A127BE" w14:textId="77777777" w:rsidR="003412C6" w:rsidRPr="007213A1" w:rsidRDefault="003412C6" w:rsidP="003412C6">
      <w:pPr>
        <w:widowControl w:val="0"/>
        <w:jc w:val="both"/>
        <w:rPr>
          <w:sz w:val="20"/>
          <w:szCs w:val="20"/>
          <w:lang w:val="es-AR"/>
        </w:rPr>
      </w:pPr>
    </w:p>
    <w:p w14:paraId="4B7E7180" w14:textId="77777777" w:rsidR="003412C6" w:rsidRPr="007213A1" w:rsidRDefault="003412C6" w:rsidP="003412C6">
      <w:pPr>
        <w:widowControl w:val="0"/>
        <w:autoSpaceDE w:val="0"/>
        <w:autoSpaceDN w:val="0"/>
        <w:adjustRightInd w:val="0"/>
        <w:jc w:val="both"/>
        <w:rPr>
          <w:sz w:val="20"/>
          <w:szCs w:val="20"/>
          <w:lang w:val="es-AR"/>
        </w:rPr>
      </w:pPr>
      <w:r w:rsidRPr="007213A1">
        <w:rPr>
          <w:sz w:val="20"/>
          <w:szCs w:val="20"/>
          <w:lang w:val="es-AR"/>
        </w:rPr>
        <w:t>“</w:t>
      </w:r>
      <w:r w:rsidRPr="007213A1">
        <w:rPr>
          <w:sz w:val="20"/>
          <w:szCs w:val="20"/>
          <w:u w:val="single"/>
          <w:lang w:val="es-AR"/>
        </w:rPr>
        <w:t>Gravámenes Permitidos</w:t>
      </w:r>
      <w:r w:rsidRPr="007213A1">
        <w:rPr>
          <w:sz w:val="20"/>
          <w:szCs w:val="20"/>
          <w:lang w:val="es-AR"/>
        </w:rPr>
        <w:t xml:space="preserve">” significan: (i) Gravámenes existentes a la fecha del presente Prospecto; </w:t>
      </w:r>
      <w:r w:rsidRPr="007213A1">
        <w:rPr>
          <w:sz w:val="20"/>
          <w:szCs w:val="20"/>
          <w:lang w:val="es-ES"/>
        </w:rPr>
        <w:t>(ii) Gravámenes que se originen en oportunidad de la adquisición de cualquier activo que cubran el saldo impago del precio de compra de dicho activo (estableciéndose que el Gravamen deberá constituirse exclusivamente sobre el activo adquirido, simultáneamente con su adquisición o dentro de los 30 Días Hábiles posteriores a la adquisición del mismo), o Gravámenes existentes en oportunidad de la adquisición de los activos garantizados por los mismos (incluyendo la adquisición a través de fusión o consolidación); (iii) Gravámenes que se originen por imperio de la ley y/o sean un pre-requisito para obtener cualquier aprobación gubernamental necesaria o conveniente para el desarrollo de la actividad de la Emisora; (iv) Gravámenes (que existan a la fecha del presente o creados en el futuro) respecto de todos los otros activos, cuando el monto total de los Gravámenes sea de un monto que no supere un 25% del total de los activos de la Emisora. A tal fin, el monto de cada Gravamen será determinado por el valor contable -que surja de los últimos estados contables de la Emisora- del activo afectado por dicho Gravamen o será determinado por el saldo residual del monto total de deuda por el cual dicho Gravamen se hubiera constituido, lo que fuera mayor; (v) cualquier Gravamen incurrido en el curso ordinario de los negocios de la Emisora para garantizar las operaciones de derivados, ya sean de cobertura o de otro tipo; y (vi) cualquier prórroga, renovación o sustitución de cualquier Gravamen permitido bajo (i)-(v) precedentes, siempre que (i) el monto del Gravamen no se incremente en oportunidad de tal prórroga, renovación o sustitución (a cuyo efecto no se computará como aumento de capital garantizado cualquier capitalización de intereses), y (ii) dicho Gravamen afecte únicamente (x) el bien que estaba afectado por el Gravamen existente inmediatamente antes de dicha prórroga, renovación o sustitución; o (y) un activo sustituto que tenga un valor contable -que surja de los últimos estados contables de la Compañía- que no sea superior al del activo originalmente afectado por el Gravamen.</w:t>
      </w:r>
    </w:p>
    <w:p w14:paraId="4CD50E4C" w14:textId="77777777" w:rsidR="003412C6" w:rsidRPr="007213A1" w:rsidRDefault="003412C6" w:rsidP="003412C6">
      <w:pPr>
        <w:widowControl w:val="0"/>
        <w:autoSpaceDE w:val="0"/>
        <w:autoSpaceDN w:val="0"/>
        <w:adjustRightInd w:val="0"/>
        <w:jc w:val="both"/>
        <w:rPr>
          <w:sz w:val="20"/>
          <w:szCs w:val="20"/>
          <w:lang w:val="es-AR"/>
        </w:rPr>
      </w:pPr>
    </w:p>
    <w:p w14:paraId="24924870" w14:textId="77777777" w:rsidR="003412C6" w:rsidRPr="007213A1" w:rsidRDefault="003412C6" w:rsidP="003412C6">
      <w:pPr>
        <w:widowControl w:val="0"/>
        <w:jc w:val="both"/>
        <w:rPr>
          <w:sz w:val="20"/>
          <w:szCs w:val="20"/>
          <w:lang w:val="es-AR"/>
        </w:rPr>
      </w:pPr>
      <w:r w:rsidRPr="007213A1">
        <w:rPr>
          <w:sz w:val="20"/>
          <w:szCs w:val="20"/>
          <w:lang w:val="es-AR"/>
        </w:rPr>
        <w:t>“</w:t>
      </w:r>
      <w:r w:rsidRPr="007213A1">
        <w:rPr>
          <w:sz w:val="20"/>
          <w:szCs w:val="20"/>
          <w:u w:val="single"/>
          <w:lang w:val="es-AR"/>
        </w:rPr>
        <w:t>Parte Significativa</w:t>
      </w:r>
      <w:r w:rsidRPr="007213A1">
        <w:rPr>
          <w:sz w:val="20"/>
          <w:szCs w:val="20"/>
          <w:lang w:val="es-AR"/>
        </w:rPr>
        <w:t>” significa, en un momento determinado, aquellos bienes de la Emisora que representen más del 30% (o aquel otro porcentaje que se determine en el Suplemento de Precio aplicable) del activo de la Emisora según sus estados contables consolidados anuales o intermedios más recientes a ese momento.</w:t>
      </w:r>
    </w:p>
    <w:p w14:paraId="1AF1A776" w14:textId="77777777" w:rsidR="003412C6" w:rsidRPr="007213A1" w:rsidRDefault="003412C6" w:rsidP="003412C6">
      <w:pPr>
        <w:widowControl w:val="0"/>
        <w:autoSpaceDE w:val="0"/>
        <w:autoSpaceDN w:val="0"/>
        <w:adjustRightInd w:val="0"/>
        <w:jc w:val="both"/>
        <w:rPr>
          <w:sz w:val="20"/>
          <w:szCs w:val="20"/>
          <w:lang w:val="es-AR"/>
        </w:rPr>
      </w:pPr>
    </w:p>
    <w:p w14:paraId="43B22B3D" w14:textId="77777777" w:rsidR="003412C6" w:rsidRPr="007213A1" w:rsidRDefault="003412C6" w:rsidP="003412C6">
      <w:pPr>
        <w:widowControl w:val="0"/>
        <w:jc w:val="both"/>
        <w:rPr>
          <w:sz w:val="20"/>
          <w:szCs w:val="20"/>
          <w:lang w:val="es-AR"/>
        </w:rPr>
      </w:pPr>
      <w:r w:rsidRPr="007213A1">
        <w:rPr>
          <w:sz w:val="20"/>
          <w:szCs w:val="20"/>
          <w:lang w:val="es-AR"/>
        </w:rPr>
        <w:t>“</w:t>
      </w:r>
      <w:r w:rsidRPr="007213A1">
        <w:rPr>
          <w:sz w:val="20"/>
          <w:szCs w:val="20"/>
          <w:u w:val="single"/>
          <w:lang w:val="es-AR"/>
        </w:rPr>
        <w:t>Subsidiaria</w:t>
      </w:r>
      <w:r w:rsidRPr="007213A1">
        <w:rPr>
          <w:sz w:val="20"/>
          <w:szCs w:val="20"/>
          <w:lang w:val="es-AR"/>
        </w:rPr>
        <w:t>” significa toda sociedad anónima respecto de la cual, a la fecha de la determinación, la Emisora y/o una o más de sus Subsidiarias, sea titular o controle en forma directa o indirecta más del 50% de las acciones con derecho a voto. A los fines de esta definición “control”, cuando se use respecto de alguna persona en particular, significará la facultad de influir en la dirección y políticas de dicha persona, ya sea en forma directa o indirecta, mediante la tenencia de títulos con derecho a voto, por contrato o de otro modo.</w:t>
      </w:r>
    </w:p>
    <w:p w14:paraId="2531A70B" w14:textId="77777777" w:rsidR="003412C6" w:rsidRPr="007213A1" w:rsidRDefault="003412C6" w:rsidP="0015704E">
      <w:pPr>
        <w:widowControl w:val="0"/>
        <w:suppressLineNumbers/>
        <w:suppressAutoHyphens/>
        <w:rPr>
          <w:b/>
          <w:sz w:val="20"/>
          <w:szCs w:val="20"/>
          <w:lang w:val="es-AR" w:eastAsia="es-ES"/>
        </w:rPr>
      </w:pPr>
    </w:p>
    <w:p w14:paraId="7CE20957" w14:textId="46A1F96B" w:rsidR="003412C6" w:rsidRPr="007213A1" w:rsidRDefault="003412C6" w:rsidP="003412C6">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Aprobaciones y Autorizaciones</w:t>
      </w:r>
    </w:p>
    <w:p w14:paraId="068D3F3A" w14:textId="77777777" w:rsidR="003412C6" w:rsidRPr="007213A1" w:rsidRDefault="003412C6" w:rsidP="003412C6">
      <w:pPr>
        <w:widowControl w:val="0"/>
        <w:jc w:val="both"/>
        <w:rPr>
          <w:b/>
          <w:sz w:val="20"/>
          <w:szCs w:val="20"/>
          <w:lang w:val="es-AR" w:eastAsia="x-none"/>
        </w:rPr>
      </w:pPr>
    </w:p>
    <w:p w14:paraId="73BF47D8" w14:textId="7D1C93DB" w:rsidR="003412C6" w:rsidRPr="00A61C89" w:rsidRDefault="003412C6" w:rsidP="003412C6">
      <w:pPr>
        <w:pStyle w:val="Textoindependiente"/>
        <w:widowControl w:val="0"/>
        <w:spacing w:before="0"/>
        <w:ind w:right="0"/>
        <w:rPr>
          <w:b w:val="0"/>
          <w:color w:val="000000" w:themeColor="text1"/>
          <w:lang w:val="es-AR"/>
        </w:rPr>
      </w:pPr>
      <w:r w:rsidRPr="007213A1">
        <w:rPr>
          <w:b w:val="0"/>
          <w:bCs w:val="0"/>
          <w:color w:val="000000"/>
          <w:lang w:val="es-AR"/>
        </w:rPr>
        <w:t xml:space="preserve">La creación del Programa y sus términos y condiciones fueron aprobados por la Asamblea General Extraordinaria de Accionistas de la Sociedad de fecha 19 de agosto de 2009, la cual delegó en el Directorio, conforme a la normativa vigente aplicable, aquellas facultades necesarias para hacer efectiva la emisión y colocación de las Obligaciones Negociables, con amplias facultades para que, dentro del monto máximo del Programa, se definan y establezcan las restantes condiciones de dicho Programa y de cada emisión o reemisión de cada Clase y/o Serie. </w:t>
      </w:r>
      <w:r w:rsidRPr="007213A1">
        <w:rPr>
          <w:b w:val="0"/>
          <w:color w:val="000000"/>
          <w:lang w:val="es-AR"/>
        </w:rPr>
        <w:t xml:space="preserve">El aumento del monto máximo del Programa y la prórroga de la vigencia del mismo han sido decididos en las Asambleas Generales Extraordinarias de Accionistas </w:t>
      </w:r>
      <w:r w:rsidR="006C678A" w:rsidRPr="007213A1">
        <w:rPr>
          <w:b w:val="0"/>
          <w:color w:val="000000"/>
          <w:lang w:val="es-AR"/>
        </w:rPr>
        <w:t>de la Emisora</w:t>
      </w:r>
      <w:r w:rsidRPr="007213A1">
        <w:rPr>
          <w:b w:val="0"/>
          <w:color w:val="000000"/>
          <w:lang w:val="es-AR"/>
        </w:rPr>
        <w:t xml:space="preserve"> que se celebraron el 22 de septiembre de 2014 y el </w:t>
      </w:r>
      <w:r w:rsidRPr="00A61C89">
        <w:rPr>
          <w:b w:val="0"/>
          <w:color w:val="000000"/>
          <w:lang w:val="es-AR"/>
        </w:rPr>
        <w:t>2</w:t>
      </w:r>
      <w:r w:rsidR="00B21DB1" w:rsidRPr="00A61C89">
        <w:rPr>
          <w:b w:val="0"/>
          <w:color w:val="000000"/>
          <w:lang w:val="es-AR"/>
        </w:rPr>
        <w:t>9</w:t>
      </w:r>
      <w:r w:rsidRPr="00A61C89">
        <w:rPr>
          <w:b w:val="0"/>
          <w:color w:val="000000"/>
          <w:lang w:val="es-AR"/>
        </w:rPr>
        <w:t xml:space="preserve"> de octubre de 2019</w:t>
      </w:r>
      <w:r w:rsidR="0090664B">
        <w:rPr>
          <w:b w:val="0"/>
          <w:color w:val="000000"/>
          <w:lang w:val="es-AR"/>
        </w:rPr>
        <w:t xml:space="preserve">. La última renovación de delegación de facultades en el Directorio de la Emisora se decidió mediante Asamblea de fecha </w:t>
      </w:r>
      <w:r w:rsidR="00B21DB1">
        <w:rPr>
          <w:b w:val="0"/>
          <w:color w:val="000000"/>
          <w:lang w:val="es-AR"/>
        </w:rPr>
        <w:t>26 de septiembre de 2018.</w:t>
      </w:r>
      <w:r w:rsidR="0090664B">
        <w:rPr>
          <w:b w:val="0"/>
          <w:color w:val="000000"/>
          <w:lang w:val="es-AR"/>
        </w:rPr>
        <w:t xml:space="preserve"> </w:t>
      </w:r>
      <w:r w:rsidR="002E1B15" w:rsidRPr="00A61C89">
        <w:rPr>
          <w:b w:val="0"/>
          <w:bCs w:val="0"/>
          <w:color w:val="000000" w:themeColor="text1"/>
          <w:lang w:val="es-MX"/>
        </w:rPr>
        <w:t xml:space="preserve">Las prórrogas de la vigencia del Programa y la modificación de ciertos términos y condiciones fueron resueltas en las Asambleas de Accionistas de la Sociedad de fechas 22 de septiembre de 2014 y </w:t>
      </w:r>
      <w:r w:rsidR="0015043B">
        <w:rPr>
          <w:b w:val="0"/>
          <w:bCs w:val="0"/>
          <w:color w:val="000000" w:themeColor="text1"/>
          <w:lang w:val="es-MX"/>
        </w:rPr>
        <w:t>29</w:t>
      </w:r>
      <w:r w:rsidR="0015043B" w:rsidRPr="00A61C89">
        <w:rPr>
          <w:b w:val="0"/>
          <w:bCs w:val="0"/>
          <w:color w:val="000000" w:themeColor="text1"/>
          <w:lang w:val="es-MX"/>
        </w:rPr>
        <w:t xml:space="preserve"> </w:t>
      </w:r>
      <w:r w:rsidR="002E1B15" w:rsidRPr="00A61C89">
        <w:rPr>
          <w:b w:val="0"/>
          <w:bCs w:val="0"/>
          <w:color w:val="000000" w:themeColor="text1"/>
          <w:lang w:val="es-MX"/>
        </w:rPr>
        <w:t xml:space="preserve">de octubre de 2019. Los términos y condiciones del Programa fueron aprobados mediante Acta de Directorio de la Sociedad de fecha </w:t>
      </w:r>
      <w:r w:rsidR="00214904">
        <w:rPr>
          <w:b w:val="0"/>
          <w:bCs w:val="0"/>
          <w:color w:val="000000" w:themeColor="text1"/>
          <w:lang w:val="es-AR"/>
        </w:rPr>
        <w:t>7</w:t>
      </w:r>
      <w:r w:rsidR="00214904" w:rsidRPr="00A61C89">
        <w:rPr>
          <w:b w:val="0"/>
          <w:bCs w:val="0"/>
          <w:color w:val="000000" w:themeColor="text1"/>
          <w:lang w:val="es-MX"/>
        </w:rPr>
        <w:t xml:space="preserve"> </w:t>
      </w:r>
      <w:r w:rsidR="002E1B15" w:rsidRPr="00A61C89">
        <w:rPr>
          <w:b w:val="0"/>
          <w:bCs w:val="0"/>
          <w:color w:val="000000" w:themeColor="text1"/>
          <w:lang w:val="es-MX"/>
        </w:rPr>
        <w:t xml:space="preserve">de </w:t>
      </w:r>
      <w:r w:rsidR="00F51C9F">
        <w:rPr>
          <w:b w:val="0"/>
          <w:bCs w:val="0"/>
          <w:color w:val="000000" w:themeColor="text1"/>
          <w:lang w:val="es-MX"/>
        </w:rPr>
        <w:t>noviembre</w:t>
      </w:r>
      <w:r w:rsidR="002E1B15" w:rsidRPr="00A61C89">
        <w:rPr>
          <w:b w:val="0"/>
          <w:bCs w:val="0"/>
          <w:color w:val="000000" w:themeColor="text1"/>
          <w:lang w:val="es-MX"/>
        </w:rPr>
        <w:t xml:space="preserve"> de 2019.</w:t>
      </w:r>
    </w:p>
    <w:p w14:paraId="0C341704" w14:textId="77777777" w:rsidR="003412C6" w:rsidRPr="007213A1" w:rsidRDefault="003412C6" w:rsidP="003412C6">
      <w:pPr>
        <w:pStyle w:val="Textoindependiente"/>
        <w:widowControl w:val="0"/>
        <w:spacing w:before="0"/>
        <w:ind w:right="0"/>
        <w:rPr>
          <w:b w:val="0"/>
          <w:color w:val="000000"/>
          <w:lang w:val="es-AR"/>
        </w:rPr>
      </w:pPr>
    </w:p>
    <w:p w14:paraId="4563BD82" w14:textId="77777777" w:rsidR="003412C6" w:rsidRPr="007213A1" w:rsidRDefault="003412C6" w:rsidP="003412C6">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Monto Del Programa</w:t>
      </w:r>
    </w:p>
    <w:p w14:paraId="1E6A01E4" w14:textId="77777777" w:rsidR="003412C6" w:rsidRPr="007213A1" w:rsidRDefault="003412C6" w:rsidP="003412C6">
      <w:pPr>
        <w:pStyle w:val="Textoindependiente"/>
        <w:widowControl w:val="0"/>
        <w:spacing w:before="0"/>
        <w:ind w:right="0"/>
        <w:rPr>
          <w:b w:val="0"/>
          <w:color w:val="000000"/>
          <w:lang w:val="es-AR"/>
        </w:rPr>
      </w:pPr>
    </w:p>
    <w:p w14:paraId="63D73D40" w14:textId="61602405" w:rsidR="003412C6" w:rsidRPr="007213A1" w:rsidRDefault="003412C6" w:rsidP="003412C6">
      <w:pPr>
        <w:widowControl w:val="0"/>
        <w:jc w:val="both"/>
        <w:rPr>
          <w:color w:val="000000"/>
          <w:sz w:val="20"/>
          <w:szCs w:val="20"/>
          <w:lang w:val="es-AR"/>
        </w:rPr>
      </w:pPr>
      <w:r w:rsidRPr="007213A1">
        <w:rPr>
          <w:color w:val="000000"/>
          <w:sz w:val="20"/>
          <w:szCs w:val="20"/>
          <w:lang w:val="es-AR"/>
        </w:rPr>
        <w:t>El monto máximo de la totalidad del capital de las Obligaciones Negociables en circulación en cualquier momento no podrá exceder de U$S50.000.000, o su equivalente en otras monedas</w:t>
      </w:r>
      <w:r w:rsidR="00650E29" w:rsidRPr="007213A1">
        <w:rPr>
          <w:color w:val="000000"/>
          <w:sz w:val="20"/>
          <w:szCs w:val="20"/>
          <w:lang w:val="es-AR"/>
        </w:rPr>
        <w:t xml:space="preserve"> y/o unidades de valor</w:t>
      </w:r>
      <w:r w:rsidRPr="007213A1">
        <w:rPr>
          <w:color w:val="000000"/>
          <w:sz w:val="20"/>
          <w:szCs w:val="20"/>
          <w:lang w:val="es-AR"/>
        </w:rPr>
        <w:t xml:space="preserve">. Sujeto a lo que disponga la normativa aplicable al momento de la emisión, con el objeto de determinar el monto de Obligaciones Negociables en circulación a la fecha de emisión de cada Clase y/o Serie, en el supuesto de emitirse las mismas en una moneda diferente al Dólar, se incluirá en los respectivos Suplementos de Precio de cada Clase y/o Serie la fórmula o procedimiento a utilizar para la determinación de la equivalencia entre la moneda </w:t>
      </w:r>
      <w:r w:rsidR="0090664B">
        <w:rPr>
          <w:color w:val="000000"/>
          <w:sz w:val="20"/>
          <w:szCs w:val="20"/>
          <w:lang w:val="es-AR"/>
        </w:rPr>
        <w:t xml:space="preserve">y/o unidad de valor </w:t>
      </w:r>
      <w:r w:rsidRPr="007213A1">
        <w:rPr>
          <w:color w:val="000000"/>
          <w:sz w:val="20"/>
          <w:szCs w:val="20"/>
          <w:lang w:val="es-AR"/>
        </w:rPr>
        <w:t xml:space="preserve">utilizada en cada emisión y el Dólar. A los efectos del cálculo del monto total de Obligaciones Negociables en circulación, </w:t>
      </w:r>
      <w:r w:rsidR="006C678A" w:rsidRPr="007213A1">
        <w:rPr>
          <w:color w:val="000000"/>
          <w:sz w:val="20"/>
          <w:szCs w:val="20"/>
          <w:lang w:val="es-AR"/>
        </w:rPr>
        <w:t>la Emisora</w:t>
      </w:r>
      <w:r w:rsidRPr="007213A1">
        <w:rPr>
          <w:color w:val="000000"/>
          <w:sz w:val="20"/>
          <w:szCs w:val="20"/>
          <w:lang w:val="es-AR"/>
        </w:rPr>
        <w:t xml:space="preserve"> tratará a las Obligaciones Negociables emitidas con descuento o prima como si hubieran sido emitidas a su valor nominal. </w:t>
      </w:r>
    </w:p>
    <w:p w14:paraId="5355ADA5" w14:textId="77777777" w:rsidR="003412C6" w:rsidRPr="007213A1" w:rsidRDefault="003412C6" w:rsidP="003412C6">
      <w:pPr>
        <w:pStyle w:val="Textoindependiente"/>
        <w:widowControl w:val="0"/>
        <w:spacing w:before="0"/>
        <w:ind w:right="0"/>
        <w:rPr>
          <w:b w:val="0"/>
          <w:bCs w:val="0"/>
          <w:color w:val="000000"/>
          <w:lang w:val="es-AR"/>
        </w:rPr>
      </w:pPr>
    </w:p>
    <w:p w14:paraId="18F37447" w14:textId="77777777" w:rsidR="003412C6" w:rsidRPr="007213A1" w:rsidRDefault="003412C6" w:rsidP="003412C6">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Duración de Programa</w:t>
      </w:r>
    </w:p>
    <w:p w14:paraId="4EC07965" w14:textId="77777777" w:rsidR="003412C6" w:rsidRPr="007213A1" w:rsidRDefault="003412C6" w:rsidP="003412C6">
      <w:pPr>
        <w:widowControl w:val="0"/>
        <w:jc w:val="both"/>
        <w:rPr>
          <w:sz w:val="20"/>
          <w:szCs w:val="20"/>
          <w:lang w:val="es-AR"/>
        </w:rPr>
      </w:pPr>
    </w:p>
    <w:p w14:paraId="48FDFAF9" w14:textId="5D47528C" w:rsidR="003412C6" w:rsidRPr="007213A1" w:rsidRDefault="003412C6" w:rsidP="003412C6">
      <w:pPr>
        <w:widowControl w:val="0"/>
        <w:autoSpaceDE w:val="0"/>
        <w:autoSpaceDN w:val="0"/>
        <w:adjustRightInd w:val="0"/>
        <w:jc w:val="both"/>
        <w:rPr>
          <w:sz w:val="20"/>
          <w:szCs w:val="20"/>
          <w:lang w:val="es-AR"/>
        </w:rPr>
      </w:pPr>
      <w:r w:rsidRPr="007213A1">
        <w:rPr>
          <w:sz w:val="20"/>
          <w:szCs w:val="20"/>
          <w:lang w:val="es-AR"/>
        </w:rPr>
        <w:t>La duración del Programa de Obligaciones Negociables será de 5 años,</w:t>
      </w:r>
      <w:r w:rsidR="00F72F31">
        <w:rPr>
          <w:sz w:val="20"/>
          <w:szCs w:val="20"/>
          <w:lang w:val="es-AR"/>
        </w:rPr>
        <w:t xml:space="preserve"> prorrogables,</w:t>
      </w:r>
      <w:r w:rsidRPr="007213A1">
        <w:rPr>
          <w:sz w:val="20"/>
          <w:szCs w:val="20"/>
          <w:lang w:val="es-AR"/>
        </w:rPr>
        <w:t xml:space="preserve"> o cualquier plazo mayor que permitan las normas aplicables, prorrogables, contados a partir de la fecha de autorización de</w:t>
      </w:r>
      <w:r w:rsidR="0090664B">
        <w:rPr>
          <w:sz w:val="20"/>
          <w:szCs w:val="20"/>
          <w:lang w:val="es-AR"/>
        </w:rPr>
        <w:t>l</w:t>
      </w:r>
      <w:r w:rsidRPr="001622AF">
        <w:rPr>
          <w:sz w:val="20"/>
          <w:lang w:val="es-ES"/>
        </w:rPr>
        <w:t xml:space="preserve"> </w:t>
      </w:r>
      <w:r w:rsidRPr="007213A1">
        <w:rPr>
          <w:sz w:val="20"/>
          <w:szCs w:val="20"/>
          <w:lang w:val="es-AR"/>
        </w:rPr>
        <w:t xml:space="preserve">Programa por parte de la CNV, esto significa que el vencimiento del Programa operará el </w:t>
      </w:r>
      <w:r w:rsidRPr="00A61C89">
        <w:rPr>
          <w:sz w:val="20"/>
          <w:szCs w:val="20"/>
          <w:lang w:val="es-AR"/>
        </w:rPr>
        <w:t>21 de octubre de 2024</w:t>
      </w:r>
      <w:r w:rsidRPr="007213A1">
        <w:rPr>
          <w:sz w:val="20"/>
          <w:szCs w:val="20"/>
          <w:lang w:val="es-AR"/>
        </w:rPr>
        <w:t>. El vencimiento de las diversas Clases y/o Series podrá operar con posterioridad al vencimiento del Programa.</w:t>
      </w:r>
    </w:p>
    <w:p w14:paraId="5291EFC8" w14:textId="77777777" w:rsidR="003412C6" w:rsidRPr="007213A1" w:rsidRDefault="003412C6" w:rsidP="0015704E">
      <w:pPr>
        <w:widowControl w:val="0"/>
        <w:suppressLineNumbers/>
        <w:suppressAutoHyphens/>
        <w:rPr>
          <w:b/>
          <w:sz w:val="20"/>
          <w:szCs w:val="20"/>
          <w:lang w:val="es-AR" w:eastAsia="es-ES"/>
        </w:rPr>
      </w:pPr>
    </w:p>
    <w:p w14:paraId="43A8B6E1" w14:textId="77777777" w:rsidR="003412C6" w:rsidRPr="007213A1" w:rsidRDefault="003412C6" w:rsidP="003412C6">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Rango y Clasificación</w:t>
      </w:r>
    </w:p>
    <w:p w14:paraId="3A7CACCE" w14:textId="77777777" w:rsidR="003412C6" w:rsidRPr="007213A1" w:rsidRDefault="003412C6" w:rsidP="003412C6">
      <w:pPr>
        <w:widowControl w:val="0"/>
        <w:jc w:val="both"/>
        <w:rPr>
          <w:sz w:val="20"/>
          <w:szCs w:val="20"/>
          <w:lang w:val="es-AR"/>
        </w:rPr>
      </w:pPr>
    </w:p>
    <w:p w14:paraId="5BFE3739" w14:textId="77777777" w:rsidR="003412C6" w:rsidRPr="007213A1" w:rsidRDefault="003412C6" w:rsidP="003412C6">
      <w:pPr>
        <w:pStyle w:val="notaalpie"/>
        <w:widowControl w:val="0"/>
        <w:suppressLineNumbers/>
        <w:suppressAutoHyphens/>
        <w:rPr>
          <w:rFonts w:ascii="Times New Roman" w:hAnsi="Times New Roman"/>
          <w:lang w:val="es-ES"/>
        </w:rPr>
      </w:pPr>
      <w:r w:rsidRPr="007213A1">
        <w:rPr>
          <w:rFonts w:ascii="Times New Roman" w:hAnsi="Times New Roman"/>
          <w:lang w:val="es-ES"/>
        </w:rPr>
        <w:t>Las Obligaciones Negociables constituyen obligaciones negociables simples, no convertibles en acciones bajo la Ley de Obligaciones Negociables, y dan derecho a los beneficios establecidos en la misma y están sujetas a los requisitos de procedimiento de la misma.</w:t>
      </w:r>
    </w:p>
    <w:p w14:paraId="42995E1F" w14:textId="77777777" w:rsidR="003412C6" w:rsidRPr="007213A1" w:rsidRDefault="003412C6" w:rsidP="003412C6">
      <w:pPr>
        <w:pStyle w:val="notaalpie"/>
        <w:widowControl w:val="0"/>
        <w:suppressLineNumbers/>
        <w:suppressAutoHyphens/>
        <w:rPr>
          <w:rFonts w:ascii="Times New Roman" w:hAnsi="Times New Roman"/>
          <w:lang w:val="es-ES"/>
        </w:rPr>
      </w:pPr>
    </w:p>
    <w:p w14:paraId="10BCB1FE" w14:textId="77777777" w:rsidR="003412C6" w:rsidRPr="007213A1" w:rsidRDefault="003412C6" w:rsidP="003412C6">
      <w:pPr>
        <w:pStyle w:val="notaalpie"/>
        <w:widowControl w:val="0"/>
        <w:suppressLineNumbers/>
        <w:suppressAutoHyphens/>
        <w:rPr>
          <w:rFonts w:ascii="Times New Roman" w:hAnsi="Times New Roman"/>
          <w:lang w:val="es-ES"/>
        </w:rPr>
      </w:pPr>
      <w:r w:rsidRPr="007213A1">
        <w:rPr>
          <w:rFonts w:ascii="Times New Roman" w:hAnsi="Times New Roman"/>
          <w:lang w:val="es-ES"/>
        </w:rPr>
        <w:t>Las Obligaciones Negociables podrán emitirse con garantía común sobre el patrimonio de la Emisora o con garantía especial o flotante, ser avaladas afianzadas o garantizadas por cualquier medio que se especifique en el Suplemento de Precio aplicable. Las Obligaciones Negociables constituirán obligaciones no subordinadas de la Emisora y, excepto en la medida que estén subordinadas de acuerdo con sus términos (las “Obligaciones Negociables Subordinadas”), calificarán pari passu y sin ningún tipo de prioridad de pago. Las Obligaciones Negociables sin garantía y no subordinadas constituirán obligaciones directas, incondicionales, sin otra garantía que el patrimonio de la Emisora y serán tratadas en todo momento en igualdad de condiciones entre sí y con todas las demás obligaciones comunes presentes y futuras de la Emisora que no cuentan con garantía especial, ni sean subordinadas, ni que cuenten con privilegios y/o preferencias por disposiciones legales.</w:t>
      </w:r>
    </w:p>
    <w:p w14:paraId="320511E0" w14:textId="77777777" w:rsidR="003412C6" w:rsidRPr="007213A1" w:rsidRDefault="003412C6" w:rsidP="003412C6">
      <w:pPr>
        <w:pStyle w:val="notaalpie"/>
        <w:widowControl w:val="0"/>
        <w:suppressLineNumbers/>
        <w:suppressAutoHyphens/>
        <w:rPr>
          <w:rFonts w:ascii="Times New Roman" w:hAnsi="Times New Roman"/>
          <w:lang w:val="es-ES"/>
        </w:rPr>
      </w:pPr>
    </w:p>
    <w:p w14:paraId="078B857C" w14:textId="77777777" w:rsidR="003412C6" w:rsidRPr="007213A1" w:rsidRDefault="003412C6" w:rsidP="003412C6">
      <w:pPr>
        <w:pStyle w:val="notaalpie"/>
        <w:suppressLineNumbers/>
        <w:suppressAutoHyphens/>
        <w:rPr>
          <w:rFonts w:ascii="Times New Roman" w:hAnsi="Times New Roman"/>
          <w:lang w:val="es-ES"/>
        </w:rPr>
      </w:pPr>
      <w:r w:rsidRPr="007213A1">
        <w:rPr>
          <w:rFonts w:ascii="Times New Roman" w:hAnsi="Times New Roman"/>
          <w:lang w:val="es-ES"/>
        </w:rPr>
        <w:t>A su vez, las Obligaciones Negociables podrán ser emitidas con recurso limitado y exclusivo a determinados activos de la Emisora, pudiendo constituir garantías sobre dichos activos, y sobre los cuales los acreedores tendrán únicamente recurso, todo ello de conformidad con lo dispuesto por el artículo 3° de la Ley de Obligaciones Negociables.</w:t>
      </w:r>
    </w:p>
    <w:p w14:paraId="0E8CA7FD" w14:textId="77777777" w:rsidR="003412C6" w:rsidRPr="007213A1" w:rsidRDefault="003412C6" w:rsidP="0015704E">
      <w:pPr>
        <w:widowControl w:val="0"/>
        <w:suppressLineNumbers/>
        <w:suppressAutoHyphens/>
        <w:rPr>
          <w:b/>
          <w:sz w:val="20"/>
          <w:szCs w:val="20"/>
          <w:lang w:val="es-ES" w:eastAsia="es-ES"/>
        </w:rPr>
      </w:pPr>
    </w:p>
    <w:p w14:paraId="45154264" w14:textId="77777777" w:rsidR="003412C6" w:rsidRPr="007213A1" w:rsidRDefault="003412C6" w:rsidP="003412C6">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Monedas</w:t>
      </w:r>
    </w:p>
    <w:p w14:paraId="5BA0D9FB" w14:textId="77777777" w:rsidR="003412C6" w:rsidRPr="007213A1" w:rsidRDefault="003412C6" w:rsidP="003412C6">
      <w:pPr>
        <w:widowControl w:val="0"/>
        <w:jc w:val="both"/>
        <w:rPr>
          <w:sz w:val="20"/>
          <w:szCs w:val="20"/>
          <w:lang w:val="es-AR"/>
        </w:rPr>
      </w:pPr>
    </w:p>
    <w:p w14:paraId="44D7625A" w14:textId="71FC309A" w:rsidR="003412C6" w:rsidRPr="007213A1" w:rsidRDefault="003412C6" w:rsidP="003412C6">
      <w:pPr>
        <w:widowControl w:val="0"/>
        <w:jc w:val="both"/>
        <w:rPr>
          <w:sz w:val="20"/>
          <w:szCs w:val="20"/>
          <w:lang w:val="es-AR"/>
        </w:rPr>
      </w:pPr>
      <w:r w:rsidRPr="007213A1">
        <w:rPr>
          <w:sz w:val="20"/>
          <w:szCs w:val="20"/>
          <w:lang w:val="es-AR"/>
        </w:rPr>
        <w:t>Las Obligaciones Negociables podrán estar denominadas en Pesos, Dólares y/o cualquier otra moneda</w:t>
      </w:r>
      <w:r w:rsidR="00650E29" w:rsidRPr="007213A1">
        <w:rPr>
          <w:sz w:val="20"/>
          <w:szCs w:val="20"/>
          <w:lang w:val="es-AR"/>
        </w:rPr>
        <w:t>, y/o unidades de valor tales como, sin limitación, las Unidades de Valor Adquisitivo actualizables por el Coeficiente de Estabilización de Referencia (CER) Ley N°25.827 (“</w:t>
      </w:r>
      <w:r w:rsidR="00650E29" w:rsidRPr="007213A1">
        <w:rPr>
          <w:sz w:val="20"/>
          <w:szCs w:val="20"/>
          <w:u w:val="single"/>
          <w:lang w:val="es-AR"/>
        </w:rPr>
        <w:t>UVAs</w:t>
      </w:r>
      <w:r w:rsidR="00650E29" w:rsidRPr="007213A1">
        <w:rPr>
          <w:sz w:val="20"/>
          <w:szCs w:val="20"/>
          <w:lang w:val="es-AR"/>
        </w:rPr>
        <w:t>”) o en Unidades de Vivienda actualizables por el Índice del Costo de la Construcción (ICC) Ley N°27.271 (“</w:t>
      </w:r>
      <w:r w:rsidR="00650E29" w:rsidRPr="007213A1">
        <w:rPr>
          <w:sz w:val="20"/>
          <w:szCs w:val="20"/>
          <w:u w:val="single"/>
          <w:lang w:val="es-AR"/>
        </w:rPr>
        <w:t>UVIs</w:t>
      </w:r>
      <w:r w:rsidR="00650E29" w:rsidRPr="007213A1">
        <w:rPr>
          <w:sz w:val="20"/>
          <w:szCs w:val="20"/>
          <w:lang w:val="es-AR"/>
        </w:rPr>
        <w:t>”), de conformidad con lo establecido por el BCRA y por la CNV, y aquellas otras normas que en el futuro modifiquen y/o complementen dicha regulación y/o cualquier otra unidad de valor</w:t>
      </w:r>
      <w:r w:rsidRPr="007213A1">
        <w:rPr>
          <w:sz w:val="20"/>
          <w:szCs w:val="20"/>
          <w:lang w:val="es-AR"/>
        </w:rPr>
        <w:t>, conforme se especifique en el Suplemento de Precio, sujeto al cumplimiento de todos los requisitos legales o reglamentarios aplicables a la emisión en dicha moneda</w:t>
      </w:r>
      <w:r w:rsidR="00650E29" w:rsidRPr="007213A1">
        <w:rPr>
          <w:sz w:val="20"/>
          <w:szCs w:val="20"/>
          <w:lang w:val="es-AR"/>
        </w:rPr>
        <w:t xml:space="preserve"> o unidad de valor</w:t>
      </w:r>
      <w:r w:rsidRPr="007213A1">
        <w:rPr>
          <w:sz w:val="20"/>
          <w:szCs w:val="20"/>
          <w:lang w:val="es-AR"/>
        </w:rPr>
        <w:t>, incluso, sin que ello implique limitación alguna, podrán emitirse Obligaciones Negociables cuyo valor nominal esté determinado en una moneda</w:t>
      </w:r>
      <w:r w:rsidR="00650E29" w:rsidRPr="007213A1">
        <w:rPr>
          <w:sz w:val="20"/>
          <w:szCs w:val="20"/>
          <w:lang w:val="es-AR"/>
        </w:rPr>
        <w:t xml:space="preserve"> y/o unidad de valor</w:t>
      </w:r>
      <w:r w:rsidRPr="007213A1">
        <w:rPr>
          <w:sz w:val="20"/>
          <w:szCs w:val="20"/>
          <w:lang w:val="es-AR"/>
        </w:rPr>
        <w:t>, el cual se podrá convertir durante la vigencia de las Obligaciones Negociables en cuestión a otra moneda</w:t>
      </w:r>
      <w:r w:rsidR="0090664B">
        <w:rPr>
          <w:sz w:val="20"/>
          <w:szCs w:val="20"/>
          <w:lang w:val="es-AR"/>
        </w:rPr>
        <w:t xml:space="preserve"> y/o unidad de valor</w:t>
      </w:r>
      <w:r w:rsidRPr="007213A1">
        <w:rPr>
          <w:sz w:val="20"/>
          <w:szCs w:val="20"/>
          <w:lang w:val="es-AR"/>
        </w:rPr>
        <w:t xml:space="preserve"> según </w:t>
      </w:r>
      <w:r w:rsidR="0090664B">
        <w:rPr>
          <w:sz w:val="20"/>
          <w:szCs w:val="20"/>
          <w:lang w:val="es-AR"/>
        </w:rPr>
        <w:t>la conversión</w:t>
      </w:r>
      <w:r w:rsidRPr="007213A1">
        <w:rPr>
          <w:sz w:val="20"/>
          <w:szCs w:val="20"/>
          <w:lang w:val="es-AR"/>
        </w:rPr>
        <w:t xml:space="preserve"> que se indique en el Suplemento de Precio, y luego el capital y/o intereses y/o Montos Adicionales y/o cualquier otra suma a ser abonada bajo dichas Obligaciones Negociables pueda ser pagada a su tenedor en alguna de dichas monedas o en cualquier otra moneda</w:t>
      </w:r>
      <w:r w:rsidR="00650E29" w:rsidRPr="007213A1">
        <w:rPr>
          <w:sz w:val="20"/>
          <w:szCs w:val="20"/>
          <w:lang w:val="es-AR"/>
        </w:rPr>
        <w:t xml:space="preserve"> o unidad de valor</w:t>
      </w:r>
      <w:r w:rsidRPr="007213A1">
        <w:rPr>
          <w:sz w:val="20"/>
          <w:szCs w:val="20"/>
          <w:lang w:val="es-AR"/>
        </w:rPr>
        <w:t>, según se especifique en el Suplemento de Precio aplicable. Siempre y cuando lo permitan las normas aplicables, podrán emitirse Obligaciones Negociables cuyo capital sea ajustable por los índices y/o procedimientos que se especifiquen en los Suplementos de Precio correspondientes. Asimismo, las Obligaciones Negociables podrán estar denominadas en más de una moneda</w:t>
      </w:r>
      <w:r w:rsidR="00650E29" w:rsidRPr="007213A1">
        <w:rPr>
          <w:sz w:val="20"/>
          <w:szCs w:val="20"/>
          <w:lang w:val="es-AR"/>
        </w:rPr>
        <w:t xml:space="preserve"> y/o unidad de valor</w:t>
      </w:r>
      <w:r w:rsidRPr="007213A1">
        <w:rPr>
          <w:sz w:val="20"/>
          <w:szCs w:val="20"/>
          <w:lang w:val="es-AR"/>
        </w:rPr>
        <w:t>, según se especifique en el Suplemento de Precio aplicable. En la medida que ello esté prohibido, en ningún caso se admitirá actualización monetaria, indexación por precios, variación de costos o repotenciación de deudas, cualquiera fuere su causa, haya o no mora de la Emisora, con las salvedades previstas en la Ley N° 23.928 de Convertibilidad y sus modificatorias y/o complementarias.</w:t>
      </w:r>
    </w:p>
    <w:p w14:paraId="15E4ED51" w14:textId="77777777" w:rsidR="003412C6" w:rsidRPr="007213A1" w:rsidRDefault="003412C6" w:rsidP="0015704E">
      <w:pPr>
        <w:widowControl w:val="0"/>
        <w:suppressLineNumbers/>
        <w:suppressAutoHyphens/>
        <w:rPr>
          <w:b/>
          <w:sz w:val="20"/>
          <w:szCs w:val="20"/>
          <w:lang w:val="es-AR" w:eastAsia="es-ES"/>
        </w:rPr>
      </w:pPr>
    </w:p>
    <w:p w14:paraId="0A70EF02" w14:textId="77777777" w:rsidR="003412C6" w:rsidRPr="007213A1" w:rsidRDefault="003412C6" w:rsidP="003412C6">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Oferta</w:t>
      </w:r>
    </w:p>
    <w:p w14:paraId="298DC425" w14:textId="77777777" w:rsidR="003412C6" w:rsidRPr="007213A1" w:rsidRDefault="003412C6" w:rsidP="003412C6">
      <w:pPr>
        <w:widowControl w:val="0"/>
        <w:jc w:val="both"/>
        <w:rPr>
          <w:sz w:val="20"/>
          <w:szCs w:val="20"/>
          <w:lang w:val="es-AR"/>
        </w:rPr>
      </w:pPr>
    </w:p>
    <w:p w14:paraId="3EAA7D8F" w14:textId="77777777" w:rsidR="003412C6" w:rsidRPr="007213A1" w:rsidRDefault="003412C6" w:rsidP="003412C6">
      <w:pPr>
        <w:widowControl w:val="0"/>
        <w:jc w:val="both"/>
        <w:rPr>
          <w:sz w:val="20"/>
          <w:szCs w:val="20"/>
          <w:lang w:val="es-AR"/>
        </w:rPr>
      </w:pPr>
      <w:r w:rsidRPr="007213A1">
        <w:rPr>
          <w:sz w:val="20"/>
          <w:szCs w:val="20"/>
          <w:lang w:val="es-AR"/>
        </w:rPr>
        <w:t>Las Obligaciones Negociables podrán ofrecerse en la República Argentina o en cualquier otra jurisdicción, conforme se indique en cada Suplemento de Precio.</w:t>
      </w:r>
    </w:p>
    <w:p w14:paraId="2D9FA0AE" w14:textId="77777777" w:rsidR="003412C6" w:rsidRPr="007213A1" w:rsidRDefault="003412C6" w:rsidP="0015704E">
      <w:pPr>
        <w:widowControl w:val="0"/>
        <w:suppressLineNumbers/>
        <w:suppressAutoHyphens/>
        <w:rPr>
          <w:b/>
          <w:sz w:val="20"/>
          <w:szCs w:val="20"/>
          <w:lang w:val="es-AR" w:eastAsia="es-ES"/>
        </w:rPr>
      </w:pPr>
    </w:p>
    <w:p w14:paraId="5FE402DC" w14:textId="77777777" w:rsidR="003412C6" w:rsidRPr="007213A1" w:rsidRDefault="003412C6" w:rsidP="003412C6">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Forma</w:t>
      </w:r>
    </w:p>
    <w:p w14:paraId="494E8EFC" w14:textId="77777777" w:rsidR="003412C6" w:rsidRPr="007213A1" w:rsidRDefault="003412C6" w:rsidP="003412C6">
      <w:pPr>
        <w:widowControl w:val="0"/>
        <w:jc w:val="both"/>
        <w:rPr>
          <w:sz w:val="20"/>
          <w:szCs w:val="20"/>
          <w:lang w:val="es-AR"/>
        </w:rPr>
      </w:pPr>
    </w:p>
    <w:p w14:paraId="65D023F3" w14:textId="77777777" w:rsidR="003412C6" w:rsidRPr="007213A1" w:rsidRDefault="003412C6" w:rsidP="003412C6">
      <w:pPr>
        <w:widowControl w:val="0"/>
        <w:jc w:val="both"/>
        <w:rPr>
          <w:sz w:val="20"/>
          <w:szCs w:val="20"/>
          <w:lang w:val="es-AR"/>
        </w:rPr>
      </w:pPr>
      <w:r w:rsidRPr="007213A1">
        <w:rPr>
          <w:sz w:val="20"/>
          <w:szCs w:val="20"/>
          <w:lang w:val="es-AR"/>
        </w:rPr>
        <w:t>Según lo permitan las normas aplicables, las Obligaciones Negociables podrán ser escriturales, estar representadas en títulos cartulares definitivos al portador o nominativos (y en este último caso, ser endosables o no), o estar representadas en certificados o títulos globales (para su depósito con depositarios de la República Argentina y/o del exterior, autorizados por las normas vigentes de la jurisdicción que corresponda), según se especifique en el Suplemento de Precio aplicable. De conformidad con lo dispuesto por la Ley de Nominatividad, actualmente los valores negociables privados emitidos en la República Argentina deben ser nominativos no endosables o escriturales.</w:t>
      </w:r>
    </w:p>
    <w:p w14:paraId="7D000946" w14:textId="77777777" w:rsidR="003412C6" w:rsidRPr="007213A1" w:rsidRDefault="003412C6" w:rsidP="0015704E">
      <w:pPr>
        <w:widowControl w:val="0"/>
        <w:suppressLineNumbers/>
        <w:suppressAutoHyphens/>
        <w:rPr>
          <w:b/>
          <w:sz w:val="20"/>
          <w:szCs w:val="20"/>
          <w:lang w:val="es-AR" w:eastAsia="es-ES"/>
        </w:rPr>
      </w:pPr>
    </w:p>
    <w:p w14:paraId="0570C722" w14:textId="77777777" w:rsidR="003412C6" w:rsidRPr="007213A1" w:rsidRDefault="003412C6" w:rsidP="003412C6">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Clases y/o Series</w:t>
      </w:r>
    </w:p>
    <w:p w14:paraId="52940AD7" w14:textId="77777777" w:rsidR="003412C6" w:rsidRPr="007213A1" w:rsidRDefault="003412C6" w:rsidP="003412C6">
      <w:pPr>
        <w:widowControl w:val="0"/>
        <w:jc w:val="both"/>
        <w:rPr>
          <w:sz w:val="20"/>
          <w:szCs w:val="20"/>
          <w:lang w:val="es-AR"/>
        </w:rPr>
      </w:pPr>
    </w:p>
    <w:p w14:paraId="1470A962" w14:textId="77777777" w:rsidR="003412C6" w:rsidRPr="007213A1" w:rsidRDefault="003412C6" w:rsidP="003412C6">
      <w:pPr>
        <w:widowControl w:val="0"/>
        <w:jc w:val="both"/>
        <w:rPr>
          <w:sz w:val="20"/>
          <w:szCs w:val="20"/>
          <w:lang w:val="es-AR"/>
        </w:rPr>
      </w:pPr>
      <w:r w:rsidRPr="007213A1">
        <w:rPr>
          <w:sz w:val="20"/>
          <w:szCs w:val="20"/>
          <w:lang w:val="es-AR"/>
        </w:rPr>
        <w:t xml:space="preserve">Las Obligaciones Negociables podrán ser emitidas en diversas Clases y/o Series. Asimismo, las Obligaciones Negociables de una misma Clase podrán ser emitidas en diversas Series. Las Obligaciones Negociables emitidas en diferentes Clases podrán otorgar derechos diferentes, según se especifique en el correspondiente Suplemento de Precio aplicable. Podrá resolverse la reapertura de Clases y/o Series en caso de que así lo decida la Emisora. </w:t>
      </w:r>
    </w:p>
    <w:p w14:paraId="411ECED2" w14:textId="77777777" w:rsidR="003412C6" w:rsidRPr="007213A1" w:rsidRDefault="003412C6" w:rsidP="0015704E">
      <w:pPr>
        <w:widowControl w:val="0"/>
        <w:suppressLineNumbers/>
        <w:suppressAutoHyphens/>
        <w:rPr>
          <w:b/>
          <w:sz w:val="20"/>
          <w:szCs w:val="20"/>
          <w:lang w:val="es-AR" w:eastAsia="es-ES"/>
        </w:rPr>
      </w:pPr>
    </w:p>
    <w:p w14:paraId="55F12D4C" w14:textId="77777777" w:rsidR="003412C6" w:rsidRPr="007213A1" w:rsidRDefault="003412C6" w:rsidP="003412C6">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Precio de Emisión</w:t>
      </w:r>
    </w:p>
    <w:p w14:paraId="2063A2BD" w14:textId="77777777" w:rsidR="003412C6" w:rsidRPr="007213A1" w:rsidRDefault="003412C6" w:rsidP="003412C6">
      <w:pPr>
        <w:widowControl w:val="0"/>
        <w:jc w:val="both"/>
        <w:rPr>
          <w:sz w:val="20"/>
          <w:szCs w:val="20"/>
          <w:lang w:val="es-AR"/>
        </w:rPr>
      </w:pPr>
    </w:p>
    <w:p w14:paraId="2966F63E" w14:textId="77777777" w:rsidR="003412C6" w:rsidRPr="007213A1" w:rsidRDefault="003412C6" w:rsidP="003412C6">
      <w:pPr>
        <w:pStyle w:val="notaalpie"/>
        <w:widowControl w:val="0"/>
        <w:suppressLineNumbers/>
        <w:suppressAutoHyphens/>
        <w:rPr>
          <w:rFonts w:ascii="Times New Roman" w:hAnsi="Times New Roman"/>
          <w:lang w:val="es-ES"/>
        </w:rPr>
      </w:pPr>
      <w:r w:rsidRPr="007213A1">
        <w:rPr>
          <w:rFonts w:ascii="Times New Roman" w:hAnsi="Times New Roman"/>
          <w:lang w:val="es-ES"/>
        </w:rPr>
        <w:t>Las Obligaciones Negociables podrán emitirse a la par o con descuento, o con prima respecto del valor par o de aquél otro modo que se especifique en el Suplemento de Precio. El precio de emisión para cada Clase y/o Serie de Obligaciones Negociables será el que se especifique en el Suplemento de Precio aplicable.</w:t>
      </w:r>
    </w:p>
    <w:p w14:paraId="6E016A3C" w14:textId="77777777" w:rsidR="003412C6" w:rsidRPr="007213A1" w:rsidRDefault="003412C6" w:rsidP="003412C6">
      <w:pPr>
        <w:pStyle w:val="notaalpie"/>
        <w:widowControl w:val="0"/>
        <w:suppressLineNumbers/>
        <w:suppressAutoHyphens/>
        <w:rPr>
          <w:rFonts w:ascii="Times New Roman" w:hAnsi="Times New Roman"/>
          <w:lang w:val="es-ES"/>
        </w:rPr>
      </w:pPr>
    </w:p>
    <w:p w14:paraId="4755651A" w14:textId="77777777" w:rsidR="003412C6" w:rsidRPr="007213A1" w:rsidRDefault="003412C6" w:rsidP="003412C6">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Vencimiento y Amortización</w:t>
      </w:r>
    </w:p>
    <w:p w14:paraId="3214601A" w14:textId="77777777" w:rsidR="003412C6" w:rsidRPr="007213A1" w:rsidRDefault="003412C6" w:rsidP="003412C6">
      <w:pPr>
        <w:widowControl w:val="0"/>
        <w:jc w:val="both"/>
        <w:rPr>
          <w:sz w:val="20"/>
          <w:szCs w:val="20"/>
          <w:lang w:val="es-AR"/>
        </w:rPr>
      </w:pPr>
    </w:p>
    <w:p w14:paraId="52B78E20" w14:textId="77777777" w:rsidR="003412C6" w:rsidRPr="007213A1" w:rsidRDefault="003412C6" w:rsidP="003412C6">
      <w:pPr>
        <w:widowControl w:val="0"/>
        <w:jc w:val="both"/>
        <w:rPr>
          <w:sz w:val="20"/>
          <w:szCs w:val="20"/>
          <w:lang w:val="es-AR"/>
        </w:rPr>
      </w:pPr>
      <w:r w:rsidRPr="007213A1">
        <w:rPr>
          <w:sz w:val="20"/>
          <w:szCs w:val="20"/>
          <w:lang w:val="es-AR"/>
        </w:rPr>
        <w:t>Las Obligaciones Negociables tendrán los plazos de vencimiento y los plazos y formas de amortización que se fijen en el correspondiente Suplemento de Precio, respetando los plazos mínimos y máximos que resulten aplicables de acuerdo con las normas vigentes y pudiendo ser emitidas a corto, mediano y/o largo plazo.</w:t>
      </w:r>
    </w:p>
    <w:p w14:paraId="66D442CE" w14:textId="77777777" w:rsidR="003412C6" w:rsidRPr="007213A1" w:rsidRDefault="003412C6" w:rsidP="003412C6">
      <w:pPr>
        <w:pStyle w:val="notaalpie"/>
        <w:widowControl w:val="0"/>
        <w:suppressLineNumbers/>
        <w:suppressAutoHyphens/>
        <w:rPr>
          <w:rFonts w:ascii="Times New Roman" w:hAnsi="Times New Roman"/>
          <w:lang w:val="es-AR"/>
        </w:rPr>
      </w:pPr>
    </w:p>
    <w:p w14:paraId="7813C93A" w14:textId="77777777" w:rsidR="004D1B28" w:rsidRPr="007213A1" w:rsidRDefault="004D1B28" w:rsidP="004D1B28">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Organizador</w:t>
      </w:r>
    </w:p>
    <w:p w14:paraId="2A1BA198" w14:textId="77777777" w:rsidR="004D1B28" w:rsidRPr="007213A1" w:rsidRDefault="004D1B28" w:rsidP="004D1B28">
      <w:pPr>
        <w:widowControl w:val="0"/>
        <w:jc w:val="both"/>
        <w:rPr>
          <w:sz w:val="20"/>
          <w:szCs w:val="20"/>
          <w:lang w:val="es-AR"/>
        </w:rPr>
      </w:pPr>
    </w:p>
    <w:p w14:paraId="011310E0" w14:textId="77777777" w:rsidR="004D1B28" w:rsidRPr="007213A1" w:rsidRDefault="004D1B28" w:rsidP="004D1B28">
      <w:pPr>
        <w:widowControl w:val="0"/>
        <w:jc w:val="both"/>
        <w:outlineLvl w:val="2"/>
        <w:rPr>
          <w:sz w:val="20"/>
          <w:szCs w:val="20"/>
          <w:lang w:val="es-AR"/>
        </w:rPr>
      </w:pPr>
      <w:r w:rsidRPr="007213A1">
        <w:rPr>
          <w:sz w:val="20"/>
          <w:szCs w:val="20"/>
          <w:lang w:val="es-AR"/>
        </w:rPr>
        <w:t>Será quien oportunamente se designe en el Suplemento de Precio en relación con una Clase y/o Serie de Obligaciones Negociables.</w:t>
      </w:r>
    </w:p>
    <w:p w14:paraId="537B0DE2" w14:textId="77777777" w:rsidR="003412C6" w:rsidRPr="007213A1" w:rsidRDefault="003412C6" w:rsidP="003412C6">
      <w:pPr>
        <w:widowControl w:val="0"/>
        <w:jc w:val="both"/>
        <w:rPr>
          <w:sz w:val="20"/>
          <w:szCs w:val="20"/>
          <w:lang w:val="es-AR"/>
        </w:rPr>
      </w:pPr>
    </w:p>
    <w:p w14:paraId="32D06CE6" w14:textId="77777777" w:rsidR="004D1B28" w:rsidRPr="007213A1" w:rsidRDefault="004D1B28" w:rsidP="004D1B28">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Fiduciarios y Agentes</w:t>
      </w:r>
    </w:p>
    <w:p w14:paraId="568B9D36" w14:textId="1876140B" w:rsidR="004D1B28" w:rsidRDefault="004D1B28" w:rsidP="004D1B28">
      <w:pPr>
        <w:widowControl w:val="0"/>
        <w:jc w:val="both"/>
        <w:rPr>
          <w:sz w:val="20"/>
          <w:szCs w:val="20"/>
          <w:lang w:val="es-AR"/>
        </w:rPr>
      </w:pPr>
      <w:r w:rsidRPr="007213A1">
        <w:rPr>
          <w:sz w:val="20"/>
          <w:szCs w:val="20"/>
          <w:lang w:val="es-AR"/>
        </w:rPr>
        <w:t>Las Obligaciones Negociables podrán ser emitidas en el marco de convenios de fideicomiso de acuerdo a lo dispuesto por el artículo 13 de la Ley de Obligaciones Negociables y/o de convenios de agencia que oportunamente la Emisora celebre con entidades de la República Argentina y/o del exterior que actúen como fiduciarios y/o agentes. Tales fiduciarios y/o agentes desempeñarán funciones solamente respecto de la Clase y/o Serie de Obligaciones Negociables que se especifique en el respectivo Suplemento de Precio, y tendrán los derechos y obligaciones que se especifiquen en los mismos. La existencia de fiduciarios y agentes se detallará, de corresponder, en el Suplemento de Precio aplicable.</w:t>
      </w:r>
    </w:p>
    <w:p w14:paraId="04EBB202" w14:textId="77777777" w:rsidR="0090664B" w:rsidRPr="007213A1" w:rsidRDefault="0090664B" w:rsidP="004D1B28">
      <w:pPr>
        <w:widowControl w:val="0"/>
        <w:jc w:val="both"/>
        <w:rPr>
          <w:sz w:val="20"/>
          <w:szCs w:val="20"/>
          <w:lang w:val="es-AR"/>
        </w:rPr>
      </w:pPr>
    </w:p>
    <w:p w14:paraId="451B16A1" w14:textId="77777777" w:rsidR="004D1B28" w:rsidRPr="007213A1" w:rsidRDefault="004D1B28" w:rsidP="004D1B28">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Unidad mínima de negociación y Monto Mínimo de Suscripción</w:t>
      </w:r>
    </w:p>
    <w:p w14:paraId="3B400704" w14:textId="77777777" w:rsidR="004D1B28" w:rsidRPr="007213A1" w:rsidRDefault="004D1B28" w:rsidP="004D1B28">
      <w:pPr>
        <w:widowControl w:val="0"/>
        <w:jc w:val="both"/>
        <w:rPr>
          <w:sz w:val="20"/>
          <w:szCs w:val="20"/>
          <w:lang w:val="es-AR"/>
        </w:rPr>
      </w:pPr>
    </w:p>
    <w:p w14:paraId="2259E6D7" w14:textId="77777777" w:rsidR="004D1B28" w:rsidRPr="007213A1" w:rsidRDefault="004D1B28" w:rsidP="004D1B28">
      <w:pPr>
        <w:pStyle w:val="notaalpie"/>
        <w:widowControl w:val="0"/>
        <w:suppressLineNumbers/>
        <w:suppressAutoHyphens/>
        <w:rPr>
          <w:rFonts w:ascii="Times New Roman" w:hAnsi="Times New Roman"/>
          <w:lang w:val="es-ES"/>
        </w:rPr>
      </w:pPr>
      <w:r w:rsidRPr="007213A1">
        <w:rPr>
          <w:rFonts w:ascii="Times New Roman" w:hAnsi="Times New Roman"/>
          <w:lang w:val="es-ES"/>
        </w:rPr>
        <w:t>La unidad mínima de negociación y el monto mínimo de suscripción de cada una de las Clases y/o Series de Obligaciones Negociables y sus múltiplos correspondientes serán determinados oportunamente en cada Suplemento de Precio, respetando las normas aplicables vigentes.</w:t>
      </w:r>
    </w:p>
    <w:p w14:paraId="6DF99D65" w14:textId="77777777" w:rsidR="003412C6" w:rsidRPr="007213A1" w:rsidRDefault="003412C6" w:rsidP="0015704E">
      <w:pPr>
        <w:widowControl w:val="0"/>
        <w:suppressLineNumbers/>
        <w:suppressAutoHyphens/>
        <w:rPr>
          <w:b/>
          <w:sz w:val="20"/>
          <w:szCs w:val="20"/>
          <w:lang w:val="es-AR" w:eastAsia="es-ES"/>
        </w:rPr>
      </w:pPr>
    </w:p>
    <w:p w14:paraId="1C181CFC"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Colocación</w:t>
      </w:r>
    </w:p>
    <w:p w14:paraId="641CBB99" w14:textId="77777777" w:rsidR="001F6362" w:rsidRPr="007213A1" w:rsidRDefault="001F6362" w:rsidP="001F6362">
      <w:pPr>
        <w:widowControl w:val="0"/>
        <w:jc w:val="both"/>
        <w:rPr>
          <w:sz w:val="20"/>
          <w:szCs w:val="20"/>
          <w:lang w:val="es-AR"/>
        </w:rPr>
      </w:pPr>
    </w:p>
    <w:p w14:paraId="3D55C46F" w14:textId="72E175D5" w:rsidR="001F6362" w:rsidRPr="007213A1" w:rsidRDefault="001F6362" w:rsidP="001F6362">
      <w:pPr>
        <w:widowControl w:val="0"/>
        <w:jc w:val="both"/>
        <w:outlineLvl w:val="2"/>
        <w:rPr>
          <w:bCs/>
          <w:sz w:val="20"/>
          <w:szCs w:val="20"/>
          <w:lang w:val="es-AR"/>
        </w:rPr>
      </w:pPr>
      <w:r w:rsidRPr="007213A1">
        <w:rPr>
          <w:sz w:val="20"/>
          <w:szCs w:val="20"/>
          <w:lang w:val="es-AR"/>
        </w:rPr>
        <w:t xml:space="preserve">La Emisora colocará las Obligaciones Negociables a través a través del/los Colocador/es que designe en relación con una Clase y/o Serie de Obligaciones Negociables. En caso de que corresponda, los nombres de los Colocadores se indicarán en los Suplementos de Precio correspondientes. Los Colocadores podrán </w:t>
      </w:r>
      <w:r w:rsidR="0090664B">
        <w:rPr>
          <w:sz w:val="20"/>
          <w:szCs w:val="20"/>
          <w:lang w:val="es-AR"/>
        </w:rPr>
        <w:t>desempeñarse como</w:t>
      </w:r>
      <w:r w:rsidRPr="007213A1">
        <w:rPr>
          <w:sz w:val="20"/>
          <w:szCs w:val="20"/>
          <w:lang w:val="es-AR"/>
        </w:rPr>
        <w:t xml:space="preserve"> </w:t>
      </w:r>
      <w:r w:rsidRPr="007213A1">
        <w:rPr>
          <w:i/>
          <w:sz w:val="20"/>
          <w:szCs w:val="20"/>
          <w:lang w:val="es-AR"/>
        </w:rPr>
        <w:t>underwriters</w:t>
      </w:r>
      <w:r w:rsidRPr="007213A1">
        <w:rPr>
          <w:sz w:val="20"/>
          <w:szCs w:val="20"/>
          <w:lang w:val="es-AR"/>
        </w:rPr>
        <w:t xml:space="preserve">, colocadores con convenios de mejores esfuerzos, u otros agentes habilitados, según lo especificado en el Suplemento de Precio correspondiente. Entre otros esfuerzos de colocación, se pondrán a disposición del público inversor ejemplares del Prospecto y del Suplemento de Precio correspondiente y se podrá publicar en el boletín diario de la entidad en la República Argentina donde se listen y/o negocien las Obligaciones Negociables, un prospecto y/o un suplemento de precio resumidos donde consten los términos y condiciones de las Obligaciones Negociables a emitirse. </w:t>
      </w:r>
      <w:r w:rsidRPr="007213A1">
        <w:rPr>
          <w:bCs/>
          <w:sz w:val="20"/>
          <w:szCs w:val="20"/>
          <w:lang w:val="es-AR"/>
        </w:rPr>
        <w:t xml:space="preserve">La Emisora y el Colocador realizarán las actividades de colocación de las Obligaciones Negociables </w:t>
      </w:r>
      <w:r w:rsidRPr="007213A1">
        <w:rPr>
          <w:sz w:val="20"/>
          <w:szCs w:val="20"/>
          <w:lang w:val="es-AR"/>
        </w:rPr>
        <w:t xml:space="preserve">de conformidad con </w:t>
      </w:r>
      <w:r w:rsidRPr="007213A1">
        <w:rPr>
          <w:bCs/>
          <w:sz w:val="20"/>
          <w:szCs w:val="20"/>
          <w:lang w:val="es-AR"/>
        </w:rPr>
        <w:t>lo que se disponga en el Suplemento de Precio aplicable y la normativa aplicable.</w:t>
      </w:r>
    </w:p>
    <w:p w14:paraId="1E5DA6BA" w14:textId="77777777" w:rsidR="001F6362" w:rsidRPr="007213A1" w:rsidRDefault="001F6362" w:rsidP="0015704E">
      <w:pPr>
        <w:widowControl w:val="0"/>
        <w:suppressLineNumbers/>
        <w:suppressAutoHyphens/>
        <w:rPr>
          <w:b/>
          <w:sz w:val="20"/>
          <w:szCs w:val="20"/>
          <w:lang w:val="es-AR" w:eastAsia="es-ES"/>
        </w:rPr>
      </w:pPr>
    </w:p>
    <w:p w14:paraId="09D1DD3A"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Período de Colocación y Modalidades de Integración</w:t>
      </w:r>
    </w:p>
    <w:p w14:paraId="5320C1A0" w14:textId="77777777" w:rsidR="001F6362" w:rsidRPr="007213A1" w:rsidRDefault="001F6362" w:rsidP="001F6362">
      <w:pPr>
        <w:widowControl w:val="0"/>
        <w:jc w:val="both"/>
        <w:rPr>
          <w:sz w:val="20"/>
          <w:szCs w:val="20"/>
          <w:lang w:val="es-AR"/>
        </w:rPr>
      </w:pPr>
    </w:p>
    <w:p w14:paraId="2AB102E0" w14:textId="77777777" w:rsidR="001F6362" w:rsidRPr="007213A1" w:rsidRDefault="001F6362" w:rsidP="001F6362">
      <w:pPr>
        <w:widowControl w:val="0"/>
        <w:jc w:val="both"/>
        <w:rPr>
          <w:sz w:val="20"/>
          <w:szCs w:val="20"/>
          <w:lang w:val="es-AR"/>
        </w:rPr>
      </w:pPr>
      <w:r w:rsidRPr="007213A1">
        <w:rPr>
          <w:sz w:val="20"/>
          <w:szCs w:val="20"/>
          <w:lang w:val="es-AR"/>
        </w:rPr>
        <w:t>Las Obligaciones Negociables serán ofrecidas al público inversor por tantos días como se establezca en el Suplemento de Precio correspondiente, de conformidad con lo establecido por la normativa vigente. El modo y plazo de integración del precio de suscripción de las Obligaciones Negociables serán determinados en el Suplemento de Precio correspondiente. Los suscriptores de Obligaciones Negociables podrán integrar el precio de las Obligaciones Negociables que le fueran adjudicadas en dinero o en especie mediante la entrega de valores negociables conforme se indique en cada Suplemento de Precio.</w:t>
      </w:r>
    </w:p>
    <w:p w14:paraId="63C8067E" w14:textId="77777777" w:rsidR="001F6362" w:rsidRPr="007213A1" w:rsidRDefault="001F6362" w:rsidP="001F6362">
      <w:pPr>
        <w:widowControl w:val="0"/>
        <w:jc w:val="both"/>
        <w:rPr>
          <w:sz w:val="20"/>
          <w:szCs w:val="20"/>
          <w:lang w:val="es-AR"/>
        </w:rPr>
      </w:pPr>
    </w:p>
    <w:p w14:paraId="0BADF5AE"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Destino de los Fondos</w:t>
      </w:r>
    </w:p>
    <w:p w14:paraId="2BB6C8E3" w14:textId="77777777" w:rsidR="001F6362" w:rsidRPr="007213A1" w:rsidRDefault="001F6362" w:rsidP="001F6362">
      <w:pPr>
        <w:widowControl w:val="0"/>
        <w:jc w:val="both"/>
        <w:rPr>
          <w:sz w:val="20"/>
          <w:szCs w:val="20"/>
          <w:lang w:val="es-AR"/>
        </w:rPr>
      </w:pPr>
    </w:p>
    <w:p w14:paraId="1E457A8B" w14:textId="77777777" w:rsidR="001F6362" w:rsidRPr="007213A1" w:rsidRDefault="001F6362" w:rsidP="001F6362">
      <w:pPr>
        <w:widowControl w:val="0"/>
        <w:jc w:val="both"/>
        <w:rPr>
          <w:bCs/>
          <w:sz w:val="20"/>
          <w:szCs w:val="20"/>
          <w:lang w:val="es-AR" w:eastAsia="x-none"/>
        </w:rPr>
      </w:pPr>
      <w:r w:rsidRPr="007213A1">
        <w:rPr>
          <w:bCs/>
          <w:sz w:val="20"/>
          <w:szCs w:val="20"/>
          <w:lang w:val="es-AR" w:eastAsia="x-none"/>
        </w:rPr>
        <w:t xml:space="preserve">En cumplimiento de lo establecido por el artículo 36 de la Ley de Obligaciones Negociables, los fondos netos provenientes de la colocación de las Obligaciones Negociables podrán ser destinados por la Emisora, según lo determine en oportunidad de la emisión de cada Clase y/o Serie en el Suplemento de Precio correspondiente a uno o más de los siguientes fines previstos: (i) inversiones en activos físicos y bienes de capital situados en el país; (ii) adquisición de fondos de comercio situados en el país; (iii) integración de capital de trabajo en el país o refinanciación de pasivos; (iv) integración de aportes de capital en sociedades controladas o vinculadas a la sociedad emisora; (v) adquisición de participaciones sociales y/o financiamiento del giro comercial de su negocio, cuyo producido se aplique exclusivamente a los destinos antes especificados, según se haya establecido en la resolución que disponga la emisión, y dado a conocer al público inversor a través del Prospecto. </w:t>
      </w:r>
    </w:p>
    <w:p w14:paraId="0795A549"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Agente de Pago</w:t>
      </w:r>
    </w:p>
    <w:p w14:paraId="12F29B4B" w14:textId="77777777" w:rsidR="001F6362" w:rsidRPr="007213A1" w:rsidRDefault="001F6362" w:rsidP="001F6362">
      <w:pPr>
        <w:widowControl w:val="0"/>
        <w:jc w:val="both"/>
        <w:rPr>
          <w:sz w:val="20"/>
          <w:szCs w:val="20"/>
          <w:lang w:val="es-AR"/>
        </w:rPr>
      </w:pPr>
    </w:p>
    <w:p w14:paraId="003C4173" w14:textId="77777777" w:rsidR="001F6362" w:rsidRPr="007213A1" w:rsidRDefault="001F6362" w:rsidP="001F6362">
      <w:pPr>
        <w:widowControl w:val="0"/>
        <w:jc w:val="both"/>
        <w:rPr>
          <w:sz w:val="20"/>
          <w:szCs w:val="20"/>
          <w:lang w:val="es-AR"/>
        </w:rPr>
      </w:pPr>
      <w:r w:rsidRPr="007213A1">
        <w:rPr>
          <w:sz w:val="20"/>
          <w:szCs w:val="20"/>
          <w:lang w:val="es-AR"/>
        </w:rPr>
        <w:t xml:space="preserve">El agente de pago de las Obligaciones Negociables será aquél que se designe en el Suplemento de Precio aplicable a cada Clase y/o Serie de Obligaciones Negociables. </w:t>
      </w:r>
    </w:p>
    <w:p w14:paraId="22A78AE8" w14:textId="77777777" w:rsidR="001F6362" w:rsidRPr="007213A1" w:rsidRDefault="001F6362" w:rsidP="001F6362">
      <w:pPr>
        <w:widowControl w:val="0"/>
        <w:jc w:val="both"/>
        <w:rPr>
          <w:sz w:val="20"/>
          <w:szCs w:val="20"/>
          <w:lang w:val="es-AR"/>
        </w:rPr>
      </w:pPr>
    </w:p>
    <w:p w14:paraId="1088AD9E"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Registro y Depósito Colectivo</w:t>
      </w:r>
    </w:p>
    <w:p w14:paraId="66794543" w14:textId="77777777" w:rsidR="001F6362" w:rsidRPr="007213A1" w:rsidRDefault="001F6362" w:rsidP="001F6362">
      <w:pPr>
        <w:widowControl w:val="0"/>
        <w:jc w:val="both"/>
        <w:rPr>
          <w:sz w:val="20"/>
          <w:szCs w:val="20"/>
          <w:lang w:val="es-AR"/>
        </w:rPr>
      </w:pPr>
    </w:p>
    <w:p w14:paraId="55630463" w14:textId="77777777" w:rsidR="001F6362" w:rsidRPr="007213A1" w:rsidRDefault="001F6362" w:rsidP="001F6362">
      <w:pPr>
        <w:widowControl w:val="0"/>
        <w:jc w:val="both"/>
        <w:rPr>
          <w:sz w:val="20"/>
          <w:szCs w:val="20"/>
          <w:lang w:val="es-AR"/>
        </w:rPr>
      </w:pPr>
      <w:r w:rsidRPr="007213A1">
        <w:rPr>
          <w:sz w:val="20"/>
          <w:szCs w:val="20"/>
          <w:lang w:val="es-AR"/>
        </w:rPr>
        <w:t>En el caso de Obligaciones Negociables escriturales o de Obligaciones Negociables nominativas, el agente de registro podrá ser la Emisora, o en nombre de ésta, Caja de Valores o quien se designe en el Suplemento de Precio correspondiente, de acuerdo con la normativa aplicable. Podrá disponerse el depósito colectivo en Caja de Valores de las Obligaciones Negociables representadas en títulos cartulares definitivos o en certificados o títulos globales o en otra entidad de la República Argentina y/o del exterior que se especifique en el Suplemento de Precio correspondiente y que sea un depositario autorizado por las normas vigentes de la jurisdicción que corresponda.</w:t>
      </w:r>
    </w:p>
    <w:p w14:paraId="52AC3D21" w14:textId="77777777" w:rsidR="001F6362" w:rsidRPr="007213A1" w:rsidRDefault="001F6362" w:rsidP="001F6362">
      <w:pPr>
        <w:widowControl w:val="0"/>
        <w:jc w:val="both"/>
        <w:rPr>
          <w:sz w:val="20"/>
          <w:szCs w:val="20"/>
          <w:lang w:val="es-AR"/>
        </w:rPr>
      </w:pPr>
    </w:p>
    <w:p w14:paraId="34B1FBCC"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Titularidad y Legitimación</w:t>
      </w:r>
    </w:p>
    <w:p w14:paraId="2B158EA9" w14:textId="77777777" w:rsidR="001F6362" w:rsidRPr="007213A1" w:rsidRDefault="001F6362" w:rsidP="001F6362">
      <w:pPr>
        <w:widowControl w:val="0"/>
        <w:jc w:val="both"/>
        <w:rPr>
          <w:sz w:val="20"/>
          <w:szCs w:val="20"/>
          <w:lang w:val="es-AR"/>
        </w:rPr>
      </w:pPr>
    </w:p>
    <w:p w14:paraId="750EC328" w14:textId="77777777" w:rsidR="001F6362" w:rsidRPr="007213A1" w:rsidRDefault="001F6362" w:rsidP="001F6362">
      <w:pPr>
        <w:widowControl w:val="0"/>
        <w:jc w:val="both"/>
        <w:rPr>
          <w:sz w:val="20"/>
          <w:szCs w:val="20"/>
          <w:lang w:val="es-AR"/>
        </w:rPr>
      </w:pPr>
      <w:r w:rsidRPr="007213A1">
        <w:rPr>
          <w:sz w:val="20"/>
          <w:szCs w:val="20"/>
          <w:lang w:val="es-AR"/>
        </w:rPr>
        <w:t>En el caso de Obligaciones Negociables escriturales, la titularidad de estas resultará de la inscripción respectiva en el registro pertinente; en el caso de Obligaciones Negociables nominativas no endosables, de las anotaciones respectivas en los títulos y en el registro pertinente. Según lo previsto por el artículo 129 de la Ley de Mercado de Capitales, en el caso de Obligaciones Negociables escriturales, a solicitud del titular se expedirán comprobantes del saldo de cuenta para la transmisión de tales Obligaciones Negociables o constitución sobre ellas de derechos reales, y para la asistencia a asambleas o ejercicio de derechos de voto. La expedición de dichos comprobantes importará el bloqueo de la cuenta por 10 Días Hábiles o hasta el día siguiente a la fecha de celebración de la asamblea en que deba asistir y/o ejercer el derecho a voto. Asimismo, de acuerdo con lo dispuesto por el mencionado artículo 129 de la Ley de Mercado de Capitales, se podrán expedir comprobantes del saldo de cuenta de valores escriturales o comprobantes de los valores representados en certificados globales, según sea el caso, a efectos de legitimar al titular (o a la persona que tenga una participación en el certificado global en cuestión) para reclamar judicialmente, o ante jurisdicción arbitral (incluso mediante acción ejecutiva si correspondiere), presentar solicitudes de verificación de crédito o participar en procesos universales, para lo que será suficiente título dicho comprobante, sin necesidad de autenticación u otro requisito. Su expedición importará el bloqueo de la cuenta respectiva, sólo para inscribir actos de disposición por su titular, por un plazo de 30 Días Hábiles, salvo que el titular devuelva el comprobante o dentro de dicho plazo se reciba una orden de prórroga del bloqueo del juez o tribunal arbitral ante el cual el comprobante se hubiera hecho valer. En el caso de Obligaciones Negociables representadas en certificados globales, el bloqueo de la cuenta sólo afectará a los valores a los que se refieran los comprobantes y éstos serán emitidos por la entidad de la República Argentina o del exterior que administre el sistema de depósito colectivo en el cual aquellos certificados globales se encuentren inscriptos. Cuando entidades administradoras de sistemas de depósito colectivo tengan participaciones en certificados globales inscriptos en sistemas de depósito colectivo administrados por otra entidad, los comprobantes podrán ser emitidos directamente por las primeras. A menos que se disponga lo contrario en el Suplemento de Precio aplicable, la expedición de todos los comprobantes previstos en esta sección “</w:t>
      </w:r>
      <w:r w:rsidRPr="007213A1">
        <w:rPr>
          <w:i/>
          <w:sz w:val="20"/>
          <w:szCs w:val="20"/>
          <w:lang w:val="es-AR"/>
        </w:rPr>
        <w:t>Titularidad y Legitimación</w:t>
      </w:r>
      <w:r w:rsidRPr="007213A1">
        <w:rPr>
          <w:sz w:val="20"/>
          <w:szCs w:val="20"/>
          <w:lang w:val="es-AR"/>
        </w:rPr>
        <w:t>” será a costa de quienes los soliciten.</w:t>
      </w:r>
    </w:p>
    <w:p w14:paraId="5261C699" w14:textId="77777777" w:rsidR="001F6362" w:rsidRPr="007213A1" w:rsidRDefault="001F6362" w:rsidP="001F6362">
      <w:pPr>
        <w:widowControl w:val="0"/>
        <w:jc w:val="both"/>
        <w:rPr>
          <w:sz w:val="20"/>
          <w:szCs w:val="20"/>
          <w:lang w:val="es-AR"/>
        </w:rPr>
      </w:pPr>
    </w:p>
    <w:p w14:paraId="0C0CB92C"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Transferencias</w:t>
      </w:r>
    </w:p>
    <w:p w14:paraId="5F287B70" w14:textId="77777777" w:rsidR="001F6362" w:rsidRPr="007213A1" w:rsidRDefault="001F6362" w:rsidP="001F6362">
      <w:pPr>
        <w:widowControl w:val="0"/>
        <w:jc w:val="both"/>
        <w:rPr>
          <w:sz w:val="20"/>
          <w:szCs w:val="20"/>
          <w:lang w:val="es-AR"/>
        </w:rPr>
      </w:pPr>
    </w:p>
    <w:p w14:paraId="2F146935" w14:textId="77777777" w:rsidR="001F6362" w:rsidRPr="007213A1" w:rsidRDefault="001F6362" w:rsidP="001F6362">
      <w:pPr>
        <w:widowControl w:val="0"/>
        <w:jc w:val="both"/>
        <w:rPr>
          <w:sz w:val="20"/>
          <w:szCs w:val="20"/>
          <w:lang w:val="es-AR"/>
        </w:rPr>
      </w:pPr>
      <w:r w:rsidRPr="007213A1">
        <w:rPr>
          <w:sz w:val="20"/>
          <w:szCs w:val="20"/>
          <w:lang w:val="es-AR"/>
        </w:rPr>
        <w:t>Las transferencias de Obligaciones Negociables depositadas en sistemas de depósito colectivo serán efectuadas de acuerdo con los procedimientos aplicables del depositario en cuestión, y respetando las normas vigentes. Las transferencias de Obligaciones Negociables escriturales serán efectuadas por los titulares registrales de acuerdo con los procedimientos aplicables del agente de registro en cuestión, y respetando las normas vigentes. Toda transmisión de Obligaciones Negociables nominativas o escriturales deberá notificarse por escrito a la Emisora o al agente de registro, según sea el caso, y surtirá efecto contra la Emisora y los terceros a partir de la fecha de su inscripción en los registros que correspondan. A menos que se disponga de otro modo en el Suplemento de Precio aplicable, la transferencia de Obligaciones Negociables nominativas no endosables representadas en títulos cartulares definitivos será efectuada por los titulares registrales mediante la entrega de los títulos en cuestión al correspondiente agente de registro, conjuntamente con una solicitud escrita, aceptable para dicho agente de registro, en la cual se solicite la transferencia de los mismos, en cuyo caso el agente de registro inscribirá la transferencia y entregará al nuevo titular registral los nuevos títulos cartulares definitivos debidamente firmados por la Emisora, en canje de los anteriores. Siempre y cuando la emisión de este tipo de títulos estuviera autorizada por las normas aplicables, las Obligaciones Negociables nominativas endosables se transmitirán por una cadena ininterrumpida de endosos (debiendo el endosatario, para ejercitar sus derechos, solicitar el registro correspondiente); y las Obligaciones Negociables al portador por la simple entrega de las mismas al nuevo tenedor. Actualmente, de acuerdo a dispuesto por la Ley de Nominatividad no pueden emitirse títulos al portador ni nominativos endosables. En relación con las Obligaciones Negociables escriturales, el artículo 130 de la Ley de Mercado de Capitales dispone que el tercero que adquiera a título oneroso valores negociables anotados en cuenta o escriturales de una persona que, según los asientos del registro correspondiente, aparezca legitimada para transmitirlos, no estará sujeto a reivindicación, a no ser que en el momento de la adquisición haya obrado de mala fe o con dolo.</w:t>
      </w:r>
    </w:p>
    <w:p w14:paraId="3D14D0D9" w14:textId="77777777" w:rsidR="001F6362" w:rsidRPr="007213A1" w:rsidRDefault="001F6362" w:rsidP="001F6362">
      <w:pPr>
        <w:widowControl w:val="0"/>
        <w:jc w:val="both"/>
        <w:rPr>
          <w:sz w:val="20"/>
          <w:szCs w:val="20"/>
          <w:lang w:val="es-AR"/>
        </w:rPr>
      </w:pPr>
    </w:p>
    <w:p w14:paraId="629CF051"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Derechos Reales y Gravámenes</w:t>
      </w:r>
    </w:p>
    <w:p w14:paraId="39BC4B50" w14:textId="77777777" w:rsidR="001F6362" w:rsidRPr="007213A1" w:rsidRDefault="001F6362" w:rsidP="001F6362">
      <w:pPr>
        <w:widowControl w:val="0"/>
        <w:jc w:val="both"/>
        <w:rPr>
          <w:sz w:val="20"/>
          <w:szCs w:val="20"/>
          <w:lang w:val="es-AR"/>
        </w:rPr>
      </w:pPr>
    </w:p>
    <w:p w14:paraId="07A20785" w14:textId="77777777" w:rsidR="001F6362" w:rsidRPr="007213A1" w:rsidRDefault="001F6362" w:rsidP="001F6362">
      <w:pPr>
        <w:widowControl w:val="0"/>
        <w:jc w:val="both"/>
        <w:rPr>
          <w:sz w:val="20"/>
          <w:szCs w:val="20"/>
          <w:lang w:val="es-AR"/>
        </w:rPr>
      </w:pPr>
      <w:r w:rsidRPr="007213A1">
        <w:rPr>
          <w:sz w:val="20"/>
          <w:szCs w:val="20"/>
          <w:lang w:val="es-AR"/>
        </w:rPr>
        <w:t>Toda creación, emisión, transmisión o constitución de derechos reales sobre las Obligaciones Negociables, gravamen, medida precautoria y cualquier otra afectación de los derechos conferidos por las Obligaciones Negociables serán notificados a la Emisora o al agente de registro, según sea el caso, y serán anotados en los registros que correspondan y surtirán efectos frente a la Emisora y los terceros desde la fecha de tal inscripción. Asimismo, se anotará en el dorso de los títulos cartulares definitivos representativos de Obligaciones Negociables nominativas, todo derecho real que grave tales Obligaciones Negociables.</w:t>
      </w:r>
    </w:p>
    <w:p w14:paraId="6E07296B" w14:textId="77777777" w:rsidR="001F6362" w:rsidRPr="007213A1" w:rsidRDefault="001F6362" w:rsidP="001F6362">
      <w:pPr>
        <w:widowControl w:val="0"/>
        <w:jc w:val="both"/>
        <w:rPr>
          <w:sz w:val="20"/>
          <w:szCs w:val="20"/>
          <w:lang w:val="es-AR"/>
        </w:rPr>
      </w:pPr>
    </w:p>
    <w:p w14:paraId="23CCDF3D"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Reemplazo</w:t>
      </w:r>
    </w:p>
    <w:p w14:paraId="059CFA42" w14:textId="77777777" w:rsidR="001F6362" w:rsidRPr="007213A1" w:rsidRDefault="001F6362" w:rsidP="001F6362">
      <w:pPr>
        <w:widowControl w:val="0"/>
        <w:jc w:val="both"/>
        <w:rPr>
          <w:sz w:val="20"/>
          <w:szCs w:val="20"/>
          <w:lang w:val="es-AR"/>
        </w:rPr>
      </w:pPr>
    </w:p>
    <w:p w14:paraId="72397A4F" w14:textId="77777777" w:rsidR="001F6362" w:rsidRPr="007213A1" w:rsidRDefault="001F6362" w:rsidP="001F6362">
      <w:pPr>
        <w:widowControl w:val="0"/>
        <w:jc w:val="both"/>
        <w:rPr>
          <w:sz w:val="20"/>
          <w:szCs w:val="20"/>
          <w:lang w:val="es-AR"/>
        </w:rPr>
      </w:pPr>
      <w:r w:rsidRPr="007213A1">
        <w:rPr>
          <w:sz w:val="20"/>
          <w:szCs w:val="20"/>
          <w:lang w:val="es-AR"/>
        </w:rPr>
        <w:t xml:space="preserve">En el supuesto de que cualquier certificado global o título cartular definitivo sea dañado y/o mutilado, o se encuentre aparentemente destruido, extraviado, hurtado o robado, el titular o portador legítimo debe denunciar el hecho mediante nota con firma certificada por notario o presentada personalmente ante la autoridad pública de control o una entidad en que se negocien los valores negociables, en su caso con copia al agente de registro designado. Junto con la denuncia el titular legitimado debe acompañar una suma suficiente para satisfacer los gastos de publicación y correspondencia. La denuncia deberá cumplir con los requisitos del artículo 1.855 del Código Civil y Comercial de la Nación. La Emisora </w:t>
      </w:r>
      <w:r w:rsidRPr="007213A1">
        <w:rPr>
          <w:spacing w:val="-3"/>
          <w:sz w:val="20"/>
          <w:szCs w:val="20"/>
          <w:lang w:val="es-AR"/>
        </w:rPr>
        <w:t xml:space="preserve">(o la entidad ante quien se presente tal denuncia) </w:t>
      </w:r>
      <w:r w:rsidRPr="007213A1">
        <w:rPr>
          <w:sz w:val="20"/>
          <w:szCs w:val="20"/>
          <w:lang w:val="es-AR"/>
        </w:rPr>
        <w:t xml:space="preserve">suspenderá de inmediato los efectos de los valores denunciados con respecto a terceros, bajo responsabilidad del peticionante, y entregará al denunciante constancia de su presentación y de la suspensión dispuesta. Dentro de los diez días de recibida la denuncia, la Emisora se comunicará con el denunciante respecto a las observaciones que podría tener sobre el contenido de la denuncia o su verosimilitud. Seguidamente, la Compañía publicará en el Boletín Oficial y en uno de los diarios de mayor circulación en la República, por un día, un aviso que debe contener el nombre, documento de identidad y domicilio especial del denunciante, así como los datos necesarios para la identificación de los valores negociables comprendidos, e incluir la especie, numeración, valor nominal y cupón corriente de los valores negociables, en su caso y la citación a quienes se crean con derecho a ellos para que deduzcan oposición, dentro de los sesenta días. Las publicaciones serán diligenciadas por la Emisora dentro del día hábil siguiente a la presentación de la denuncia. Adicionalmente a las mencionadas publicaciones, la Emisora </w:t>
      </w:r>
      <w:r w:rsidRPr="007213A1">
        <w:rPr>
          <w:spacing w:val="-3"/>
          <w:sz w:val="20"/>
          <w:szCs w:val="20"/>
          <w:lang w:val="es-AR"/>
        </w:rPr>
        <w:t xml:space="preserve">(o la entidad ante la cual se hubiese presentado la denuncia) </w:t>
      </w:r>
      <w:r w:rsidRPr="007213A1">
        <w:rPr>
          <w:sz w:val="20"/>
          <w:szCs w:val="20"/>
          <w:lang w:val="es-AR"/>
        </w:rPr>
        <w:t>comunicará la denuncia a los mercados autorizados en los cuales se negocien los valores negociables y a la CNV. Pasados sesenta días desde la publicación, la Emisora entregará un certificado del valor negociable definitivo, en el caso que sean nominativos no endosables, o caso contrario, un certificado provisorio, siempre que no se presente ninguna de las circunstancias previstas en el artículo 1.861 del Código Civil y Comercial de la Nación.</w:t>
      </w:r>
      <w:r w:rsidRPr="007213A1">
        <w:rPr>
          <w:spacing w:val="-3"/>
          <w:sz w:val="20"/>
          <w:szCs w:val="20"/>
          <w:lang w:val="es-AR"/>
        </w:rPr>
        <w:t xml:space="preserve"> En caso de que al denunciante le fuere denegada la expedición del certificado provisorio, la Emisora deberá notificar a aquél de manera fehaciente. El denunciante podrá en tal caso reclamar dicho certificado vía judicial en los términos del artículo 1.862 y concordantes del Código Civil y Comercial de la Nación.</w:t>
      </w:r>
      <w:r w:rsidRPr="007213A1">
        <w:rPr>
          <w:sz w:val="20"/>
          <w:szCs w:val="20"/>
          <w:lang w:val="es-AR"/>
        </w:rPr>
        <w:t xml:space="preserve"> Los títulos emitidos en virtud de cualquier reemplazo bajo esta sección serán obligaciones válidas de la Emisora y evidenciarán la misma deuda y tendrán derecho a los mismos beneficios que los títulos reemplazados. En todos los casos, los nuevos títulos serán entregados en las oficinas de la Emisora o del agente de registro correspondiente, en su caso, que se detalle en el presente Prospecto o en el Suplemento de Precio aplicable. Los gastos y costos derivados de la realización de cualquier reemplazo de Obligaciones Negociables bajo esta sección, incluyendo el pago de las sumas suficientes para cubrir cualquier impuesto, tasa, contribución y/u otra carga gubernamental presente o futura de cualquier naturaleza, serán soportados por quien solicite el reemplazo en cuestión o conforme se especifique en el Suplemento de Precio correspondiente.</w:t>
      </w:r>
    </w:p>
    <w:p w14:paraId="22161BB7" w14:textId="77777777" w:rsidR="001F6362" w:rsidRPr="007213A1" w:rsidRDefault="001F6362" w:rsidP="001F6362">
      <w:pPr>
        <w:widowControl w:val="0"/>
        <w:ind w:left="502"/>
        <w:jc w:val="both"/>
        <w:rPr>
          <w:sz w:val="20"/>
          <w:szCs w:val="20"/>
          <w:lang w:val="es-AR"/>
        </w:rPr>
      </w:pPr>
    </w:p>
    <w:p w14:paraId="45320E6D"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Listado y Negociación</w:t>
      </w:r>
    </w:p>
    <w:p w14:paraId="2C60485C" w14:textId="77777777" w:rsidR="001F6362" w:rsidRPr="007213A1" w:rsidRDefault="001F6362" w:rsidP="001F6362">
      <w:pPr>
        <w:widowControl w:val="0"/>
        <w:jc w:val="both"/>
        <w:rPr>
          <w:sz w:val="20"/>
          <w:szCs w:val="20"/>
          <w:lang w:val="es-AR"/>
        </w:rPr>
      </w:pPr>
    </w:p>
    <w:p w14:paraId="04C4C652" w14:textId="17465BAC" w:rsidR="001F6362" w:rsidRPr="007213A1" w:rsidRDefault="001F6362" w:rsidP="001F6362">
      <w:pPr>
        <w:widowControl w:val="0"/>
        <w:jc w:val="both"/>
        <w:rPr>
          <w:sz w:val="20"/>
          <w:szCs w:val="20"/>
          <w:lang w:val="es-AR"/>
        </w:rPr>
      </w:pPr>
      <w:r w:rsidRPr="007213A1">
        <w:rPr>
          <w:sz w:val="20"/>
          <w:szCs w:val="20"/>
          <w:lang w:val="es-AR"/>
        </w:rPr>
        <w:t xml:space="preserve">La Emisora solicitará autorización </w:t>
      </w:r>
      <w:r w:rsidR="0090664B">
        <w:rPr>
          <w:sz w:val="20"/>
          <w:szCs w:val="20"/>
          <w:lang w:val="es-AR"/>
        </w:rPr>
        <w:t>de</w:t>
      </w:r>
      <w:r w:rsidRPr="007213A1">
        <w:rPr>
          <w:sz w:val="20"/>
          <w:szCs w:val="20"/>
          <w:lang w:val="es-AR"/>
        </w:rPr>
        <w:t xml:space="preserve"> listado y/o negociación de una o más Clases y/o Series de Obligaciones Negociables, o en su caso de los valores que representen dichas Obligaciones Negociables, en uno o más mercados autorizados en la República Argentina y/o en el exterior, según se especifique en cada Suplemento de Precio.</w:t>
      </w:r>
    </w:p>
    <w:p w14:paraId="0BF8E38D" w14:textId="77777777" w:rsidR="001F6362" w:rsidRPr="007213A1" w:rsidRDefault="001F6362" w:rsidP="001F6362">
      <w:pPr>
        <w:widowControl w:val="0"/>
        <w:jc w:val="both"/>
        <w:rPr>
          <w:sz w:val="20"/>
          <w:szCs w:val="20"/>
          <w:lang w:val="es-AR"/>
        </w:rPr>
      </w:pPr>
    </w:p>
    <w:p w14:paraId="663E4EB2"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Intereses</w:t>
      </w:r>
    </w:p>
    <w:p w14:paraId="7F5DDE86" w14:textId="77777777" w:rsidR="001F6362" w:rsidRPr="007213A1" w:rsidRDefault="001F6362" w:rsidP="001F6362">
      <w:pPr>
        <w:widowControl w:val="0"/>
        <w:jc w:val="both"/>
        <w:rPr>
          <w:sz w:val="20"/>
          <w:szCs w:val="20"/>
          <w:lang w:val="es-AR"/>
        </w:rPr>
      </w:pPr>
    </w:p>
    <w:p w14:paraId="4F2EAF0B" w14:textId="77777777" w:rsidR="001F6362" w:rsidRPr="007213A1" w:rsidRDefault="001F6362" w:rsidP="001F6362">
      <w:pPr>
        <w:widowControl w:val="0"/>
        <w:jc w:val="both"/>
        <w:rPr>
          <w:sz w:val="20"/>
          <w:szCs w:val="20"/>
          <w:lang w:val="es-AR"/>
        </w:rPr>
      </w:pPr>
      <w:r w:rsidRPr="007213A1">
        <w:rPr>
          <w:sz w:val="20"/>
          <w:szCs w:val="20"/>
          <w:lang w:val="es-AR"/>
        </w:rPr>
        <w:t>Las Obligaciones Negociables podrán, conforme se especifique en el Suplemento de Precio aplicable: (i) devengar intereses a una tasa fija o a una tasa flotante o variable determinada mediante referencia a una o más tasas básicas, índices o fórmulas que se especifiquen en el Suplemento de Precio aplicable, que podrá ser ajustada mediante la adición o sustracción de un margen y/o multiplicación por el multiplicador del margen, (ii) emitirse sobre una base totalmente descontada y no devengar intereses, o (iii) cualquier combinación de las alternativas anteriores. En cualquier Clase y/o Serie se podrá establecer un rendimiento creciente, decreciente, así como rendimientos máximos y/o mínimos.</w:t>
      </w:r>
    </w:p>
    <w:p w14:paraId="4CFE1648" w14:textId="77777777" w:rsidR="001F6362" w:rsidRPr="007213A1" w:rsidRDefault="001F6362" w:rsidP="001F6362">
      <w:pPr>
        <w:widowControl w:val="0"/>
        <w:jc w:val="both"/>
        <w:rPr>
          <w:sz w:val="20"/>
          <w:szCs w:val="20"/>
          <w:lang w:val="es-AR"/>
        </w:rPr>
      </w:pPr>
    </w:p>
    <w:p w14:paraId="4AA9A777" w14:textId="77777777" w:rsidR="001F6362" w:rsidRPr="007213A1" w:rsidRDefault="001F6362" w:rsidP="001F6362">
      <w:pPr>
        <w:widowControl w:val="0"/>
        <w:jc w:val="both"/>
        <w:rPr>
          <w:sz w:val="20"/>
          <w:szCs w:val="20"/>
          <w:lang w:val="es-AR"/>
        </w:rPr>
      </w:pPr>
      <w:r w:rsidRPr="007213A1">
        <w:rPr>
          <w:sz w:val="20"/>
          <w:szCs w:val="20"/>
          <w:lang w:val="es-AR"/>
        </w:rPr>
        <w:t>Las Obligaciones Negociables devengarán intereses a partir de la Fecha de Emisión o a partir de la fecha que se especifique en el Suplemento de Precio aplicable, hasta que el monto de capital correspondiente sea pagado o puesto a disposición para el pago y hasta la fecha en la cual se hayan pagado los intereses sobre dichas Obligaciones Negociables, conforme se especifique en el Suplemento de Precio aplicable, de conformidad con la fórmula de tasa de interés indicada en el Suplemento de Precio aplicable. Los intereses serán pagaderos en cada fecha de pago de intereses que se indique en el Suplemento de Precio aplicable y/o la fecha de vencimiento establecida en el Suplemento de Precio para las Obligaciones Negociables de que se trate.</w:t>
      </w:r>
    </w:p>
    <w:p w14:paraId="698A5BDE" w14:textId="77777777" w:rsidR="001F6362" w:rsidRPr="007213A1" w:rsidRDefault="001F6362" w:rsidP="001F6362">
      <w:pPr>
        <w:widowControl w:val="0"/>
        <w:jc w:val="both"/>
        <w:rPr>
          <w:sz w:val="20"/>
          <w:szCs w:val="20"/>
          <w:lang w:val="es-AR"/>
        </w:rPr>
      </w:pPr>
    </w:p>
    <w:p w14:paraId="7BF3331B" w14:textId="77777777" w:rsidR="001F6362" w:rsidRPr="007213A1" w:rsidRDefault="001F6362" w:rsidP="001F6362">
      <w:pPr>
        <w:widowControl w:val="0"/>
        <w:jc w:val="both"/>
        <w:rPr>
          <w:sz w:val="20"/>
          <w:szCs w:val="20"/>
          <w:lang w:val="es-AR"/>
        </w:rPr>
      </w:pPr>
      <w:r w:rsidRPr="007213A1">
        <w:rPr>
          <w:sz w:val="20"/>
          <w:szCs w:val="20"/>
          <w:lang w:val="es-AR"/>
        </w:rPr>
        <w:t>La tasa de interés establecida podrá ser recalculada diaria, mensual, anualmente y/o conforme se especifique en el Suplemento de Precio aplicable. A dichos fines, podrá designarse uno o más agentes de cálculo.</w:t>
      </w:r>
    </w:p>
    <w:p w14:paraId="3BFC7C62" w14:textId="77777777" w:rsidR="001F6362" w:rsidRPr="007213A1" w:rsidRDefault="001F6362" w:rsidP="001F6362">
      <w:pPr>
        <w:widowControl w:val="0"/>
        <w:jc w:val="both"/>
        <w:rPr>
          <w:sz w:val="20"/>
          <w:szCs w:val="20"/>
          <w:lang w:val="es-AR"/>
        </w:rPr>
      </w:pPr>
    </w:p>
    <w:p w14:paraId="603C92E4" w14:textId="77777777" w:rsidR="001F6362" w:rsidRPr="007213A1" w:rsidRDefault="001F6362" w:rsidP="001F6362">
      <w:pPr>
        <w:widowControl w:val="0"/>
        <w:jc w:val="both"/>
        <w:rPr>
          <w:sz w:val="20"/>
          <w:szCs w:val="20"/>
          <w:lang w:val="es-AR"/>
        </w:rPr>
      </w:pPr>
      <w:r w:rsidRPr="007213A1">
        <w:rPr>
          <w:sz w:val="20"/>
          <w:szCs w:val="20"/>
          <w:lang w:val="es-AR"/>
        </w:rPr>
        <w:t xml:space="preserve">Los intereses sobre las Obligaciones Negociables podrán ser calculados sobre la base de un año de 360 días compuesto por 12 meses de 30 días cada uno y, en el caso de un mes incompleto, el número de días transcurridos, o </w:t>
      </w:r>
      <w:r w:rsidRPr="007213A1">
        <w:rPr>
          <w:rFonts w:eastAsia="MS Mincho"/>
          <w:sz w:val="20"/>
          <w:szCs w:val="20"/>
          <w:lang w:val="es-AR"/>
        </w:rPr>
        <w:t xml:space="preserve">sobre la base de un año </w:t>
      </w:r>
      <w:r w:rsidRPr="007213A1">
        <w:rPr>
          <w:sz w:val="20"/>
          <w:szCs w:val="20"/>
          <w:lang w:val="es-AR"/>
        </w:rPr>
        <w:t>de 365 días (cantidad de días transcurridos/365), o según sea indicado en el Suplemento de Precio aplicable.</w:t>
      </w:r>
    </w:p>
    <w:p w14:paraId="0EDC261F" w14:textId="77777777" w:rsidR="001F6362" w:rsidRPr="007213A1" w:rsidRDefault="001F6362" w:rsidP="001F6362">
      <w:pPr>
        <w:widowControl w:val="0"/>
        <w:jc w:val="both"/>
        <w:rPr>
          <w:sz w:val="20"/>
          <w:szCs w:val="20"/>
          <w:lang w:val="es-AR"/>
        </w:rPr>
      </w:pPr>
    </w:p>
    <w:p w14:paraId="2EAF3F51" w14:textId="77777777" w:rsidR="001F6362" w:rsidRPr="007213A1" w:rsidRDefault="001F6362" w:rsidP="001F6362">
      <w:pPr>
        <w:widowControl w:val="0"/>
        <w:jc w:val="both"/>
        <w:rPr>
          <w:sz w:val="20"/>
          <w:szCs w:val="20"/>
          <w:lang w:val="es-AR"/>
        </w:rPr>
      </w:pPr>
      <w:r w:rsidRPr="007213A1">
        <w:rPr>
          <w:sz w:val="20"/>
          <w:szCs w:val="20"/>
          <w:lang w:val="es-AR"/>
        </w:rPr>
        <w:t>El monto de capital adeudado bajo cada Clase y/o Serie de Obligaciones Negociables dejará de devengar intereses (en su caso) a partir de su respectivo vencimiento o de la fecha de rescate salvo que, ante la debida presentación del mismo, el pago del capital fuera incorrectamente retenido o denegado. Si la totalidad o una parte del monto de capital de una Clase y/o Serie de Obligaciones Negociables no fuera pagada a su vencimiento, dicho monto de capital vencido continuará devengando intereses a la tasa de interés especificada en el Suplemento de Precio aplicable hasta que se haya efectuado el pago del mismo.</w:t>
      </w:r>
    </w:p>
    <w:p w14:paraId="141CC7EB" w14:textId="77777777" w:rsidR="001F6362" w:rsidRPr="007213A1" w:rsidRDefault="001F6362" w:rsidP="001F6362">
      <w:pPr>
        <w:widowControl w:val="0"/>
        <w:jc w:val="both"/>
        <w:rPr>
          <w:sz w:val="20"/>
          <w:szCs w:val="20"/>
          <w:lang w:val="es-AR"/>
        </w:rPr>
      </w:pPr>
    </w:p>
    <w:p w14:paraId="2F2E2C68" w14:textId="77777777" w:rsidR="001F6362" w:rsidRPr="007213A1" w:rsidRDefault="001F6362" w:rsidP="001F6362">
      <w:pPr>
        <w:widowControl w:val="0"/>
        <w:jc w:val="both"/>
        <w:rPr>
          <w:sz w:val="20"/>
          <w:szCs w:val="20"/>
          <w:lang w:val="es-AR"/>
        </w:rPr>
      </w:pPr>
      <w:r w:rsidRPr="007213A1">
        <w:rPr>
          <w:sz w:val="20"/>
          <w:szCs w:val="20"/>
          <w:lang w:val="es-AR"/>
        </w:rPr>
        <w:t>Todos los pagos que la Emisora deba realizar en virtud de las Obligaciones Negociables se efectuarán de acuerdo al procedimiento previsto en el Suplemento de Precio correspondiente y de acuerdo con los procedimientos del agente de pago designado. Los pagos a realizarse en relación con las Obligaciones Negociables en concepto de capital, intereses, Montos Adicionales (según se define más adelante) y/o cualquier otro monto, deberán ser realizados en las fechas que se establezcan en el Suplemento de Precio correspondiente, salvo que se incluya una disposición en contrario.</w:t>
      </w:r>
    </w:p>
    <w:p w14:paraId="196A67CD" w14:textId="77777777" w:rsidR="001F6362" w:rsidRPr="007213A1" w:rsidRDefault="001F6362" w:rsidP="001F6362">
      <w:pPr>
        <w:widowControl w:val="0"/>
        <w:jc w:val="both"/>
        <w:rPr>
          <w:sz w:val="20"/>
          <w:szCs w:val="20"/>
          <w:lang w:val="es-AR"/>
        </w:rPr>
      </w:pPr>
    </w:p>
    <w:p w14:paraId="221CEB08" w14:textId="77777777" w:rsidR="001F6362" w:rsidRPr="007213A1" w:rsidRDefault="001F6362" w:rsidP="001F6362">
      <w:pPr>
        <w:widowControl w:val="0"/>
        <w:jc w:val="both"/>
        <w:rPr>
          <w:sz w:val="20"/>
          <w:szCs w:val="20"/>
          <w:lang w:val="es-AR"/>
        </w:rPr>
      </w:pPr>
      <w:r w:rsidRPr="007213A1">
        <w:rPr>
          <w:sz w:val="20"/>
          <w:szCs w:val="20"/>
          <w:lang w:val="es-AR"/>
        </w:rPr>
        <w:t>Según se establezca en el Suplemento de Precio, los pagos de intereses de las Obligaciones Negociables en relación con cualquier fecha de pago de intereses incluirán los intereses devengados hasta dicha fecha de pago de intereses exclusive.</w:t>
      </w:r>
    </w:p>
    <w:p w14:paraId="4A71574A" w14:textId="77777777" w:rsidR="001F6362" w:rsidRPr="007213A1" w:rsidRDefault="001F6362" w:rsidP="001F6362">
      <w:pPr>
        <w:widowControl w:val="0"/>
        <w:jc w:val="both"/>
        <w:rPr>
          <w:sz w:val="20"/>
          <w:szCs w:val="20"/>
          <w:lang w:val="es-AR"/>
        </w:rPr>
      </w:pPr>
    </w:p>
    <w:p w14:paraId="792E935D" w14:textId="77777777" w:rsidR="001F6362" w:rsidRPr="007213A1" w:rsidRDefault="001F6362" w:rsidP="001F6362">
      <w:pPr>
        <w:widowControl w:val="0"/>
        <w:jc w:val="both"/>
        <w:rPr>
          <w:sz w:val="20"/>
          <w:szCs w:val="20"/>
          <w:lang w:val="es-AR"/>
        </w:rPr>
      </w:pPr>
      <w:r w:rsidRPr="007213A1">
        <w:rPr>
          <w:sz w:val="20"/>
          <w:szCs w:val="20"/>
          <w:lang w:val="es-AR"/>
        </w:rPr>
        <w:t>Los intereses y el capital, en su caso, (pagadero en una fecha distinta del vencimiento o por caducidad anticipada de plazos o rescate) serán pagaderos a la persona a cuyo nombre se encuentren registradas las Obligaciones Negociables de que se trate al cierre de las operaciones en el Día Hábil inmediato anterior a cada fecha de pago de intereses o capital, o en aquella otra fecha que se indique en el respectivo Suplemento de Precio.</w:t>
      </w:r>
    </w:p>
    <w:p w14:paraId="0AD83CB1" w14:textId="77777777" w:rsidR="001F6362" w:rsidRPr="007213A1" w:rsidRDefault="001F6362" w:rsidP="001F6362">
      <w:pPr>
        <w:widowControl w:val="0"/>
        <w:jc w:val="both"/>
        <w:rPr>
          <w:sz w:val="20"/>
          <w:szCs w:val="20"/>
          <w:lang w:val="es-AR"/>
        </w:rPr>
      </w:pPr>
    </w:p>
    <w:p w14:paraId="249D06FA" w14:textId="4DCB396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Compromisos Generales de la Emisora</w:t>
      </w:r>
    </w:p>
    <w:p w14:paraId="372172E5" w14:textId="77777777" w:rsidR="001F6362" w:rsidRPr="007213A1" w:rsidRDefault="001F6362" w:rsidP="001F6362">
      <w:pPr>
        <w:widowControl w:val="0"/>
        <w:jc w:val="both"/>
        <w:rPr>
          <w:sz w:val="20"/>
          <w:szCs w:val="20"/>
          <w:lang w:val="es-AR"/>
        </w:rPr>
      </w:pPr>
    </w:p>
    <w:p w14:paraId="19419F60" w14:textId="77777777" w:rsidR="001F6362" w:rsidRPr="007213A1" w:rsidRDefault="001F6362" w:rsidP="001F6362">
      <w:pPr>
        <w:widowControl w:val="0"/>
        <w:jc w:val="both"/>
        <w:rPr>
          <w:bCs/>
          <w:sz w:val="20"/>
          <w:szCs w:val="20"/>
          <w:lang w:val="es-AR"/>
        </w:rPr>
      </w:pPr>
      <w:r w:rsidRPr="007213A1">
        <w:rPr>
          <w:sz w:val="20"/>
          <w:szCs w:val="20"/>
          <w:lang w:val="es-AR"/>
        </w:rPr>
        <w:t xml:space="preserve">En tanto </w:t>
      </w:r>
      <w:r w:rsidRPr="007213A1">
        <w:rPr>
          <w:bCs/>
          <w:sz w:val="20"/>
          <w:szCs w:val="20"/>
          <w:lang w:val="es-AR"/>
        </w:rPr>
        <w:t>se encuentren en circulación Obligaciones Negociables, la Emisora deberá cumplir, y en la medida en que se indique más abajo los siguientes compromisos:</w:t>
      </w:r>
    </w:p>
    <w:p w14:paraId="058BD3BC" w14:textId="77777777" w:rsidR="001F6362" w:rsidRPr="007213A1" w:rsidRDefault="001F6362" w:rsidP="001F6362">
      <w:pPr>
        <w:widowControl w:val="0"/>
        <w:ind w:left="567" w:hanging="567"/>
        <w:jc w:val="both"/>
        <w:rPr>
          <w:b/>
          <w:sz w:val="20"/>
          <w:szCs w:val="20"/>
          <w:lang w:val="es-AR" w:eastAsia="x-none"/>
        </w:rPr>
      </w:pPr>
    </w:p>
    <w:p w14:paraId="60468D11" w14:textId="77777777" w:rsidR="001F6362" w:rsidRPr="007213A1" w:rsidRDefault="001F6362" w:rsidP="001F6362">
      <w:pPr>
        <w:widowControl w:val="0"/>
        <w:numPr>
          <w:ilvl w:val="0"/>
          <w:numId w:val="43"/>
        </w:numPr>
        <w:ind w:left="567" w:hanging="567"/>
        <w:jc w:val="both"/>
        <w:rPr>
          <w:sz w:val="20"/>
          <w:szCs w:val="20"/>
          <w:lang w:val="es-AR" w:eastAsia="x-none"/>
        </w:rPr>
      </w:pPr>
      <w:r w:rsidRPr="007213A1">
        <w:rPr>
          <w:sz w:val="20"/>
          <w:szCs w:val="20"/>
          <w:lang w:val="es-AR" w:eastAsia="x-none"/>
        </w:rPr>
        <w:t>La Emisora se abstendrá, de vender y/o de transferir de cualquier otro modo todos o una Parte Significativa de sus bienes, en una o más transacciones, salvo que: (1) dicha venta o transferencia sea realizada dentro del curso ordinario de los negocios de la Emisora (incluyendo, sin limitación, la venta de cartera, la transmisión de activos a los efectos de securitizarlos y/o titulizarlos y/o constituir fideicomisos); o (2) en el caso de una venta o transferencia de una Parte Significativa de sus bienes, la totalidad o un porcentaje no inferior a 80% del producido de tal venta o transferencia sea destinado a los negocios ordinarios de la Emisora; o (3) inmediatamente después de cualquier venta y/o transferencia de todos o una Parte Significativa de los bienes de la Emisora, no se produzca y continúe sin subsanar un Supuesto de Incumplimiento (según se define más adelante);</w:t>
      </w:r>
    </w:p>
    <w:p w14:paraId="0D9EA0BE" w14:textId="77777777" w:rsidR="001F6362" w:rsidRPr="007213A1" w:rsidRDefault="001F6362" w:rsidP="001F6362">
      <w:pPr>
        <w:widowControl w:val="0"/>
        <w:ind w:left="567"/>
        <w:jc w:val="both"/>
        <w:rPr>
          <w:sz w:val="20"/>
          <w:szCs w:val="20"/>
          <w:lang w:val="es-AR" w:eastAsia="x-none"/>
        </w:rPr>
      </w:pPr>
    </w:p>
    <w:p w14:paraId="19894B27" w14:textId="77777777" w:rsidR="001F6362" w:rsidRPr="007213A1" w:rsidRDefault="001F6362" w:rsidP="001F6362">
      <w:pPr>
        <w:widowControl w:val="0"/>
        <w:numPr>
          <w:ilvl w:val="0"/>
          <w:numId w:val="43"/>
        </w:numPr>
        <w:ind w:left="567" w:hanging="567"/>
        <w:jc w:val="both"/>
        <w:rPr>
          <w:sz w:val="20"/>
          <w:szCs w:val="20"/>
          <w:lang w:val="es-AR" w:eastAsia="x-none"/>
        </w:rPr>
      </w:pPr>
      <w:r w:rsidRPr="007213A1">
        <w:rPr>
          <w:sz w:val="20"/>
          <w:szCs w:val="20"/>
          <w:lang w:val="es-AR" w:eastAsia="x-none"/>
        </w:rPr>
        <w:t>La Emisora se abstendrá de fusionarse, salvo que inmediatamente después de ello: (a) no se produzca y continúe sin subsanar un Supuesto de Incumplimiento; y (b) (i) la nueva sociedad constituida como consecuencia de dicha fusión, o la sociedad absorbente tratándose de una fusión por absorción, asuma el cumplimiento de todos los pagos de capital, intereses y/u otros montos adeudados y todas las demás obligaciones asumidas por la Emisora en virtud de las Obligaciones Negociables, con el mismo efecto que si hubiera sido nombrada en las Obligaciones Negociables en lugar de la Emisora, o (ii) en el caso de una fusión por absorción en la que la sociedad absorbente sea la Emisora, ésta mantenga el cumplimiento debido y en forma puntual de todos los pagos de capital, intereses y/u otros montos adeudados y todas las demás obligaciones asumidas por la Emisora en virtud de las Obligaciones Negociables;</w:t>
      </w:r>
    </w:p>
    <w:p w14:paraId="4314DE80" w14:textId="77777777" w:rsidR="001F6362" w:rsidRPr="007213A1" w:rsidRDefault="001F6362" w:rsidP="001F6362">
      <w:pPr>
        <w:widowControl w:val="0"/>
        <w:ind w:left="567" w:hanging="567"/>
        <w:jc w:val="both"/>
        <w:rPr>
          <w:sz w:val="20"/>
          <w:szCs w:val="20"/>
          <w:lang w:val="es-AR" w:eastAsia="x-none"/>
        </w:rPr>
      </w:pPr>
    </w:p>
    <w:p w14:paraId="12A8AB58" w14:textId="77777777" w:rsidR="001F6362" w:rsidRPr="007213A1" w:rsidRDefault="001F6362" w:rsidP="001F6362">
      <w:pPr>
        <w:widowControl w:val="0"/>
        <w:numPr>
          <w:ilvl w:val="0"/>
          <w:numId w:val="43"/>
        </w:numPr>
        <w:ind w:left="567" w:hanging="567"/>
        <w:jc w:val="both"/>
        <w:rPr>
          <w:sz w:val="20"/>
          <w:szCs w:val="20"/>
          <w:lang w:val="es-AR" w:eastAsia="x-none"/>
        </w:rPr>
      </w:pPr>
      <w:r w:rsidRPr="007213A1">
        <w:rPr>
          <w:sz w:val="20"/>
          <w:szCs w:val="20"/>
          <w:lang w:val="es-AR" w:eastAsia="x-none"/>
        </w:rPr>
        <w:t>La Emisora pagará debida y puntualmente o dispondrá el pago del capital e intereses, sobre cada una de las Obligaciones Negociables de la correspondiente Clase y/o Serie, y cualquier otro pago a ser efectuado por ésta en virtud de las Obligaciones Negociables, en el lugar o lugares, en las respectivas oportunidades y en la manera estipulada en el Suplemento de Precio aplicable;</w:t>
      </w:r>
    </w:p>
    <w:p w14:paraId="6BC21673" w14:textId="77777777" w:rsidR="001F6362" w:rsidRPr="007213A1" w:rsidRDefault="001F6362" w:rsidP="001F6362">
      <w:pPr>
        <w:widowControl w:val="0"/>
        <w:ind w:left="567" w:hanging="567"/>
        <w:jc w:val="both"/>
        <w:rPr>
          <w:sz w:val="20"/>
          <w:szCs w:val="20"/>
          <w:lang w:val="es-AR" w:eastAsia="x-none"/>
        </w:rPr>
      </w:pPr>
    </w:p>
    <w:p w14:paraId="0FE41E8F" w14:textId="77777777" w:rsidR="001F6362" w:rsidRPr="007213A1" w:rsidRDefault="001F6362" w:rsidP="001F6362">
      <w:pPr>
        <w:widowControl w:val="0"/>
        <w:numPr>
          <w:ilvl w:val="0"/>
          <w:numId w:val="43"/>
        </w:numPr>
        <w:ind w:left="567" w:hanging="567"/>
        <w:jc w:val="both"/>
        <w:rPr>
          <w:sz w:val="20"/>
          <w:szCs w:val="20"/>
          <w:lang w:val="es-AR" w:eastAsia="x-none"/>
        </w:rPr>
      </w:pPr>
      <w:r w:rsidRPr="007213A1">
        <w:rPr>
          <w:sz w:val="20"/>
          <w:szCs w:val="20"/>
          <w:lang w:val="es-AR" w:eastAsia="x-none"/>
        </w:rPr>
        <w:t>La Emisora deberá: (a) mantener vigente su personería jurídica y todos los registros necesarios para ello; (b) adoptar todas las medidas necesarias para mantener todas las autorizaciones, derechos y privilegios que sean necesarios o convenientes en la conducción normal de su negocio, actividades y operaciones, excepto cuando la ausencia de tal medida no tenga ni pudiera tener un Efecto Sustancial Adverso; y (c) mantener todos sus bienes en buen orden de funcionamiento y estado, estipulándose, sin embargo, que este acuerdo no exigirá a la Emisora y/o a sus Subsidiarias mantener cualquier autorización, derecho o privilegio para la personería jurídica de cualquier Subsidiaria si el directorio de la Emisora hubiera resuelto que el mantenimiento o preservación de la misma ha dejado de ser conveniente en el curso de las operaciones de la Emisora y sus Subsidiarias tomados en conjunto, y que la pérdida de la misma no tiene ni tendrá un Efecto Sustancial Adverso.</w:t>
      </w:r>
    </w:p>
    <w:p w14:paraId="3D751344" w14:textId="77777777" w:rsidR="001F6362" w:rsidRPr="007213A1" w:rsidRDefault="001F6362" w:rsidP="001F6362">
      <w:pPr>
        <w:widowControl w:val="0"/>
        <w:ind w:left="567" w:hanging="567"/>
        <w:jc w:val="both"/>
        <w:rPr>
          <w:sz w:val="20"/>
          <w:szCs w:val="20"/>
          <w:lang w:val="es-AR" w:eastAsia="x-none"/>
        </w:rPr>
      </w:pPr>
    </w:p>
    <w:p w14:paraId="4F70DDD6" w14:textId="77777777" w:rsidR="001F6362" w:rsidRPr="007213A1" w:rsidRDefault="001F6362" w:rsidP="001F6362">
      <w:pPr>
        <w:widowControl w:val="0"/>
        <w:numPr>
          <w:ilvl w:val="0"/>
          <w:numId w:val="43"/>
        </w:numPr>
        <w:ind w:left="567" w:hanging="567"/>
        <w:jc w:val="both"/>
        <w:rPr>
          <w:sz w:val="20"/>
          <w:szCs w:val="20"/>
          <w:lang w:val="es-AR" w:eastAsia="x-none"/>
        </w:rPr>
      </w:pPr>
      <w:r w:rsidRPr="007213A1">
        <w:rPr>
          <w:sz w:val="20"/>
          <w:szCs w:val="20"/>
          <w:lang w:val="es-AR" w:eastAsia="x-none"/>
        </w:rPr>
        <w:t>La Emisora cumplirá con todas las leyes, normas, reglamentaciones, órdenes y directivas aplicables de cualquier autoridad gubernamental o reguladora de la República Argentina o cualquier autoridad regional o local de la misma o dentro de la misma, que tenga autoridad o competencia sobre la Emisora o el negocio de la Emisora, y cumplirá todos los acuerdos y otras obligaciones incluidos en cualesquier convenios de los cuales la Emisora sea parte, excepto cuando la ausencia de tal cumplimiento no tendría un Efecto Sustancial Adverso.</w:t>
      </w:r>
    </w:p>
    <w:p w14:paraId="37FB352E" w14:textId="77777777" w:rsidR="001F6362" w:rsidRPr="007213A1" w:rsidRDefault="001F6362" w:rsidP="001F6362">
      <w:pPr>
        <w:widowControl w:val="0"/>
        <w:autoSpaceDE w:val="0"/>
        <w:autoSpaceDN w:val="0"/>
        <w:adjustRightInd w:val="0"/>
        <w:ind w:left="567" w:hanging="567"/>
        <w:jc w:val="both"/>
        <w:rPr>
          <w:sz w:val="20"/>
          <w:szCs w:val="20"/>
          <w:lang w:val="es-AR"/>
        </w:rPr>
      </w:pPr>
    </w:p>
    <w:p w14:paraId="3B3408C4" w14:textId="77777777" w:rsidR="001F6362" w:rsidRPr="007213A1" w:rsidRDefault="001F6362" w:rsidP="001F6362">
      <w:pPr>
        <w:widowControl w:val="0"/>
        <w:numPr>
          <w:ilvl w:val="0"/>
          <w:numId w:val="43"/>
        </w:numPr>
        <w:ind w:left="567" w:hanging="567"/>
        <w:jc w:val="both"/>
        <w:rPr>
          <w:bCs/>
          <w:sz w:val="20"/>
          <w:szCs w:val="20"/>
          <w:lang w:val="es-AR"/>
        </w:rPr>
      </w:pPr>
      <w:r w:rsidRPr="007213A1">
        <w:rPr>
          <w:bCs/>
          <w:sz w:val="20"/>
          <w:szCs w:val="20"/>
          <w:lang w:val="es-AR"/>
        </w:rPr>
        <w:t>La Emisora no constituirá, creará, asumirá ni permitirá la existencia de Gravamen alguno, salvo los Gravámenes Permitidos, sobre o respecto de la totalidad o cualquier parte de sus activos, incluyendo activos intangibles o ingresos actuales o futuros, a menos (a) que al mismo tiempo o antes de ello, sus obligaciones en virtud de las Obligaciones Negociables,</w:t>
      </w:r>
      <w:r w:rsidRPr="007213A1">
        <w:rPr>
          <w:sz w:val="20"/>
          <w:szCs w:val="20"/>
          <w:lang w:val="es-AR"/>
        </w:rPr>
        <w:t xml:space="preserve"> </w:t>
      </w:r>
      <w:r w:rsidRPr="007213A1">
        <w:rPr>
          <w:bCs/>
          <w:sz w:val="20"/>
          <w:szCs w:val="20"/>
          <w:lang w:val="es-AR"/>
        </w:rPr>
        <w:t xml:space="preserve">sean garantizadas igual y proporcionalmente que la obligación garantizada por aquellos Gravámenes o que tengan prioridad respecto de la misma, o (b) que hubiere sido acordado por una Asamblea </w:t>
      </w:r>
      <w:r w:rsidRPr="007213A1">
        <w:rPr>
          <w:sz w:val="20"/>
          <w:szCs w:val="20"/>
          <w:lang w:val="es-AR"/>
        </w:rPr>
        <w:t>(de acuerdo a como dicho término se define bajo el título “</w:t>
      </w:r>
      <w:r w:rsidRPr="007213A1">
        <w:rPr>
          <w:i/>
          <w:sz w:val="20"/>
          <w:szCs w:val="20"/>
          <w:lang w:val="es-AR"/>
        </w:rPr>
        <w:t>Asamblea</w:t>
      </w:r>
      <w:r w:rsidRPr="007213A1">
        <w:rPr>
          <w:sz w:val="20"/>
          <w:szCs w:val="20"/>
          <w:lang w:val="es-AR"/>
        </w:rPr>
        <w:t>”)</w:t>
      </w:r>
      <w:r w:rsidRPr="007213A1">
        <w:rPr>
          <w:bCs/>
          <w:sz w:val="20"/>
          <w:szCs w:val="20"/>
          <w:lang w:val="es-AR"/>
        </w:rPr>
        <w:t>.</w:t>
      </w:r>
    </w:p>
    <w:p w14:paraId="564125FD" w14:textId="77777777" w:rsidR="001F6362" w:rsidRPr="007213A1" w:rsidRDefault="001F6362" w:rsidP="001F6362">
      <w:pPr>
        <w:widowControl w:val="0"/>
        <w:autoSpaceDE w:val="0"/>
        <w:autoSpaceDN w:val="0"/>
        <w:adjustRightInd w:val="0"/>
        <w:ind w:left="567" w:hanging="567"/>
        <w:jc w:val="both"/>
        <w:rPr>
          <w:sz w:val="20"/>
          <w:szCs w:val="20"/>
          <w:lang w:val="es-AR"/>
        </w:rPr>
      </w:pPr>
    </w:p>
    <w:p w14:paraId="1C5B2C23" w14:textId="77777777" w:rsidR="001F6362" w:rsidRPr="007213A1" w:rsidRDefault="001F6362" w:rsidP="001F6362">
      <w:pPr>
        <w:widowControl w:val="0"/>
        <w:numPr>
          <w:ilvl w:val="0"/>
          <w:numId w:val="43"/>
        </w:numPr>
        <w:ind w:left="567" w:hanging="567"/>
        <w:jc w:val="both"/>
        <w:rPr>
          <w:sz w:val="20"/>
          <w:szCs w:val="20"/>
          <w:lang w:val="es-AR" w:eastAsia="x-none"/>
        </w:rPr>
      </w:pPr>
      <w:r w:rsidRPr="007213A1">
        <w:rPr>
          <w:sz w:val="20"/>
          <w:szCs w:val="20"/>
          <w:lang w:val="es-AR" w:eastAsia="x-none"/>
        </w:rPr>
        <w:t>La Emisora mantendrá seguros con compañías de seguros responsables y reconocidas por los montos y cubriendo los riesgos que sean razonables y prudentes en la industria en que la Emisora desarrolla sus actividades, tomando en cuenta todas las circunstancias aplicables.</w:t>
      </w:r>
    </w:p>
    <w:p w14:paraId="70B8EA4B" w14:textId="77777777" w:rsidR="001F6362" w:rsidRPr="007213A1" w:rsidRDefault="001F6362" w:rsidP="001F6362">
      <w:pPr>
        <w:widowControl w:val="0"/>
        <w:ind w:left="567" w:hanging="567"/>
        <w:jc w:val="both"/>
        <w:rPr>
          <w:sz w:val="20"/>
          <w:szCs w:val="20"/>
          <w:lang w:val="es-AR" w:eastAsia="x-none"/>
        </w:rPr>
      </w:pPr>
    </w:p>
    <w:p w14:paraId="01012634" w14:textId="77777777" w:rsidR="001F6362" w:rsidRPr="007213A1" w:rsidRDefault="001F6362" w:rsidP="001F6362">
      <w:pPr>
        <w:widowControl w:val="0"/>
        <w:numPr>
          <w:ilvl w:val="0"/>
          <w:numId w:val="43"/>
        </w:numPr>
        <w:ind w:left="567" w:hanging="567"/>
        <w:jc w:val="both"/>
        <w:rPr>
          <w:sz w:val="20"/>
          <w:szCs w:val="20"/>
          <w:lang w:val="es-AR" w:eastAsia="x-none"/>
        </w:rPr>
      </w:pPr>
      <w:r w:rsidRPr="007213A1">
        <w:rPr>
          <w:sz w:val="20"/>
          <w:szCs w:val="20"/>
          <w:lang w:val="es-AR" w:eastAsia="x-none"/>
        </w:rPr>
        <w:t>La Emisora, de conformidad con lo que se indique en el Suplemento de Precio aplicable, notificará de inmediato a los tenedores de las Obligaciones Negociables en circulación y/o, en su caso, a un funcionario responsable del fiduciario designado, en caso de haberse suscripto un convenio de fideicomiso, y/o al Colocador por escrito la ocurrencia de cualquier Supuesto de Incumplimiento o cualquier condición o hecho que por notificación, transcurso del tiempo o cualquier otra condición o cualquier combinación de lo precedente, pudiera constituir un Supuesto de Incumplimiento, salvo que éste fuera subsanado o renunciado. Cada notificación presentada conforme a este apartado, indicará que constituye una “notificación de incumplimiento” en virtud del presente, contendrá los detalles del hecho mencionado y las medidas que la Emisora se propone adoptar al respecto.</w:t>
      </w:r>
    </w:p>
    <w:p w14:paraId="24233C2F" w14:textId="77777777" w:rsidR="001F6362" w:rsidRPr="007213A1" w:rsidRDefault="001F6362" w:rsidP="001F6362">
      <w:pPr>
        <w:widowControl w:val="0"/>
        <w:autoSpaceDE w:val="0"/>
        <w:autoSpaceDN w:val="0"/>
        <w:adjustRightInd w:val="0"/>
        <w:ind w:left="567" w:hanging="567"/>
        <w:jc w:val="both"/>
        <w:rPr>
          <w:sz w:val="20"/>
          <w:szCs w:val="20"/>
          <w:lang w:val="es-AR"/>
        </w:rPr>
      </w:pPr>
    </w:p>
    <w:p w14:paraId="76C89FC1" w14:textId="77777777" w:rsidR="001F6362" w:rsidRPr="007213A1" w:rsidRDefault="001F6362" w:rsidP="001F6362">
      <w:pPr>
        <w:widowControl w:val="0"/>
        <w:numPr>
          <w:ilvl w:val="0"/>
          <w:numId w:val="43"/>
        </w:numPr>
        <w:autoSpaceDE w:val="0"/>
        <w:autoSpaceDN w:val="0"/>
        <w:adjustRightInd w:val="0"/>
        <w:ind w:left="567" w:hanging="567"/>
        <w:jc w:val="both"/>
        <w:rPr>
          <w:sz w:val="20"/>
          <w:szCs w:val="20"/>
          <w:lang w:val="es-AR"/>
        </w:rPr>
      </w:pPr>
      <w:r w:rsidRPr="007213A1">
        <w:rPr>
          <w:sz w:val="20"/>
          <w:szCs w:val="20"/>
          <w:lang w:val="es-AR"/>
        </w:rPr>
        <w:t xml:space="preserve">La Emisora asegurará que sus obligaciones emitidas en virtud de las Obligaciones Negociables constituyan en todo momento obligaciones generales, directas, no subordinadas (excepto en el caso de las Obligaciones Negociables Subordinadas) e incondicionales de la Emisora y, salvo las Obligaciones Negociables Con Garantía especial, calificarán </w:t>
      </w:r>
      <w:r w:rsidRPr="007213A1">
        <w:rPr>
          <w:i/>
          <w:iCs/>
          <w:sz w:val="20"/>
          <w:szCs w:val="20"/>
          <w:lang w:val="es-AR"/>
        </w:rPr>
        <w:t>pari passu</w:t>
      </w:r>
      <w:r w:rsidRPr="007213A1">
        <w:rPr>
          <w:sz w:val="20"/>
          <w:szCs w:val="20"/>
          <w:lang w:val="es-AR"/>
        </w:rPr>
        <w:t xml:space="preserve"> en todo momento en cuanto a su prioridad en el pago con las otras Obligaciones Negociables y con todo otro endeudamiento no garantizado y no subordinado de la Emisora actual o en futuro, sujeto a cualquier preferencia obligatoria en virtud de la ley aplicable.</w:t>
      </w:r>
    </w:p>
    <w:p w14:paraId="09A59BCD" w14:textId="77777777" w:rsidR="001F6362" w:rsidRPr="007213A1" w:rsidRDefault="001F6362" w:rsidP="001F6362">
      <w:pPr>
        <w:widowControl w:val="0"/>
        <w:autoSpaceDE w:val="0"/>
        <w:autoSpaceDN w:val="0"/>
        <w:adjustRightInd w:val="0"/>
        <w:ind w:left="567" w:hanging="567"/>
        <w:jc w:val="both"/>
        <w:rPr>
          <w:sz w:val="20"/>
          <w:szCs w:val="20"/>
          <w:lang w:val="es-AR"/>
        </w:rPr>
      </w:pPr>
    </w:p>
    <w:p w14:paraId="3156B9E7" w14:textId="77777777" w:rsidR="001F6362" w:rsidRPr="007213A1" w:rsidRDefault="001F6362" w:rsidP="001F6362">
      <w:pPr>
        <w:widowControl w:val="0"/>
        <w:numPr>
          <w:ilvl w:val="0"/>
          <w:numId w:val="43"/>
        </w:numPr>
        <w:ind w:left="567" w:hanging="567"/>
        <w:jc w:val="both"/>
        <w:rPr>
          <w:sz w:val="20"/>
          <w:szCs w:val="20"/>
          <w:lang w:val="es-AR"/>
        </w:rPr>
      </w:pPr>
      <w:r w:rsidRPr="007213A1">
        <w:rPr>
          <w:sz w:val="20"/>
          <w:szCs w:val="20"/>
          <w:lang w:val="es-AR"/>
        </w:rPr>
        <w:t>En el caso de Obligaciones Negociables de cualquier Clase y/o Serie con respecto a las cuales la orden de la Emisora especifica que dichas Obligaciones Negociables listarán en cualquier mercado autorizado, la Emisora pondrá su mayor empeño para obtener y mantener el listado de dichas Obligaciones Negociables en dicho mercado.</w:t>
      </w:r>
    </w:p>
    <w:p w14:paraId="67268FC2" w14:textId="77777777" w:rsidR="001F6362" w:rsidRPr="007213A1" w:rsidRDefault="001F6362" w:rsidP="001F6362">
      <w:pPr>
        <w:widowControl w:val="0"/>
        <w:autoSpaceDE w:val="0"/>
        <w:autoSpaceDN w:val="0"/>
        <w:adjustRightInd w:val="0"/>
        <w:ind w:left="567" w:hanging="567"/>
        <w:jc w:val="both"/>
        <w:rPr>
          <w:sz w:val="20"/>
          <w:szCs w:val="20"/>
          <w:lang w:val="es-AR"/>
        </w:rPr>
      </w:pPr>
    </w:p>
    <w:p w14:paraId="4D65F232" w14:textId="77777777" w:rsidR="001F6362" w:rsidRPr="007213A1" w:rsidRDefault="001F6362" w:rsidP="001F6362">
      <w:pPr>
        <w:widowControl w:val="0"/>
        <w:numPr>
          <w:ilvl w:val="0"/>
          <w:numId w:val="43"/>
        </w:numPr>
        <w:ind w:left="567" w:hanging="567"/>
        <w:jc w:val="both"/>
        <w:rPr>
          <w:sz w:val="20"/>
          <w:szCs w:val="20"/>
          <w:lang w:val="es-AR"/>
        </w:rPr>
      </w:pPr>
      <w:r w:rsidRPr="007213A1">
        <w:rPr>
          <w:sz w:val="20"/>
          <w:szCs w:val="20"/>
          <w:lang w:val="es-AR"/>
        </w:rPr>
        <w:t>Pagará cualquier impuesto de sellos, emisión, registro u otro impuesto o derecho similar, incluyendo intereses y multas, pagaderos en la República Argentina o cualquier otro país, o en cualquier subdivisión política de los mismos o autoridad impositiva de los mismos o dentro de los mismos con respecto a la creación, emisión y oferta inicial de las Obligaciones Negociables, en caso de que correspondiere.</w:t>
      </w:r>
    </w:p>
    <w:p w14:paraId="5B095782" w14:textId="77777777" w:rsidR="001F6362" w:rsidRPr="007213A1" w:rsidRDefault="001F6362" w:rsidP="001F6362">
      <w:pPr>
        <w:widowControl w:val="0"/>
        <w:jc w:val="both"/>
        <w:rPr>
          <w:sz w:val="20"/>
          <w:szCs w:val="20"/>
          <w:lang w:val="es-AR"/>
        </w:rPr>
      </w:pPr>
    </w:p>
    <w:p w14:paraId="106EECEC" w14:textId="77777777" w:rsidR="001F6362" w:rsidRPr="007213A1" w:rsidRDefault="001F6362" w:rsidP="001F6362">
      <w:pPr>
        <w:widowControl w:val="0"/>
        <w:jc w:val="both"/>
        <w:rPr>
          <w:sz w:val="20"/>
          <w:szCs w:val="20"/>
          <w:lang w:val="es-AR"/>
        </w:rPr>
      </w:pPr>
      <w:r w:rsidRPr="007213A1">
        <w:rPr>
          <w:i/>
          <w:iCs/>
          <w:sz w:val="20"/>
          <w:szCs w:val="20"/>
          <w:lang w:val="es-AR"/>
        </w:rPr>
        <w:t>Otros Compromisos</w:t>
      </w:r>
      <w:r w:rsidRPr="007213A1">
        <w:rPr>
          <w:sz w:val="20"/>
          <w:szCs w:val="20"/>
          <w:lang w:val="es-AR"/>
        </w:rPr>
        <w:t>.</w:t>
      </w:r>
    </w:p>
    <w:p w14:paraId="0A83D348" w14:textId="77777777" w:rsidR="001F6362" w:rsidRPr="007213A1" w:rsidRDefault="001F6362" w:rsidP="001F6362">
      <w:pPr>
        <w:widowControl w:val="0"/>
        <w:jc w:val="both"/>
        <w:rPr>
          <w:sz w:val="20"/>
          <w:szCs w:val="20"/>
          <w:lang w:val="es-AR"/>
        </w:rPr>
      </w:pPr>
    </w:p>
    <w:p w14:paraId="7E4D37CF" w14:textId="77777777" w:rsidR="001F6362" w:rsidRPr="007213A1" w:rsidRDefault="001F6362" w:rsidP="001F6362">
      <w:pPr>
        <w:widowControl w:val="0"/>
        <w:jc w:val="both"/>
        <w:rPr>
          <w:sz w:val="20"/>
          <w:szCs w:val="20"/>
          <w:lang w:val="es-AR"/>
        </w:rPr>
      </w:pPr>
      <w:r w:rsidRPr="007213A1">
        <w:rPr>
          <w:sz w:val="20"/>
          <w:szCs w:val="20"/>
          <w:lang w:val="es-AR"/>
        </w:rPr>
        <w:t>La Emisora podrá, a su exclusivo criterio, al momento de emitir una Clase y/o Serie, incluir compromisos adicionales a los previstos en el presente. Si se incluyera un nuevo compromiso en el Suplemento de Precio aplicable al momento de emitir una Clase y/o Serie, se entenderá que dicho compromiso será asumido en relación con esa Clase y/o Serie en particular.</w:t>
      </w:r>
    </w:p>
    <w:p w14:paraId="73630B6A" w14:textId="77777777" w:rsidR="001F6362" w:rsidRPr="007213A1" w:rsidRDefault="001F6362" w:rsidP="001F6362">
      <w:pPr>
        <w:widowControl w:val="0"/>
        <w:jc w:val="both"/>
        <w:rPr>
          <w:sz w:val="20"/>
          <w:szCs w:val="20"/>
          <w:lang w:val="es-AR"/>
        </w:rPr>
      </w:pPr>
    </w:p>
    <w:p w14:paraId="39B9CE3B"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Supuestos de Incumplimiento</w:t>
      </w:r>
    </w:p>
    <w:p w14:paraId="2829767E" w14:textId="77777777" w:rsidR="001F6362" w:rsidRPr="007213A1" w:rsidRDefault="001F6362" w:rsidP="001F6362">
      <w:pPr>
        <w:widowControl w:val="0"/>
        <w:jc w:val="both"/>
        <w:rPr>
          <w:sz w:val="20"/>
          <w:szCs w:val="20"/>
          <w:lang w:val="es-AR"/>
        </w:rPr>
      </w:pPr>
    </w:p>
    <w:p w14:paraId="59B37712" w14:textId="77777777" w:rsidR="001F6362" w:rsidRPr="007213A1" w:rsidRDefault="001F6362" w:rsidP="001F6362">
      <w:pPr>
        <w:widowControl w:val="0"/>
        <w:jc w:val="both"/>
        <w:rPr>
          <w:sz w:val="20"/>
          <w:szCs w:val="20"/>
          <w:lang w:val="es-AR"/>
        </w:rPr>
      </w:pPr>
      <w:r w:rsidRPr="007213A1">
        <w:rPr>
          <w:sz w:val="20"/>
          <w:szCs w:val="20"/>
          <w:lang w:val="es-AR"/>
        </w:rPr>
        <w:t>Mientras las Obligaciones Negociables de una Clase y/o Serie se encuentren en circulación, cualquiera de los supuestos detallados a continuación será un “Supuesto de Incumplimiento” de las Obligaciones Negociables de dicha Clase y/o Serie:</w:t>
      </w:r>
    </w:p>
    <w:p w14:paraId="54EBC953" w14:textId="77777777" w:rsidR="001F6362" w:rsidRPr="007213A1" w:rsidRDefault="001F6362" w:rsidP="001F6362">
      <w:pPr>
        <w:widowControl w:val="0"/>
        <w:autoSpaceDE w:val="0"/>
        <w:autoSpaceDN w:val="0"/>
        <w:adjustRightInd w:val="0"/>
        <w:jc w:val="both"/>
        <w:rPr>
          <w:sz w:val="20"/>
          <w:szCs w:val="20"/>
          <w:lang w:val="es-AR"/>
        </w:rPr>
      </w:pPr>
    </w:p>
    <w:p w14:paraId="7497628B" w14:textId="77777777" w:rsidR="001F6362" w:rsidRPr="007213A1" w:rsidRDefault="001F6362" w:rsidP="001F6362">
      <w:pPr>
        <w:widowControl w:val="0"/>
        <w:numPr>
          <w:ilvl w:val="0"/>
          <w:numId w:val="28"/>
        </w:numPr>
        <w:tabs>
          <w:tab w:val="clear" w:pos="720"/>
        </w:tabs>
        <w:ind w:left="567" w:hanging="567"/>
        <w:jc w:val="both"/>
        <w:rPr>
          <w:sz w:val="20"/>
          <w:szCs w:val="20"/>
          <w:lang w:val="es-AR"/>
        </w:rPr>
      </w:pPr>
      <w:r w:rsidRPr="007213A1">
        <w:rPr>
          <w:sz w:val="20"/>
          <w:szCs w:val="20"/>
          <w:lang w:val="es-AR"/>
        </w:rPr>
        <w:t>que la Emisora no pagara el capital de cualquiera de las Obligaciones Negociables a su vencimiento y dicho incumplimiento subsistiera durante un período de 7 Días Hábiles desde la fecha de su vencimiento; o</w:t>
      </w:r>
    </w:p>
    <w:p w14:paraId="6EAC7630" w14:textId="77777777" w:rsidR="001F6362" w:rsidRPr="007213A1" w:rsidRDefault="001F6362" w:rsidP="001F6362">
      <w:pPr>
        <w:widowControl w:val="0"/>
        <w:ind w:left="567" w:hanging="567"/>
        <w:jc w:val="both"/>
        <w:rPr>
          <w:sz w:val="20"/>
          <w:szCs w:val="20"/>
          <w:lang w:val="es-AR"/>
        </w:rPr>
      </w:pPr>
    </w:p>
    <w:p w14:paraId="693F0DD7" w14:textId="77777777" w:rsidR="001F6362" w:rsidRPr="007213A1" w:rsidRDefault="001F6362" w:rsidP="001F6362">
      <w:pPr>
        <w:widowControl w:val="0"/>
        <w:numPr>
          <w:ilvl w:val="0"/>
          <w:numId w:val="28"/>
        </w:numPr>
        <w:tabs>
          <w:tab w:val="clear" w:pos="720"/>
        </w:tabs>
        <w:ind w:left="567" w:hanging="567"/>
        <w:jc w:val="both"/>
        <w:rPr>
          <w:sz w:val="20"/>
          <w:szCs w:val="20"/>
          <w:lang w:val="es-AR"/>
        </w:rPr>
      </w:pPr>
      <w:r w:rsidRPr="007213A1">
        <w:rPr>
          <w:sz w:val="20"/>
          <w:szCs w:val="20"/>
          <w:lang w:val="es-AR"/>
        </w:rPr>
        <w:t>que la Emisora no pagara cualesquier intereses o Montos Adicionales si los hubiera, sobre cualquiera de las Obligaciones Negociables a su vencimiento y dicho incumplimiento subsistiera durante un período de 14 Días Hábiles; o</w:t>
      </w:r>
    </w:p>
    <w:p w14:paraId="3302DB6E" w14:textId="77777777" w:rsidR="001F6362" w:rsidRPr="007213A1" w:rsidRDefault="001F6362" w:rsidP="001F6362">
      <w:pPr>
        <w:widowControl w:val="0"/>
        <w:ind w:left="567" w:hanging="567"/>
        <w:jc w:val="both"/>
        <w:rPr>
          <w:sz w:val="20"/>
          <w:szCs w:val="20"/>
          <w:lang w:val="es-AR"/>
        </w:rPr>
      </w:pPr>
    </w:p>
    <w:p w14:paraId="0FA8DB23" w14:textId="77777777" w:rsidR="001F6362" w:rsidRPr="007213A1" w:rsidRDefault="001F6362" w:rsidP="001F6362">
      <w:pPr>
        <w:widowControl w:val="0"/>
        <w:numPr>
          <w:ilvl w:val="0"/>
          <w:numId w:val="28"/>
        </w:numPr>
        <w:tabs>
          <w:tab w:val="clear" w:pos="720"/>
        </w:tabs>
        <w:ind w:left="567" w:hanging="567"/>
        <w:jc w:val="both"/>
        <w:rPr>
          <w:sz w:val="20"/>
          <w:szCs w:val="20"/>
          <w:lang w:val="es-AR"/>
        </w:rPr>
      </w:pPr>
      <w:r w:rsidRPr="007213A1">
        <w:rPr>
          <w:sz w:val="20"/>
          <w:szCs w:val="20"/>
          <w:lang w:val="es-AR"/>
        </w:rPr>
        <w:t>que la Emisora no cumpliera u observara debidamente cualquier compromiso bajo este Programa o sus obligaciones bajo las Obligaciones Negociables y dicho incumplimiento subsistiera durante un período de 45 Días Hábiles contados a partir de la fecha en que la Emisora haya recibido una notificación fehaciente especificando el incumplimiento de que se trate y solicitando que el mismo sea subsanado, de algún tenedor y/o tenedores que representen por lo menos el 5% del capital total pendiente de pago de las Obligaciones Negociables de la Clase y/o Serie en cuestión en ese momento en circulación; o</w:t>
      </w:r>
    </w:p>
    <w:p w14:paraId="5BEB8ED3" w14:textId="77777777" w:rsidR="001F6362" w:rsidRPr="007213A1" w:rsidRDefault="001F6362" w:rsidP="001F6362">
      <w:pPr>
        <w:widowControl w:val="0"/>
        <w:ind w:left="567" w:hanging="567"/>
        <w:jc w:val="both"/>
        <w:rPr>
          <w:sz w:val="20"/>
          <w:szCs w:val="20"/>
          <w:lang w:val="es-AR"/>
        </w:rPr>
      </w:pPr>
    </w:p>
    <w:p w14:paraId="76D32EEF" w14:textId="77777777" w:rsidR="001F6362" w:rsidRPr="007213A1" w:rsidRDefault="001F6362" w:rsidP="001F6362">
      <w:pPr>
        <w:widowControl w:val="0"/>
        <w:numPr>
          <w:ilvl w:val="0"/>
          <w:numId w:val="28"/>
        </w:numPr>
        <w:tabs>
          <w:tab w:val="clear" w:pos="720"/>
        </w:tabs>
        <w:ind w:left="567" w:hanging="567"/>
        <w:jc w:val="both"/>
        <w:rPr>
          <w:sz w:val="20"/>
          <w:szCs w:val="20"/>
          <w:lang w:val="es-AR"/>
        </w:rPr>
      </w:pPr>
      <w:r w:rsidRPr="007213A1">
        <w:rPr>
          <w:sz w:val="20"/>
          <w:szCs w:val="20"/>
          <w:lang w:val="es-AR"/>
        </w:rPr>
        <w:t xml:space="preserve">un tribunal competente dictara una resolución o auto de apertura de procedimiento de quiebra respecto de la Sociedad en virtud de una ley de quiebras, insolvencia u otra ley similar aplicable ya sea que se encuentre en vigencia en la actualidad o en el futuro, siempre que dicha resolución o auto permanezca en vigor por un lapso de 60 Días Hábiles; </w:t>
      </w:r>
    </w:p>
    <w:p w14:paraId="1EBC7173" w14:textId="77777777" w:rsidR="001F6362" w:rsidRPr="007213A1" w:rsidRDefault="001F6362" w:rsidP="001F6362">
      <w:pPr>
        <w:ind w:left="720"/>
        <w:contextualSpacing/>
        <w:jc w:val="center"/>
        <w:rPr>
          <w:sz w:val="20"/>
          <w:szCs w:val="20"/>
          <w:lang w:val="es-AR"/>
        </w:rPr>
      </w:pPr>
    </w:p>
    <w:p w14:paraId="3E590E89" w14:textId="77777777" w:rsidR="001F6362" w:rsidRPr="007213A1" w:rsidRDefault="001F6362" w:rsidP="001F6362">
      <w:pPr>
        <w:widowControl w:val="0"/>
        <w:numPr>
          <w:ilvl w:val="0"/>
          <w:numId w:val="28"/>
        </w:numPr>
        <w:tabs>
          <w:tab w:val="clear" w:pos="720"/>
        </w:tabs>
        <w:ind w:left="567" w:hanging="567"/>
        <w:jc w:val="both"/>
        <w:rPr>
          <w:sz w:val="20"/>
          <w:szCs w:val="20"/>
          <w:lang w:val="es-AR"/>
        </w:rPr>
      </w:pPr>
      <w:r w:rsidRPr="007213A1">
        <w:rPr>
          <w:sz w:val="20"/>
          <w:szCs w:val="20"/>
          <w:lang w:val="es-AR"/>
        </w:rPr>
        <w:t>cualquier autoridad gubernamental (a) expropie, nacionalice o confisque (1) todo o una Parte Significativa de los bienes de la Sociedad, y/o (2) la totalidad del capital accionario de la Emisora; y/o (b) asuma la custodia o el control de dichos bienes o de las actividades u operaciones de INVAP, o del capital accionario de INVAP; y/o (c) tome cualquier acción que impida a la Sociedad desarrollar sus actividades o una parte significativa de las mismas, durante un período mayor de 45 Días Hábiles, y tal acción afecte de manera significativamente adversa la capacidad de la Sociedad para cumplir con las obligaciones asumidas en relación con las Obligaciones Negociables;</w:t>
      </w:r>
    </w:p>
    <w:p w14:paraId="798F7BBA" w14:textId="77777777" w:rsidR="001F6362" w:rsidRPr="007213A1" w:rsidRDefault="001F6362" w:rsidP="001F6362">
      <w:pPr>
        <w:widowControl w:val="0"/>
        <w:ind w:left="567" w:hanging="567"/>
        <w:contextualSpacing/>
        <w:jc w:val="both"/>
        <w:rPr>
          <w:sz w:val="20"/>
          <w:szCs w:val="20"/>
          <w:lang w:val="es-AR"/>
        </w:rPr>
      </w:pPr>
    </w:p>
    <w:p w14:paraId="108A863C" w14:textId="77777777" w:rsidR="001F6362" w:rsidRPr="007213A1" w:rsidRDefault="001F6362" w:rsidP="001F6362">
      <w:pPr>
        <w:widowControl w:val="0"/>
        <w:numPr>
          <w:ilvl w:val="0"/>
          <w:numId w:val="28"/>
        </w:numPr>
        <w:tabs>
          <w:tab w:val="clear" w:pos="720"/>
        </w:tabs>
        <w:ind w:left="567" w:hanging="567"/>
        <w:jc w:val="both"/>
        <w:rPr>
          <w:sz w:val="20"/>
          <w:szCs w:val="20"/>
          <w:lang w:val="es-AR"/>
        </w:rPr>
      </w:pPr>
      <w:r w:rsidRPr="007213A1">
        <w:rPr>
          <w:sz w:val="20"/>
          <w:szCs w:val="20"/>
          <w:lang w:val="es-AR"/>
        </w:rPr>
        <w:t>(i) la Emisora admitiera por escrito su incapacidad para hacer frente a sus obligaciones en general a sus respectivos vencimientos, o (ii) que algún documento firmado en relación con la emisión de las Obligaciones Negociables fuera objetado por la Emisora; o</w:t>
      </w:r>
    </w:p>
    <w:p w14:paraId="2D4C626C" w14:textId="77777777" w:rsidR="001F6362" w:rsidRPr="007213A1" w:rsidRDefault="001F6362" w:rsidP="001F6362">
      <w:pPr>
        <w:widowControl w:val="0"/>
        <w:ind w:left="567" w:hanging="567"/>
        <w:jc w:val="both"/>
        <w:rPr>
          <w:sz w:val="20"/>
          <w:szCs w:val="20"/>
          <w:lang w:val="es-AR"/>
        </w:rPr>
      </w:pPr>
    </w:p>
    <w:p w14:paraId="66688CAB" w14:textId="77777777" w:rsidR="001F6362" w:rsidRPr="007213A1" w:rsidRDefault="001F6362" w:rsidP="001F6362">
      <w:pPr>
        <w:widowControl w:val="0"/>
        <w:numPr>
          <w:ilvl w:val="0"/>
          <w:numId w:val="28"/>
        </w:numPr>
        <w:tabs>
          <w:tab w:val="clear" w:pos="720"/>
        </w:tabs>
        <w:ind w:left="567" w:hanging="567"/>
        <w:jc w:val="both"/>
        <w:rPr>
          <w:sz w:val="20"/>
          <w:szCs w:val="20"/>
          <w:lang w:val="es-AR"/>
        </w:rPr>
      </w:pPr>
      <w:r w:rsidRPr="007213A1">
        <w:rPr>
          <w:sz w:val="20"/>
          <w:szCs w:val="20"/>
          <w:lang w:val="es-AR"/>
        </w:rPr>
        <w:t>que la Emisora no pagara sus deudas en términos generales a medida que venzan, por un monto total de capital adeudado que se determinará en el Suplemento de Precio aplicable y dicha situación continuara luego del período de gracia, en su caso, aplicable a ella.</w:t>
      </w:r>
    </w:p>
    <w:p w14:paraId="53E9683E" w14:textId="77777777" w:rsidR="001F6362" w:rsidRPr="007213A1" w:rsidRDefault="001F6362" w:rsidP="001F6362">
      <w:pPr>
        <w:widowControl w:val="0"/>
        <w:autoSpaceDE w:val="0"/>
        <w:autoSpaceDN w:val="0"/>
        <w:adjustRightInd w:val="0"/>
        <w:jc w:val="both"/>
        <w:rPr>
          <w:sz w:val="20"/>
          <w:szCs w:val="20"/>
          <w:lang w:val="es-AR"/>
        </w:rPr>
      </w:pPr>
    </w:p>
    <w:p w14:paraId="3C50F07C" w14:textId="77777777" w:rsidR="001F6362" w:rsidRPr="007213A1" w:rsidRDefault="001F6362" w:rsidP="001F6362">
      <w:pPr>
        <w:widowControl w:val="0"/>
        <w:jc w:val="both"/>
        <w:rPr>
          <w:sz w:val="20"/>
          <w:szCs w:val="20"/>
          <w:lang w:val="es-AR"/>
        </w:rPr>
      </w:pPr>
      <w:r w:rsidRPr="007213A1">
        <w:rPr>
          <w:i/>
          <w:sz w:val="20"/>
          <w:szCs w:val="20"/>
          <w:lang w:val="es-AR"/>
        </w:rPr>
        <w:t>Entonces</w:t>
      </w:r>
      <w:r w:rsidRPr="007213A1">
        <w:rPr>
          <w:sz w:val="20"/>
          <w:szCs w:val="20"/>
          <w:lang w:val="es-AR"/>
        </w:rPr>
        <w:t>, (i) en el caso de los incisos (a), (b), (f), y (g), siempre que dichos Supuestos de Incumplimiento no fuesen subsanados por la Emisora, los tenedores que representen como mínimo el 25% del monto de capital total de las Obligaciones Negociables de la Clase y/o Serie afectada en esa fecha en circulación, mediante notificación por escrito a la Emisora, podrán declarar todo el capital pendiente sobre las Obligaciones Negociables de dicha Clase y/o Serie, en esa fecha en circulación, inmediatamente vencido y pagadero; y (ii) en caso de producirse el Supuesto de Incumplimiento mencionado en el inciso (c) precedente, y siempre que dicho Supuesto de Incumplimiento no fuese subsanado, los tenedores que representen como mínimo el 33% del monto de capital total de las Obligaciones Negociables de la Clase y/o Serie, en esa fecha en circulación, mediante notificación por escrito a la Emisora, podrán declarar todo el capital pendiente sobre las Obligaciones Negociables de la Clase y/o Serie, en esa fecha en circulación, inmediatamente vencido y pagadero y (iii) en caso de producirse el Supuesto de Incumplimiento mencionado en los incisos (d) y (e) precedentes, el capital pendiente de todas las Obligaciones Negociables a esa fecha en circulación y los intereses devengados sobre el mismo resultarán vencidos y serán pagaderos de inmediato.</w:t>
      </w:r>
    </w:p>
    <w:p w14:paraId="08269659" w14:textId="77777777" w:rsidR="001F6362" w:rsidRPr="007213A1" w:rsidRDefault="001F6362" w:rsidP="001F6362">
      <w:pPr>
        <w:widowControl w:val="0"/>
        <w:jc w:val="both"/>
        <w:rPr>
          <w:sz w:val="20"/>
          <w:szCs w:val="20"/>
          <w:lang w:val="es-AR"/>
        </w:rPr>
      </w:pPr>
    </w:p>
    <w:p w14:paraId="4B628AE1" w14:textId="77777777" w:rsidR="001F6362" w:rsidRPr="007213A1" w:rsidRDefault="001F6362" w:rsidP="001F6362">
      <w:pPr>
        <w:widowControl w:val="0"/>
        <w:jc w:val="both"/>
        <w:rPr>
          <w:sz w:val="20"/>
          <w:szCs w:val="20"/>
          <w:lang w:val="es-AR"/>
        </w:rPr>
      </w:pPr>
      <w:r w:rsidRPr="007213A1">
        <w:rPr>
          <w:sz w:val="20"/>
          <w:szCs w:val="20"/>
          <w:lang w:val="es-AR"/>
        </w:rPr>
        <w:t>Luego de cualquier declaración de caducidad de plazo conforme se menciona precedentemente, y salvo que la Emisora hubiera subsanado todos los incumplimientos o se hubiera rescindido la declaración conforme se describe a continuación, el capital pendiente de dichas Obligaciones Negociables de la Clase y/o Serie afectada en esa fecha en circulación y los intereses devengados sobre el mismo resultarán vencidos y serán pagaderos de inmediato.</w:t>
      </w:r>
    </w:p>
    <w:p w14:paraId="1E76BC92" w14:textId="77777777" w:rsidR="001F6362" w:rsidRPr="007213A1" w:rsidRDefault="001F6362" w:rsidP="001F6362">
      <w:pPr>
        <w:widowControl w:val="0"/>
        <w:jc w:val="both"/>
        <w:rPr>
          <w:sz w:val="20"/>
          <w:szCs w:val="20"/>
          <w:lang w:val="es-AR"/>
        </w:rPr>
      </w:pPr>
    </w:p>
    <w:p w14:paraId="4C2CF6EB" w14:textId="77777777" w:rsidR="001F6362" w:rsidRPr="007213A1" w:rsidRDefault="001F6362" w:rsidP="001F6362">
      <w:pPr>
        <w:widowControl w:val="0"/>
        <w:jc w:val="both"/>
        <w:rPr>
          <w:sz w:val="20"/>
          <w:szCs w:val="20"/>
          <w:lang w:val="es-AR"/>
        </w:rPr>
      </w:pPr>
      <w:r w:rsidRPr="007213A1">
        <w:rPr>
          <w:sz w:val="20"/>
          <w:szCs w:val="20"/>
          <w:lang w:val="es-AR"/>
        </w:rPr>
        <w:t>Cualquier declaración de caducidad de plazo efectuada en relación con una Clase y/o Serie, y con el alcance otorgado por la Ley Nº 24.522 de Concursos y Quiebras (modificada y complementada), podrá ser desestimada por los tenedores de Obligaciones Negociables de dicha Clase y/o Serie que representen como mínimo la mayoría absoluta del monto total de capital pendiente de pago de dicha Clase y/o Serie reunidos en una Asamblea convocada a tal efecto.</w:t>
      </w:r>
    </w:p>
    <w:p w14:paraId="740972F4" w14:textId="77777777" w:rsidR="001F6362" w:rsidRPr="007213A1" w:rsidRDefault="001F6362" w:rsidP="001F6362">
      <w:pPr>
        <w:widowControl w:val="0"/>
        <w:jc w:val="both"/>
        <w:rPr>
          <w:sz w:val="20"/>
          <w:szCs w:val="20"/>
          <w:lang w:val="es-AR"/>
        </w:rPr>
      </w:pPr>
    </w:p>
    <w:p w14:paraId="298BF5D3" w14:textId="77777777" w:rsidR="001F6362" w:rsidRPr="007213A1" w:rsidRDefault="001F6362" w:rsidP="001F6362">
      <w:pPr>
        <w:widowControl w:val="0"/>
        <w:jc w:val="both"/>
        <w:rPr>
          <w:sz w:val="20"/>
          <w:szCs w:val="20"/>
          <w:lang w:val="es-AR"/>
        </w:rPr>
      </w:pPr>
      <w:r w:rsidRPr="007213A1">
        <w:rPr>
          <w:sz w:val="20"/>
          <w:szCs w:val="20"/>
          <w:lang w:val="es-AR"/>
        </w:rPr>
        <w:t>La Emisora podrá modificar y/o ampliar los Supuestos de Incumplimiento aquí establecidos en los Suplementos de Precio aplicables, en beneficio de los tenedores de las Obligaciones Negociables, y podrá establecer, respecto de una o más Clases y/o Series, Supuestos de Incumplimientos adicionales a los previstos en el presente, los cuales se regirán por los términos y condiciones que se establezcan en el Suplemento de Precio aplicable.</w:t>
      </w:r>
    </w:p>
    <w:p w14:paraId="79626ACD" w14:textId="77777777" w:rsidR="001F6362" w:rsidRPr="007213A1" w:rsidRDefault="001F6362" w:rsidP="001F6362">
      <w:pPr>
        <w:widowControl w:val="0"/>
        <w:jc w:val="both"/>
        <w:rPr>
          <w:sz w:val="20"/>
          <w:szCs w:val="20"/>
          <w:lang w:val="es-AR"/>
        </w:rPr>
      </w:pPr>
    </w:p>
    <w:p w14:paraId="4FA841CB"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Rescate Opcional por Razones Impositivas</w:t>
      </w:r>
    </w:p>
    <w:p w14:paraId="04F0E463" w14:textId="77777777" w:rsidR="001F6362" w:rsidRPr="007213A1" w:rsidRDefault="001F6362" w:rsidP="001F6362">
      <w:pPr>
        <w:widowControl w:val="0"/>
        <w:jc w:val="both"/>
        <w:rPr>
          <w:sz w:val="20"/>
          <w:szCs w:val="20"/>
          <w:lang w:val="es-AR"/>
        </w:rPr>
      </w:pPr>
    </w:p>
    <w:p w14:paraId="28766310" w14:textId="77777777" w:rsidR="001F6362" w:rsidRPr="007213A1" w:rsidRDefault="001F6362" w:rsidP="001F6362">
      <w:pPr>
        <w:widowControl w:val="0"/>
        <w:jc w:val="both"/>
        <w:rPr>
          <w:sz w:val="20"/>
          <w:szCs w:val="20"/>
          <w:lang w:val="es-AR"/>
        </w:rPr>
      </w:pPr>
      <w:r w:rsidRPr="007213A1">
        <w:rPr>
          <w:sz w:val="20"/>
          <w:szCs w:val="20"/>
          <w:lang w:val="es-AR"/>
        </w:rPr>
        <w:t>Solo se permitirá el rescate anticipado por razones fiscales conforme se menciona a continuación y adicionalmente se permitirá el rescate por otras cuestiones, únicamente en la medida especificada en el Suplemento de Precio aplicable.</w:t>
      </w:r>
    </w:p>
    <w:p w14:paraId="60C32006" w14:textId="77777777" w:rsidR="001F6362" w:rsidRPr="007213A1" w:rsidRDefault="001F6362" w:rsidP="001F6362">
      <w:pPr>
        <w:widowControl w:val="0"/>
        <w:jc w:val="both"/>
        <w:rPr>
          <w:sz w:val="20"/>
          <w:szCs w:val="20"/>
          <w:lang w:val="es-AR"/>
        </w:rPr>
      </w:pPr>
    </w:p>
    <w:p w14:paraId="38B05D66" w14:textId="77777777" w:rsidR="001F6362" w:rsidRPr="007213A1" w:rsidRDefault="001F6362" w:rsidP="001F6362">
      <w:pPr>
        <w:widowControl w:val="0"/>
        <w:jc w:val="both"/>
        <w:rPr>
          <w:sz w:val="20"/>
          <w:szCs w:val="20"/>
          <w:lang w:val="es-AR"/>
        </w:rPr>
      </w:pPr>
      <w:r w:rsidRPr="007213A1">
        <w:rPr>
          <w:sz w:val="20"/>
          <w:szCs w:val="20"/>
          <w:lang w:val="es-AR"/>
        </w:rPr>
        <w:t xml:space="preserve">Si como consecuencia de cualquier cambio o modificación a las normas (incluyendo sin limitación, leyes, decretos, resoluciones, instrucciones y/o tratados en los que la República Argentina sea parte) o pronunciamiento administrativo, judicial o jurisdiccional de la República Argentina o de cualquier subdivisión política o autoridad impositiva de la misma o tribunal competente, o de cualquier cambio de la posición oficial o interpretación relativa a la aplicación de dichas normas (incluyendo, entre otras, la sostenida por un tribunal competente), producidas en o a partir de la fecha de suscripción, la Emisora resultare obligada a pagar Montos Adicionales de acuerdo con lo dispuesto bajo el título </w:t>
      </w:r>
      <w:r w:rsidRPr="007213A1">
        <w:rPr>
          <w:i/>
          <w:iCs/>
          <w:sz w:val="20"/>
          <w:szCs w:val="20"/>
          <w:lang w:val="es-AR"/>
        </w:rPr>
        <w:t>“Montos Adicionales”</w:t>
      </w:r>
      <w:r w:rsidRPr="007213A1">
        <w:rPr>
          <w:sz w:val="20"/>
          <w:szCs w:val="20"/>
          <w:lang w:val="es-AR"/>
        </w:rPr>
        <w:t xml:space="preserve"> de esta sección, la Emisora tendrá la facultad de rescatar las Obligaciones Negociables en forma total o parcial. El mencionado rescate anticipado sólo procederá una vez que la Emisora hubiera comunicado a la CNV la configuración del presupuesto que autoriza el rescate anticipado de la Obligaciones Negociables, debidamente acompañado de un dictamen expedido por los auditores de la Emisora del cual surja de manera indubitable la configuración de tal supuesto. El rescate deberá ser efectuado al 100% del valor nominal residual de las Obligaciones Negociables rescatadas, más los intereses devengados hasta la fecha del rescate. La Emisora deberá dar aviso a los obligacionistas de su decisión de proceder a rescatar las Obligaciones Negociables mediante la publicación de avisos en los medios indicados bajo el título </w:t>
      </w:r>
      <w:r w:rsidRPr="007213A1">
        <w:rPr>
          <w:i/>
          <w:iCs/>
          <w:sz w:val="20"/>
          <w:szCs w:val="20"/>
          <w:lang w:val="es-AR"/>
        </w:rPr>
        <w:t>“Notificaciones a los Tenedores de las Obligaciones Negociables”</w:t>
      </w:r>
      <w:r w:rsidRPr="007213A1">
        <w:rPr>
          <w:sz w:val="20"/>
          <w:szCs w:val="20"/>
          <w:lang w:val="es-AR"/>
        </w:rPr>
        <w:t xml:space="preserve"> de este Capítulo, con una anticipación de por lo menos 30 días corridos a la fecha del rescate, en la que se pondrá a disposición de los obligacionistas el capital e intereses devengados por las Obligaciones Negociables de acuerdo con el contenido del aviso mencionado y el procedimiento establecido para el pago regular de los cupones de interés, y amortización de capital e interés en cada fecha de pago. Sin perjuicio de ello, el procedimiento que la Emisora fije para el rescate anticipado de una Clase y/o Serie de Obligaciones Negociables deberá respetar la igualdad de trato de todos los obligacionistas bajo la Clase y/o Serie de Obligaciones Negociables que se rescaten.</w:t>
      </w:r>
    </w:p>
    <w:p w14:paraId="60FBD603" w14:textId="77777777" w:rsidR="001F6362" w:rsidRPr="007213A1" w:rsidRDefault="001F6362" w:rsidP="001F6362">
      <w:pPr>
        <w:widowControl w:val="0"/>
        <w:jc w:val="both"/>
        <w:rPr>
          <w:sz w:val="20"/>
          <w:szCs w:val="20"/>
          <w:lang w:val="es-AR"/>
        </w:rPr>
      </w:pPr>
    </w:p>
    <w:p w14:paraId="384E27A1"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Montos Adicionales</w:t>
      </w:r>
    </w:p>
    <w:p w14:paraId="29530C9A" w14:textId="77777777" w:rsidR="001F6362" w:rsidRPr="007213A1" w:rsidRDefault="001F6362" w:rsidP="001F6362">
      <w:pPr>
        <w:widowControl w:val="0"/>
        <w:autoSpaceDE w:val="0"/>
        <w:autoSpaceDN w:val="0"/>
        <w:adjustRightInd w:val="0"/>
        <w:jc w:val="both"/>
        <w:rPr>
          <w:sz w:val="20"/>
          <w:szCs w:val="20"/>
          <w:lang w:val="es-AR"/>
        </w:rPr>
      </w:pPr>
    </w:p>
    <w:p w14:paraId="721743DD" w14:textId="77777777" w:rsidR="001F6362" w:rsidRPr="007213A1" w:rsidRDefault="001F6362" w:rsidP="001F6362">
      <w:pPr>
        <w:widowControl w:val="0"/>
        <w:autoSpaceDE w:val="0"/>
        <w:autoSpaceDN w:val="0"/>
        <w:adjustRightInd w:val="0"/>
        <w:jc w:val="both"/>
        <w:rPr>
          <w:sz w:val="20"/>
          <w:szCs w:val="20"/>
          <w:lang w:val="es-AR"/>
        </w:rPr>
      </w:pPr>
      <w:r w:rsidRPr="007213A1">
        <w:rPr>
          <w:sz w:val="20"/>
          <w:szCs w:val="20"/>
          <w:lang w:val="es-AR"/>
        </w:rPr>
        <w:t>Todos los impuestos presentes y futuros de cualquier jurisdicción que pudieran recaer sobre los actos, contratos y operaciones relacionados con la emisión y suscripción de las Obligaciones Negociables, estarán exclusivamente a cargo de la Emisora, quien abonará las sumas adeudadas por intereses y capital por las Obligaciones Negociables, sin deducción de importe alguno en concepto de impuestos, tasas, contribuciones, gravámenes, retenciones o gastos de transferencia, vigentes a la fecha de suscripción, o que se establezcan en el futuro por cualquier autoridad de la República Argentina, cualquiera que fuera el origen o causa de los mismos. En consecuencia, si por disposiciones legales o reglamentarias, o por una interpretación de las mismas, la Emisora debiera pagar o retener tales importes, la Emisora se obliga a efectuar a su exclusivo costo el ingreso de los pagos o retenciones en cuestión, en forma tal que, una vez realizadas todas las retenciones o deducciones, los obligacionistas reciban un monto igual al que hubieran recibido si dichas retenciones o deducciones no hubieran sido realizadas. Sin embargo, lo expuesto no será aplicable:</w:t>
      </w:r>
    </w:p>
    <w:p w14:paraId="01935FEA" w14:textId="77777777" w:rsidR="001F6362" w:rsidRPr="007213A1" w:rsidRDefault="001F6362" w:rsidP="001F6362">
      <w:pPr>
        <w:widowControl w:val="0"/>
        <w:autoSpaceDE w:val="0"/>
        <w:autoSpaceDN w:val="0"/>
        <w:adjustRightInd w:val="0"/>
        <w:jc w:val="both"/>
        <w:rPr>
          <w:sz w:val="20"/>
          <w:szCs w:val="20"/>
          <w:lang w:val="es-AR"/>
        </w:rPr>
      </w:pPr>
    </w:p>
    <w:p w14:paraId="0DD33368" w14:textId="3FF835B2" w:rsidR="001F6362" w:rsidRPr="007213A1" w:rsidRDefault="001F6362" w:rsidP="001F6362">
      <w:pPr>
        <w:widowControl w:val="0"/>
        <w:numPr>
          <w:ilvl w:val="0"/>
          <w:numId w:val="26"/>
        </w:numPr>
        <w:autoSpaceDE w:val="0"/>
        <w:autoSpaceDN w:val="0"/>
        <w:adjustRightInd w:val="0"/>
        <w:ind w:left="567" w:hanging="567"/>
        <w:jc w:val="both"/>
        <w:rPr>
          <w:sz w:val="20"/>
          <w:szCs w:val="20"/>
          <w:lang w:val="es-AR"/>
        </w:rPr>
      </w:pPr>
      <w:r w:rsidRPr="007213A1">
        <w:rPr>
          <w:sz w:val="20"/>
          <w:szCs w:val="20"/>
          <w:lang w:val="es-AR"/>
        </w:rPr>
        <w:t>a los tenedores comprendidos en el título VI (excluidas las entidades de la Ley de Entidades Financieras</w:t>
      </w:r>
      <w:r w:rsidR="00B72068">
        <w:rPr>
          <w:sz w:val="20"/>
          <w:szCs w:val="20"/>
          <w:lang w:val="es-AR"/>
        </w:rPr>
        <w:t>, en el título IV Capítulo II y en el Título V de la Ley de Impuesto a las Ganancias de Argentina, en relación al impuesto a las ganancias que les corresponda tributar</w:t>
      </w:r>
      <w:r w:rsidR="00B72068" w:rsidRPr="007213A1">
        <w:rPr>
          <w:sz w:val="20"/>
          <w:szCs w:val="20"/>
          <w:lang w:val="es-AR"/>
        </w:rPr>
        <w:t>;</w:t>
      </w:r>
      <w:r w:rsidRPr="007213A1">
        <w:rPr>
          <w:sz w:val="20"/>
          <w:szCs w:val="20"/>
          <w:lang w:val="es-AR"/>
        </w:rPr>
        <w:t xml:space="preserve"> </w:t>
      </w:r>
    </w:p>
    <w:p w14:paraId="7A67D460" w14:textId="77777777" w:rsidR="001F6362" w:rsidRPr="007213A1" w:rsidRDefault="001F6362" w:rsidP="001F6362">
      <w:pPr>
        <w:widowControl w:val="0"/>
        <w:autoSpaceDE w:val="0"/>
        <w:autoSpaceDN w:val="0"/>
        <w:adjustRightInd w:val="0"/>
        <w:ind w:left="567" w:hanging="567"/>
        <w:jc w:val="both"/>
        <w:rPr>
          <w:sz w:val="20"/>
          <w:szCs w:val="20"/>
          <w:lang w:val="es-AR"/>
        </w:rPr>
      </w:pPr>
    </w:p>
    <w:p w14:paraId="7C4B6A09" w14:textId="77777777" w:rsidR="001F6362" w:rsidRPr="007213A1" w:rsidRDefault="001F6362" w:rsidP="001F6362">
      <w:pPr>
        <w:widowControl w:val="0"/>
        <w:numPr>
          <w:ilvl w:val="0"/>
          <w:numId w:val="26"/>
        </w:numPr>
        <w:autoSpaceDE w:val="0"/>
        <w:autoSpaceDN w:val="0"/>
        <w:adjustRightInd w:val="0"/>
        <w:ind w:left="567" w:hanging="567"/>
        <w:jc w:val="both"/>
        <w:rPr>
          <w:sz w:val="20"/>
          <w:szCs w:val="20"/>
          <w:lang w:val="es-AR"/>
        </w:rPr>
      </w:pPr>
      <w:r w:rsidRPr="007213A1">
        <w:rPr>
          <w:sz w:val="20"/>
          <w:szCs w:val="20"/>
          <w:lang w:val="es-AR"/>
        </w:rPr>
        <w:t xml:space="preserve">cuando se trate del impuesto a los créditos y débitos efectuados en cuentas de cualquier naturaleza abiertas en las entidades regidas por la Ley de Entidades Financieras; </w:t>
      </w:r>
    </w:p>
    <w:p w14:paraId="742FC6F0" w14:textId="77777777" w:rsidR="001F6362" w:rsidRPr="007213A1" w:rsidRDefault="001F6362" w:rsidP="001F6362">
      <w:pPr>
        <w:widowControl w:val="0"/>
        <w:autoSpaceDE w:val="0"/>
        <w:autoSpaceDN w:val="0"/>
        <w:adjustRightInd w:val="0"/>
        <w:ind w:left="567" w:hanging="567"/>
        <w:jc w:val="both"/>
        <w:rPr>
          <w:sz w:val="20"/>
          <w:szCs w:val="20"/>
          <w:lang w:val="es-AR"/>
        </w:rPr>
      </w:pPr>
    </w:p>
    <w:p w14:paraId="67EFE623" w14:textId="77777777" w:rsidR="001F6362" w:rsidRPr="007213A1" w:rsidRDefault="001F6362" w:rsidP="001F6362">
      <w:pPr>
        <w:widowControl w:val="0"/>
        <w:numPr>
          <w:ilvl w:val="0"/>
          <w:numId w:val="26"/>
        </w:numPr>
        <w:autoSpaceDE w:val="0"/>
        <w:autoSpaceDN w:val="0"/>
        <w:adjustRightInd w:val="0"/>
        <w:ind w:left="567" w:hanging="567"/>
        <w:jc w:val="both"/>
        <w:rPr>
          <w:sz w:val="20"/>
          <w:szCs w:val="20"/>
          <w:lang w:val="es-AR"/>
        </w:rPr>
      </w:pPr>
      <w:r w:rsidRPr="007213A1">
        <w:rPr>
          <w:sz w:val="20"/>
          <w:szCs w:val="20"/>
          <w:lang w:val="es-AR"/>
        </w:rPr>
        <w:t>cuando la Emisora se viera obligada por las disposiciones legales vigentes a realizar una deducción y/o retención por, o a cuenta de, el impuesto sobre los bienes personales;</w:t>
      </w:r>
    </w:p>
    <w:p w14:paraId="795CBDC7" w14:textId="77777777" w:rsidR="001F6362" w:rsidRPr="007213A1" w:rsidRDefault="001F6362" w:rsidP="001F6362">
      <w:pPr>
        <w:widowControl w:val="0"/>
        <w:autoSpaceDE w:val="0"/>
        <w:autoSpaceDN w:val="0"/>
        <w:adjustRightInd w:val="0"/>
        <w:ind w:left="567" w:hanging="567"/>
        <w:jc w:val="both"/>
        <w:rPr>
          <w:sz w:val="20"/>
          <w:szCs w:val="20"/>
          <w:lang w:val="es-AR"/>
        </w:rPr>
      </w:pPr>
    </w:p>
    <w:p w14:paraId="75E97F2A" w14:textId="77777777" w:rsidR="001F6362" w:rsidRPr="007213A1" w:rsidRDefault="001F6362" w:rsidP="001F6362">
      <w:pPr>
        <w:widowControl w:val="0"/>
        <w:numPr>
          <w:ilvl w:val="0"/>
          <w:numId w:val="26"/>
        </w:numPr>
        <w:autoSpaceDE w:val="0"/>
        <w:autoSpaceDN w:val="0"/>
        <w:adjustRightInd w:val="0"/>
        <w:ind w:left="567" w:hanging="567"/>
        <w:jc w:val="both"/>
        <w:rPr>
          <w:sz w:val="20"/>
          <w:szCs w:val="20"/>
          <w:lang w:val="es-AR"/>
        </w:rPr>
      </w:pPr>
      <w:r w:rsidRPr="007213A1">
        <w:rPr>
          <w:sz w:val="20"/>
          <w:szCs w:val="20"/>
          <w:lang w:val="es-AR"/>
        </w:rPr>
        <w:t>por cualquier impuesto, tasa o carga gubernamental sobre las sucesiones, herencias, legados, donaciones, ventas, transferencias o impuesto similar;</w:t>
      </w:r>
    </w:p>
    <w:p w14:paraId="19C06279" w14:textId="77777777" w:rsidR="001F6362" w:rsidRPr="007213A1" w:rsidRDefault="001F6362" w:rsidP="001F6362">
      <w:pPr>
        <w:widowControl w:val="0"/>
        <w:autoSpaceDE w:val="0"/>
        <w:autoSpaceDN w:val="0"/>
        <w:adjustRightInd w:val="0"/>
        <w:ind w:left="567" w:hanging="567"/>
        <w:jc w:val="both"/>
        <w:rPr>
          <w:sz w:val="20"/>
          <w:szCs w:val="20"/>
          <w:lang w:val="es-AR"/>
        </w:rPr>
      </w:pPr>
    </w:p>
    <w:p w14:paraId="048E8B4F" w14:textId="77777777" w:rsidR="001F6362" w:rsidRPr="007213A1" w:rsidRDefault="001F6362" w:rsidP="001F6362">
      <w:pPr>
        <w:widowControl w:val="0"/>
        <w:numPr>
          <w:ilvl w:val="0"/>
          <w:numId w:val="26"/>
        </w:numPr>
        <w:autoSpaceDE w:val="0"/>
        <w:autoSpaceDN w:val="0"/>
        <w:adjustRightInd w:val="0"/>
        <w:ind w:left="567" w:hanging="567"/>
        <w:jc w:val="both"/>
        <w:rPr>
          <w:sz w:val="20"/>
          <w:szCs w:val="20"/>
          <w:lang w:val="es-AR"/>
        </w:rPr>
      </w:pPr>
      <w:r w:rsidRPr="007213A1">
        <w:rPr>
          <w:sz w:val="20"/>
          <w:szCs w:val="20"/>
          <w:lang w:val="es-AR"/>
        </w:rPr>
        <w:t>cuando tales deducciones y/o retenciones no hubieran resultado aplicables de no ser por no haber presentado el tenedor de las Obligaciones Negociables o cualquier otra persona, según lo requerido por las normas vigentes -incluyendo, sin limitación, leyes, decretos, resoluciones instrucciones escritas de la AFIP y/o tratados internacionales de los que la República Argentina sea parte-, esté o no dicho tenedor o persona legalmente capacitado para hacerlo: información, documentos, declaraciones u otras constancias en la forma y en las condiciones requeridas por las normas vigentes en relación con la nacionalidad, residencia, identidad, naturaleza jurídica o relación con la República Argentina de dicho tenedor o persona u otra información significativa que sea requerida o impuesta por normas vigentes como una condición previa o requisito para eliminar y/o reducir tales deducciones y/o retenciones a cuenta de impuesto, tasa, contribución o carga gubernamental; siempre que la carga de cumplir con estos requerimientos sea comercialmente razonable;</w:t>
      </w:r>
    </w:p>
    <w:p w14:paraId="6B8316E2" w14:textId="77777777" w:rsidR="001F6362" w:rsidRPr="007213A1" w:rsidRDefault="001F6362" w:rsidP="001F6362">
      <w:pPr>
        <w:widowControl w:val="0"/>
        <w:autoSpaceDE w:val="0"/>
        <w:autoSpaceDN w:val="0"/>
        <w:adjustRightInd w:val="0"/>
        <w:ind w:left="567" w:hanging="567"/>
        <w:jc w:val="both"/>
        <w:rPr>
          <w:sz w:val="20"/>
          <w:szCs w:val="20"/>
          <w:lang w:val="es-AR"/>
        </w:rPr>
      </w:pPr>
    </w:p>
    <w:p w14:paraId="1F11DD5B" w14:textId="77777777" w:rsidR="001F6362" w:rsidRPr="007213A1" w:rsidRDefault="001F6362" w:rsidP="001F6362">
      <w:pPr>
        <w:widowControl w:val="0"/>
        <w:numPr>
          <w:ilvl w:val="0"/>
          <w:numId w:val="26"/>
        </w:numPr>
        <w:autoSpaceDE w:val="0"/>
        <w:autoSpaceDN w:val="0"/>
        <w:adjustRightInd w:val="0"/>
        <w:ind w:left="567" w:hanging="567"/>
        <w:jc w:val="both"/>
        <w:rPr>
          <w:sz w:val="20"/>
          <w:szCs w:val="20"/>
          <w:lang w:val="es-AR"/>
        </w:rPr>
      </w:pPr>
      <w:r w:rsidRPr="007213A1">
        <w:rPr>
          <w:sz w:val="20"/>
          <w:szCs w:val="20"/>
          <w:lang w:val="es-AR"/>
        </w:rPr>
        <w:t>cuando tales deducciones y/o retenciones resultaran aplicables en virtud de una conexión entre el tenedor de las Obligaciones Negociables y la República Argentina (o cualquier de sus subdivisiones políticas o autoridades), que no sea la mera tenencia de las Obligaciones Negociables, o el derecho a exigir el cumplimiento o disposición de las Obligaciones Negociables en cuestión, o la percepción de pagos de capital, intereses y/u otros montos adeudados en virtud de las mismas;</w:t>
      </w:r>
    </w:p>
    <w:p w14:paraId="0B65AC47" w14:textId="77777777" w:rsidR="001F6362" w:rsidRPr="007213A1" w:rsidRDefault="001F6362" w:rsidP="001F6362">
      <w:pPr>
        <w:widowControl w:val="0"/>
        <w:autoSpaceDE w:val="0"/>
        <w:autoSpaceDN w:val="0"/>
        <w:adjustRightInd w:val="0"/>
        <w:ind w:left="567" w:hanging="567"/>
        <w:jc w:val="both"/>
        <w:rPr>
          <w:sz w:val="20"/>
          <w:szCs w:val="20"/>
          <w:lang w:val="es-AR"/>
        </w:rPr>
      </w:pPr>
    </w:p>
    <w:p w14:paraId="32C33715" w14:textId="77777777" w:rsidR="0071518C" w:rsidRDefault="001F6362" w:rsidP="001F6362">
      <w:pPr>
        <w:widowControl w:val="0"/>
        <w:numPr>
          <w:ilvl w:val="0"/>
          <w:numId w:val="26"/>
        </w:numPr>
        <w:autoSpaceDE w:val="0"/>
        <w:autoSpaceDN w:val="0"/>
        <w:adjustRightInd w:val="0"/>
        <w:ind w:left="567" w:hanging="567"/>
        <w:jc w:val="both"/>
        <w:rPr>
          <w:sz w:val="20"/>
          <w:szCs w:val="20"/>
          <w:lang w:val="es-AR"/>
        </w:rPr>
      </w:pPr>
      <w:r w:rsidRPr="007213A1">
        <w:rPr>
          <w:sz w:val="20"/>
          <w:szCs w:val="20"/>
          <w:lang w:val="es-AR"/>
        </w:rPr>
        <w:t xml:space="preserve">por cualquier impuesto, tasa, contribución u otra carga gubernamental que sea pagadera de otro modo que no sea mediante una retención o deducción de los pagos sobre o respecto de cualquier Clase y/o Serie de Obligaciones Negociables; </w:t>
      </w:r>
    </w:p>
    <w:p w14:paraId="0624F97F" w14:textId="77777777" w:rsidR="0071518C" w:rsidRDefault="0071518C" w:rsidP="00BA304B">
      <w:pPr>
        <w:pStyle w:val="Prrafodelista"/>
        <w:rPr>
          <w:sz w:val="20"/>
          <w:szCs w:val="20"/>
        </w:rPr>
      </w:pPr>
    </w:p>
    <w:p w14:paraId="568EC674" w14:textId="03D34059" w:rsidR="001F6362" w:rsidRPr="007213A1" w:rsidRDefault="0071518C" w:rsidP="001F6362">
      <w:pPr>
        <w:widowControl w:val="0"/>
        <w:numPr>
          <w:ilvl w:val="0"/>
          <w:numId w:val="26"/>
        </w:numPr>
        <w:autoSpaceDE w:val="0"/>
        <w:autoSpaceDN w:val="0"/>
        <w:adjustRightInd w:val="0"/>
        <w:ind w:left="567" w:hanging="567"/>
        <w:jc w:val="both"/>
        <w:rPr>
          <w:sz w:val="20"/>
          <w:szCs w:val="20"/>
          <w:lang w:val="es-AR"/>
        </w:rPr>
      </w:pPr>
      <w:r w:rsidRPr="00BA304B">
        <w:rPr>
          <w:sz w:val="20"/>
          <w:szCs w:val="20"/>
          <w:lang w:val="es-AR"/>
        </w:rPr>
        <w:t>cuando por ser el obligacionista contribuyente del impuesto sobre los ingresos brutos en cualesquiera de las jurisdicciones provinciales y/o de la Ciudad Autónoma de Buenos Aires, l</w:t>
      </w:r>
      <w:r>
        <w:rPr>
          <w:sz w:val="20"/>
          <w:szCs w:val="20"/>
          <w:lang w:val="es-AR"/>
        </w:rPr>
        <w:t>a</w:t>
      </w:r>
      <w:r w:rsidRPr="00BA304B">
        <w:rPr>
          <w:sz w:val="20"/>
          <w:szCs w:val="20"/>
          <w:lang w:val="es-AR"/>
        </w:rPr>
        <w:t xml:space="preserve"> Emisor</w:t>
      </w:r>
      <w:r>
        <w:rPr>
          <w:sz w:val="20"/>
          <w:szCs w:val="20"/>
          <w:lang w:val="es-AR"/>
        </w:rPr>
        <w:t>a</w:t>
      </w:r>
      <w:r w:rsidRPr="00BA304B">
        <w:rPr>
          <w:sz w:val="20"/>
          <w:szCs w:val="20"/>
          <w:lang w:val="es-AR"/>
        </w:rPr>
        <w:t xml:space="preserve"> y/o el agente pagador se viera obligado por las disposiciones normativas vigentes, a realizar una deducción y/o retención por, o a cuenta de, el impuesto sobre los ingresos brutos; </w:t>
      </w:r>
      <w:r w:rsidR="001F6362" w:rsidRPr="007213A1">
        <w:rPr>
          <w:sz w:val="20"/>
          <w:szCs w:val="20"/>
          <w:lang w:val="es-AR"/>
        </w:rPr>
        <w:t>y/o</w:t>
      </w:r>
    </w:p>
    <w:p w14:paraId="3E6045DA" w14:textId="77777777" w:rsidR="001F6362" w:rsidRPr="007213A1" w:rsidRDefault="001F6362" w:rsidP="001F6362">
      <w:pPr>
        <w:widowControl w:val="0"/>
        <w:autoSpaceDE w:val="0"/>
        <w:autoSpaceDN w:val="0"/>
        <w:adjustRightInd w:val="0"/>
        <w:ind w:left="567" w:hanging="567"/>
        <w:jc w:val="both"/>
        <w:rPr>
          <w:sz w:val="20"/>
          <w:szCs w:val="20"/>
          <w:lang w:val="es-AR"/>
        </w:rPr>
      </w:pPr>
    </w:p>
    <w:p w14:paraId="0E64A3C0" w14:textId="187E5716" w:rsidR="001F6362" w:rsidRPr="007213A1" w:rsidRDefault="001F6362" w:rsidP="001F6362">
      <w:pPr>
        <w:widowControl w:val="0"/>
        <w:numPr>
          <w:ilvl w:val="0"/>
          <w:numId w:val="26"/>
        </w:numPr>
        <w:autoSpaceDE w:val="0"/>
        <w:autoSpaceDN w:val="0"/>
        <w:adjustRightInd w:val="0"/>
        <w:ind w:left="567" w:hanging="567"/>
        <w:jc w:val="both"/>
        <w:rPr>
          <w:sz w:val="20"/>
          <w:szCs w:val="20"/>
          <w:lang w:val="es-AR"/>
        </w:rPr>
      </w:pPr>
      <w:r w:rsidRPr="007213A1">
        <w:rPr>
          <w:sz w:val="20"/>
          <w:szCs w:val="20"/>
          <w:lang w:val="es-AR"/>
        </w:rPr>
        <w:t>por cualquier combinación de lo establecido en (i), (ii), (iii), (iv), (v), (vi)</w:t>
      </w:r>
      <w:r w:rsidR="0071518C">
        <w:rPr>
          <w:sz w:val="20"/>
          <w:szCs w:val="20"/>
          <w:lang w:val="es-AR"/>
        </w:rPr>
        <w:t>, (vii)</w:t>
      </w:r>
      <w:r w:rsidRPr="007213A1">
        <w:rPr>
          <w:sz w:val="20"/>
          <w:szCs w:val="20"/>
          <w:lang w:val="es-AR"/>
        </w:rPr>
        <w:t xml:space="preserve"> </w:t>
      </w:r>
      <w:r w:rsidR="0071518C">
        <w:rPr>
          <w:sz w:val="20"/>
          <w:szCs w:val="20"/>
          <w:lang w:val="es-AR"/>
        </w:rPr>
        <w:t>u</w:t>
      </w:r>
      <w:r w:rsidRPr="007213A1">
        <w:rPr>
          <w:sz w:val="20"/>
          <w:szCs w:val="20"/>
          <w:lang w:val="es-AR"/>
        </w:rPr>
        <w:t xml:space="preserve"> (vii</w:t>
      </w:r>
      <w:r w:rsidR="0071518C">
        <w:rPr>
          <w:sz w:val="20"/>
          <w:szCs w:val="20"/>
          <w:lang w:val="es-AR"/>
        </w:rPr>
        <w:t>i</w:t>
      </w:r>
      <w:r w:rsidRPr="007213A1">
        <w:rPr>
          <w:sz w:val="20"/>
          <w:szCs w:val="20"/>
          <w:lang w:val="es-AR"/>
        </w:rPr>
        <w:t>).</w:t>
      </w:r>
    </w:p>
    <w:p w14:paraId="45EAB146" w14:textId="77777777" w:rsidR="001F6362" w:rsidRPr="007213A1" w:rsidRDefault="001F6362" w:rsidP="001F6362">
      <w:pPr>
        <w:widowControl w:val="0"/>
        <w:jc w:val="both"/>
        <w:rPr>
          <w:sz w:val="20"/>
          <w:szCs w:val="20"/>
          <w:lang w:val="es-AR"/>
        </w:rPr>
      </w:pPr>
    </w:p>
    <w:p w14:paraId="579FB0EE" w14:textId="77777777" w:rsidR="001F6362" w:rsidRPr="007213A1" w:rsidRDefault="001F6362" w:rsidP="001F6362">
      <w:pPr>
        <w:widowControl w:val="0"/>
        <w:autoSpaceDE w:val="0"/>
        <w:autoSpaceDN w:val="0"/>
        <w:adjustRightInd w:val="0"/>
        <w:jc w:val="both"/>
        <w:rPr>
          <w:sz w:val="20"/>
          <w:szCs w:val="20"/>
          <w:lang w:val="es-AR"/>
        </w:rPr>
      </w:pPr>
      <w:r w:rsidRPr="007213A1">
        <w:rPr>
          <w:sz w:val="20"/>
          <w:szCs w:val="20"/>
          <w:lang w:val="es-AR"/>
        </w:rPr>
        <w:t>Si los tenedores de las Obligaciones Negociables no proveen la totalidad o parte de la información, documentos o constancias que pueden ser requeridas por la Emisora oportunamente conforme las normas vigentes (incluyendo, sin limitación, leyes, decretos, resoluciones, instrucciones escritas de la AFIP y/o tratados internacionales de los que la República Argentina sea parte), la Emisora no pagará Montos Adicionales respecto de las Obligaciones Negociables de dicho tenedor y retendrá o deducirá el monto máximo que sea requerido por la ley argentina; ello, a condición de que la carga de cumplir con estos requerimientos sea comercialmente razonable y la Emisora haya notificado a los tenedores de las Obligaciones Negociables con por lo menos 30 días de anticipación.</w:t>
      </w:r>
    </w:p>
    <w:p w14:paraId="245386E2" w14:textId="77777777" w:rsidR="001F6362" w:rsidRPr="007213A1" w:rsidRDefault="001F6362" w:rsidP="001F6362">
      <w:pPr>
        <w:widowControl w:val="0"/>
        <w:jc w:val="both"/>
        <w:rPr>
          <w:sz w:val="20"/>
          <w:szCs w:val="20"/>
          <w:lang w:val="es-AR"/>
        </w:rPr>
      </w:pPr>
    </w:p>
    <w:p w14:paraId="336A5F93"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Recompra</w:t>
      </w:r>
    </w:p>
    <w:p w14:paraId="12E14B38" w14:textId="77777777" w:rsidR="001F6362" w:rsidRPr="007213A1" w:rsidRDefault="001F6362" w:rsidP="001F6362">
      <w:pPr>
        <w:widowControl w:val="0"/>
        <w:jc w:val="both"/>
        <w:rPr>
          <w:sz w:val="20"/>
          <w:szCs w:val="20"/>
          <w:lang w:val="es-AR"/>
        </w:rPr>
      </w:pPr>
    </w:p>
    <w:p w14:paraId="680F5B63" w14:textId="50A3C954" w:rsidR="001F6362" w:rsidRPr="001622AF" w:rsidRDefault="001F6362" w:rsidP="001F6362">
      <w:pPr>
        <w:jc w:val="both"/>
        <w:rPr>
          <w:sz w:val="20"/>
          <w:lang w:val="es-AR"/>
        </w:rPr>
      </w:pPr>
      <w:r w:rsidRPr="007213A1">
        <w:rPr>
          <w:sz w:val="20"/>
          <w:szCs w:val="20"/>
          <w:lang w:val="es-MX"/>
        </w:rPr>
        <w:t xml:space="preserve">La Sociedad puede, en cualquier momento, comprar Títulos en los mercados autorizados donde éstos listen o se negocien por medio de una oferta o acuerdo privado, a un precio que en todos los supuestos asegure un trato igualitario entre todos los tenedores de los Obligaciones Negociables. Cualquier Título comprado de esta forma por la Sociedad podrá ser </w:t>
      </w:r>
      <w:r w:rsidRPr="001622AF">
        <w:rPr>
          <w:sz w:val="20"/>
          <w:szCs w:val="20"/>
          <w:lang w:val="es-MX"/>
        </w:rPr>
        <w:t xml:space="preserve">registrado en nombre de la Sociedad o cancelado; estableciéndose, sin embargo, que, a efectos de determinar los </w:t>
      </w:r>
      <w:r w:rsidR="00FF47E1" w:rsidRPr="001622AF">
        <w:rPr>
          <w:sz w:val="20"/>
          <w:lang w:val="es-MX"/>
        </w:rPr>
        <w:t>tenedores</w:t>
      </w:r>
      <w:r w:rsidR="00FF47E1" w:rsidRPr="001622AF">
        <w:rPr>
          <w:sz w:val="20"/>
          <w:szCs w:val="20"/>
          <w:lang w:val="es-MX"/>
        </w:rPr>
        <w:t xml:space="preserve"> </w:t>
      </w:r>
      <w:r w:rsidRPr="007213A1">
        <w:rPr>
          <w:sz w:val="20"/>
          <w:szCs w:val="20"/>
          <w:lang w:val="es-MX"/>
        </w:rPr>
        <w:t xml:space="preserve">de Títulos con derecho a formular, dar o aceptar cualesquiera solicitudes, demandas, autorizaciones, directivas, notificaciones, consentimientos, renuncias y otras acciones bajo los términos de los Títulos, cualesquiera Títulos registrados en nombre de la Sociedad no se considerarán en circulación a tales efectos y no participarán al realizar, dar o aceptar dicha acción. </w:t>
      </w:r>
      <w:r w:rsidRPr="001622AF">
        <w:rPr>
          <w:sz w:val="20"/>
          <w:lang w:val="es-AR"/>
        </w:rPr>
        <w:t>La Sociedad no actuará como agente estabilizador del precio.</w:t>
      </w:r>
    </w:p>
    <w:p w14:paraId="3031E013" w14:textId="77777777" w:rsidR="001F6362" w:rsidRPr="007213A1" w:rsidRDefault="001F6362" w:rsidP="001F6362">
      <w:pPr>
        <w:widowControl w:val="0"/>
        <w:jc w:val="both"/>
        <w:rPr>
          <w:sz w:val="20"/>
          <w:szCs w:val="20"/>
          <w:lang w:val="es-AR"/>
        </w:rPr>
      </w:pPr>
    </w:p>
    <w:p w14:paraId="046DFD17"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Asambleas</w:t>
      </w:r>
    </w:p>
    <w:p w14:paraId="0A931A13" w14:textId="77777777" w:rsidR="001F6362" w:rsidRPr="007213A1" w:rsidRDefault="001F6362" w:rsidP="001F6362">
      <w:pPr>
        <w:widowControl w:val="0"/>
        <w:jc w:val="both"/>
        <w:rPr>
          <w:sz w:val="20"/>
          <w:szCs w:val="20"/>
          <w:lang w:val="es-AR"/>
        </w:rPr>
      </w:pPr>
    </w:p>
    <w:p w14:paraId="485BFFA7" w14:textId="77777777" w:rsidR="001F6362" w:rsidRPr="007213A1" w:rsidRDefault="001F6362" w:rsidP="001F6362">
      <w:pPr>
        <w:widowControl w:val="0"/>
        <w:jc w:val="both"/>
        <w:rPr>
          <w:sz w:val="20"/>
          <w:szCs w:val="20"/>
          <w:lang w:val="es-AR"/>
        </w:rPr>
      </w:pPr>
      <w:r w:rsidRPr="007213A1">
        <w:rPr>
          <w:sz w:val="20"/>
          <w:szCs w:val="20"/>
          <w:lang w:val="es-AR"/>
        </w:rPr>
        <w:t>Las asambleas de tenedores de Obligaciones Negociables de cada Clase y/o Serie en circulación (las “</w:t>
      </w:r>
      <w:r w:rsidRPr="007213A1">
        <w:rPr>
          <w:sz w:val="20"/>
          <w:szCs w:val="20"/>
          <w:u w:val="single"/>
          <w:lang w:val="es-AR"/>
        </w:rPr>
        <w:t>Asambleas</w:t>
      </w:r>
      <w:r w:rsidRPr="007213A1">
        <w:rPr>
          <w:sz w:val="20"/>
          <w:szCs w:val="20"/>
          <w:lang w:val="es-AR"/>
        </w:rPr>
        <w:t>”) se regirán por la Ley de Obligaciones Negociables en todo aquello que no esté previsto expresamente en el presente Prospecto y/o por lo que se prevea en el Suplemento de Precio.</w:t>
      </w:r>
    </w:p>
    <w:p w14:paraId="0C6B7EB7" w14:textId="77777777" w:rsidR="001F6362" w:rsidRPr="007213A1" w:rsidRDefault="001F6362" w:rsidP="001F6362">
      <w:pPr>
        <w:widowControl w:val="0"/>
        <w:jc w:val="both"/>
        <w:rPr>
          <w:sz w:val="20"/>
          <w:szCs w:val="20"/>
          <w:lang w:val="es-AR"/>
        </w:rPr>
      </w:pPr>
    </w:p>
    <w:p w14:paraId="12E8EC2E" w14:textId="77777777" w:rsidR="001F6362" w:rsidRPr="007213A1" w:rsidRDefault="001F6362" w:rsidP="001F6362">
      <w:pPr>
        <w:widowControl w:val="0"/>
        <w:jc w:val="both"/>
        <w:rPr>
          <w:sz w:val="20"/>
          <w:szCs w:val="20"/>
          <w:lang w:val="es-AR"/>
        </w:rPr>
      </w:pPr>
      <w:r w:rsidRPr="007213A1">
        <w:rPr>
          <w:i/>
          <w:iCs/>
          <w:sz w:val="20"/>
          <w:szCs w:val="20"/>
          <w:lang w:val="es-AR"/>
        </w:rPr>
        <w:t>Lugar de Reunión.</w:t>
      </w:r>
      <w:r w:rsidRPr="007213A1">
        <w:rPr>
          <w:sz w:val="20"/>
          <w:szCs w:val="20"/>
          <w:lang w:val="es-AR"/>
        </w:rPr>
        <w:t xml:space="preserve"> Las Asambleas podrán celebrarse en la Ciudad Autónoma de Buenos Aires y, adicionalmente, en aquella otra jurisdicción que sea indicada en el Suplemento de Precio aplicable.</w:t>
      </w:r>
    </w:p>
    <w:p w14:paraId="0CB94EF2" w14:textId="77777777" w:rsidR="001F6362" w:rsidRPr="007213A1" w:rsidRDefault="001F6362" w:rsidP="001F6362">
      <w:pPr>
        <w:widowControl w:val="0"/>
        <w:jc w:val="both"/>
        <w:rPr>
          <w:sz w:val="20"/>
          <w:szCs w:val="20"/>
          <w:lang w:val="es-AR"/>
        </w:rPr>
      </w:pPr>
    </w:p>
    <w:p w14:paraId="3C16502A" w14:textId="77777777" w:rsidR="001F6362" w:rsidRPr="007213A1" w:rsidRDefault="001F6362" w:rsidP="001F6362">
      <w:pPr>
        <w:widowControl w:val="0"/>
        <w:jc w:val="both"/>
        <w:rPr>
          <w:sz w:val="20"/>
          <w:szCs w:val="20"/>
          <w:lang w:val="es-AR"/>
        </w:rPr>
      </w:pPr>
      <w:r w:rsidRPr="007213A1">
        <w:rPr>
          <w:i/>
          <w:iCs/>
          <w:sz w:val="20"/>
          <w:szCs w:val="20"/>
          <w:lang w:val="es-AR"/>
        </w:rPr>
        <w:t>Obligatoriedad de sus decisiones.</w:t>
      </w:r>
      <w:r w:rsidRPr="007213A1">
        <w:rPr>
          <w:sz w:val="20"/>
          <w:szCs w:val="20"/>
          <w:lang w:val="es-AR"/>
        </w:rPr>
        <w:t xml:space="preserve"> Las resoluciones de las Asambleas serán obligatorias y vinculantes para todos los tenedores de las Obligaciones Negociables de la Clase y/o Serie en cuestión, aún para los disidentes y ausentes.</w:t>
      </w:r>
    </w:p>
    <w:p w14:paraId="3F0E2237" w14:textId="77777777" w:rsidR="001F6362" w:rsidRPr="007213A1" w:rsidRDefault="001F6362" w:rsidP="001F6362">
      <w:pPr>
        <w:ind w:left="1200"/>
        <w:rPr>
          <w:sz w:val="20"/>
          <w:szCs w:val="20"/>
          <w:lang w:val="es-AR" w:eastAsia="es-ES"/>
        </w:rPr>
      </w:pPr>
    </w:p>
    <w:p w14:paraId="1C437259" w14:textId="77777777" w:rsidR="001F6362" w:rsidRPr="007213A1" w:rsidRDefault="001F6362" w:rsidP="001F6362">
      <w:pPr>
        <w:widowControl w:val="0"/>
        <w:jc w:val="both"/>
        <w:rPr>
          <w:i/>
          <w:iCs/>
          <w:sz w:val="20"/>
          <w:szCs w:val="20"/>
          <w:lang w:val="es-AR"/>
        </w:rPr>
      </w:pPr>
      <w:r w:rsidRPr="007213A1">
        <w:rPr>
          <w:i/>
          <w:iCs/>
          <w:sz w:val="20"/>
          <w:szCs w:val="20"/>
          <w:lang w:val="es-AR"/>
        </w:rPr>
        <w:t xml:space="preserve">Voto. </w:t>
      </w:r>
      <w:r w:rsidRPr="007213A1">
        <w:rPr>
          <w:sz w:val="20"/>
          <w:szCs w:val="20"/>
          <w:lang w:val="es-AR"/>
        </w:rPr>
        <w:t>Cada Obligación Negociable dará derecho a un voto.</w:t>
      </w:r>
    </w:p>
    <w:p w14:paraId="6286760E" w14:textId="77777777" w:rsidR="001F6362" w:rsidRPr="007213A1" w:rsidRDefault="001F6362" w:rsidP="001F6362">
      <w:pPr>
        <w:widowControl w:val="0"/>
        <w:jc w:val="both"/>
        <w:rPr>
          <w:iCs/>
          <w:sz w:val="20"/>
          <w:szCs w:val="20"/>
          <w:lang w:val="es-AR"/>
        </w:rPr>
      </w:pPr>
    </w:p>
    <w:p w14:paraId="5B6BD9FD" w14:textId="77777777" w:rsidR="001F6362" w:rsidRPr="007213A1" w:rsidRDefault="001F6362" w:rsidP="001F6362">
      <w:pPr>
        <w:widowControl w:val="0"/>
        <w:jc w:val="both"/>
        <w:rPr>
          <w:sz w:val="20"/>
          <w:szCs w:val="20"/>
          <w:lang w:val="es-AR"/>
        </w:rPr>
      </w:pPr>
      <w:r w:rsidRPr="007213A1">
        <w:rPr>
          <w:i/>
          <w:iCs/>
          <w:sz w:val="20"/>
          <w:szCs w:val="20"/>
          <w:lang w:val="es-AR"/>
        </w:rPr>
        <w:t>Convocatoria.</w:t>
      </w:r>
      <w:r w:rsidRPr="007213A1">
        <w:rPr>
          <w:sz w:val="20"/>
          <w:szCs w:val="20"/>
          <w:lang w:val="es-AR"/>
        </w:rPr>
        <w:t xml:space="preserve"> A menos que se prevea de algún otro modo en el Suplemento de Precio correspondiente o en un convenio de fideicomiso, las Asambleas serán convocadas por la Emisora en los casos previstos en este Prospecto o en cualquier momento en que lo juzgue necesario, o el fiduciario (cuando se encontrare facultado), o cuando lo requieran tenedores que representen, por lo menos, el 5% del valor nominal en circulación de las Obligaciones Negociables de dicha Clase y/o Serie. En este último supuesto, la petición de esos tenedores indicará los temas a tratar y la Emisora, o la autoridad de contralor competente, en su caso, convocará la Asamblea dentro de los 40 días corridos de la fecha en que reciba la solicitud respectiva. Las Asambleas serán convocadas con una antelación no inferior a los 10 días corridos ni superior a los 30 días corridos respecto de la fecha fijada para su celebración, mediante publicaciones durante 5 Días Hábiles en el Boletín Oficial de la República Argentina, en un diario de amplia circulación de la República Argentina y/o del lugar y en la forma que indique el Suplemento de Precio aplicable, en la Página Web de la CNV y en la Página Web de la Emisora, debiendo el aviso de convocatoria incluir fecha, hora y lugar de la Asamblea, orden del día, y los recaudos exigidos para la concurrencia de los tenedores. Las Asambleas podrán ser convocadas en primera y segunda convocatoria, pudiendo realizarse asimismo dichas convocatorias simultáneamente. En el supuesto de convocatorias simultáneas, si la Asamblea en segunda convocatoria fuera citada para celebrarse el mismo día deberá serlo con un intervalo no inferior a 1 hora de la fijada para la primera.</w:t>
      </w:r>
    </w:p>
    <w:p w14:paraId="5396B61F" w14:textId="77777777" w:rsidR="001F6362" w:rsidRPr="007213A1" w:rsidRDefault="001F6362" w:rsidP="001F6362">
      <w:pPr>
        <w:widowControl w:val="0"/>
        <w:jc w:val="both"/>
        <w:rPr>
          <w:sz w:val="20"/>
          <w:szCs w:val="20"/>
          <w:lang w:val="es-AR"/>
        </w:rPr>
      </w:pPr>
    </w:p>
    <w:p w14:paraId="57D59CBA" w14:textId="77777777" w:rsidR="001F6362" w:rsidRPr="007213A1" w:rsidRDefault="001F6362" w:rsidP="001F6362">
      <w:pPr>
        <w:widowControl w:val="0"/>
        <w:jc w:val="both"/>
        <w:rPr>
          <w:sz w:val="20"/>
          <w:szCs w:val="20"/>
          <w:lang w:val="es-AR"/>
        </w:rPr>
      </w:pPr>
      <w:r w:rsidRPr="007213A1">
        <w:rPr>
          <w:i/>
          <w:iCs/>
          <w:sz w:val="20"/>
          <w:szCs w:val="20"/>
          <w:lang w:val="es-AR"/>
        </w:rPr>
        <w:t>Asistencia.</w:t>
      </w:r>
      <w:r w:rsidRPr="007213A1">
        <w:rPr>
          <w:sz w:val="20"/>
          <w:szCs w:val="20"/>
          <w:lang w:val="es-AR"/>
        </w:rPr>
        <w:t xml:space="preserve"> Todo tenedor de Obligaciones Negociables de la Clase y/o Serie que corresponda podrá concurrir a la Asamblea en persona o por medio de representante. Los directores, los miembros de la comisión fiscalizadora, los gerentes y demás empleados de la Emisora no podrán ser mandatarios. Los tenedores que tengan la intención de asistir a las Asambleas deberán notificar a la Emisora o al fiduciario en su caso, tal intención con una antelación no menor a los 3 Días Hábiles respecto de la fecha fijada para la Asamblea de que se trate.</w:t>
      </w:r>
    </w:p>
    <w:p w14:paraId="38EA60C4" w14:textId="77777777" w:rsidR="001F6362" w:rsidRPr="007213A1" w:rsidRDefault="001F6362" w:rsidP="001F6362">
      <w:pPr>
        <w:widowControl w:val="0"/>
        <w:jc w:val="both"/>
        <w:rPr>
          <w:sz w:val="20"/>
          <w:szCs w:val="20"/>
          <w:lang w:val="es-AR"/>
        </w:rPr>
      </w:pPr>
    </w:p>
    <w:p w14:paraId="128F06D6" w14:textId="77777777" w:rsidR="001F6362" w:rsidRPr="007213A1" w:rsidRDefault="001F6362" w:rsidP="001F6362">
      <w:pPr>
        <w:widowControl w:val="0"/>
        <w:jc w:val="both"/>
        <w:rPr>
          <w:sz w:val="20"/>
          <w:szCs w:val="20"/>
          <w:lang w:val="es-AR"/>
        </w:rPr>
      </w:pPr>
      <w:r w:rsidRPr="007213A1">
        <w:rPr>
          <w:i/>
          <w:iCs/>
          <w:sz w:val="20"/>
          <w:szCs w:val="20"/>
          <w:lang w:val="es-AR"/>
        </w:rPr>
        <w:t>Asamblea Unánime. Prescindencia de la publicidad de la convocatoria.</w:t>
      </w:r>
      <w:r w:rsidRPr="007213A1">
        <w:rPr>
          <w:sz w:val="20"/>
          <w:szCs w:val="20"/>
          <w:lang w:val="es-AR"/>
        </w:rPr>
        <w:t xml:space="preserve"> Las Asambleas podrán celebrarse sin publicación de la convocatoria cuando se reúnan tenedores que representen la totalidad del valor nominal en circulación de las Obligaciones Negociables de la Clase y/o Serie en cuestión en ese momento en circulación, y las decisiones se adopten por unanimidad de tales tenedores.</w:t>
      </w:r>
    </w:p>
    <w:p w14:paraId="14060C19" w14:textId="77777777" w:rsidR="001F6362" w:rsidRPr="007213A1" w:rsidRDefault="001F6362" w:rsidP="001F6362">
      <w:pPr>
        <w:widowControl w:val="0"/>
        <w:jc w:val="both"/>
        <w:rPr>
          <w:sz w:val="20"/>
          <w:szCs w:val="20"/>
          <w:lang w:val="es-AR"/>
        </w:rPr>
      </w:pPr>
    </w:p>
    <w:p w14:paraId="470AD214" w14:textId="77777777" w:rsidR="001F6362" w:rsidRPr="007213A1" w:rsidRDefault="001F6362" w:rsidP="001F6362">
      <w:pPr>
        <w:widowControl w:val="0"/>
        <w:jc w:val="both"/>
        <w:rPr>
          <w:sz w:val="20"/>
          <w:szCs w:val="20"/>
          <w:lang w:val="es-AR"/>
        </w:rPr>
      </w:pPr>
      <w:r w:rsidRPr="007213A1">
        <w:rPr>
          <w:i/>
          <w:iCs/>
          <w:sz w:val="20"/>
          <w:szCs w:val="20"/>
          <w:lang w:val="es-AR"/>
        </w:rPr>
        <w:t>Cómputo.</w:t>
      </w:r>
      <w:r w:rsidRPr="007213A1">
        <w:rPr>
          <w:sz w:val="20"/>
          <w:szCs w:val="20"/>
          <w:lang w:val="es-AR"/>
        </w:rPr>
        <w:t xml:space="preserve"> En ningún caso serán computadas a los efectos del </w:t>
      </w:r>
      <w:r w:rsidRPr="007213A1">
        <w:rPr>
          <w:i/>
          <w:sz w:val="20"/>
          <w:szCs w:val="20"/>
          <w:lang w:val="es-AR"/>
        </w:rPr>
        <w:t>quórum</w:t>
      </w:r>
      <w:r w:rsidRPr="007213A1">
        <w:rPr>
          <w:sz w:val="20"/>
          <w:szCs w:val="20"/>
          <w:lang w:val="es-AR"/>
        </w:rPr>
        <w:t xml:space="preserve"> y de las mayorías, ni tendrán derecho a voto: (a) las Obligaciones Negociables que no se encuentren en circulación; y (b) las Obligaciones Negociables rescatadas o adquiridas por la Emisora (de conformidad con lo previsto en esta Sección IX bajo </w:t>
      </w:r>
      <w:r w:rsidRPr="007213A1">
        <w:rPr>
          <w:i/>
          <w:iCs/>
          <w:sz w:val="20"/>
          <w:szCs w:val="20"/>
          <w:lang w:val="es-AR"/>
        </w:rPr>
        <w:t>“Rescate Opcional por Razones Impositivas” o “Recompra”</w:t>
      </w:r>
      <w:r w:rsidRPr="007213A1">
        <w:rPr>
          <w:sz w:val="20"/>
          <w:szCs w:val="20"/>
          <w:lang w:val="es-AR"/>
        </w:rPr>
        <w:t>)</w:t>
      </w:r>
      <w:r w:rsidRPr="007213A1">
        <w:rPr>
          <w:i/>
          <w:iCs/>
          <w:sz w:val="20"/>
          <w:szCs w:val="20"/>
          <w:lang w:val="es-AR"/>
        </w:rPr>
        <w:t>,</w:t>
      </w:r>
      <w:r w:rsidRPr="007213A1">
        <w:rPr>
          <w:sz w:val="20"/>
          <w:szCs w:val="20"/>
          <w:lang w:val="es-AR"/>
        </w:rPr>
        <w:t xml:space="preserve"> mientras se mantengan en la cartera propia de la Emisora.</w:t>
      </w:r>
    </w:p>
    <w:p w14:paraId="052A2F8C" w14:textId="77777777" w:rsidR="001F6362" w:rsidRPr="007213A1" w:rsidRDefault="001F6362" w:rsidP="001F6362">
      <w:pPr>
        <w:widowControl w:val="0"/>
        <w:jc w:val="both"/>
        <w:rPr>
          <w:sz w:val="20"/>
          <w:szCs w:val="20"/>
          <w:lang w:val="es-AR"/>
        </w:rPr>
      </w:pPr>
    </w:p>
    <w:p w14:paraId="3E6EBF03" w14:textId="2344D213" w:rsidR="001F6362" w:rsidRPr="007213A1" w:rsidRDefault="001F6362" w:rsidP="001F6362">
      <w:pPr>
        <w:widowControl w:val="0"/>
        <w:jc w:val="both"/>
        <w:rPr>
          <w:sz w:val="20"/>
          <w:szCs w:val="20"/>
          <w:lang w:val="es-AR"/>
        </w:rPr>
      </w:pPr>
      <w:r w:rsidRPr="007213A1">
        <w:rPr>
          <w:i/>
          <w:iCs/>
          <w:sz w:val="20"/>
          <w:szCs w:val="20"/>
          <w:lang w:val="es-AR"/>
        </w:rPr>
        <w:t>Competencia, quórum y mayorías.</w:t>
      </w:r>
      <w:r w:rsidRPr="007213A1">
        <w:rPr>
          <w:sz w:val="20"/>
          <w:szCs w:val="20"/>
          <w:lang w:val="es-AR"/>
        </w:rPr>
        <w:t>:</w:t>
      </w:r>
    </w:p>
    <w:p w14:paraId="39A2B5ED" w14:textId="77777777" w:rsidR="001F6362" w:rsidRPr="007213A1" w:rsidRDefault="001F6362" w:rsidP="001F6362">
      <w:pPr>
        <w:widowControl w:val="0"/>
        <w:jc w:val="both"/>
        <w:rPr>
          <w:sz w:val="20"/>
          <w:szCs w:val="20"/>
          <w:lang w:val="es-AR"/>
        </w:rPr>
      </w:pPr>
    </w:p>
    <w:p w14:paraId="322A04CA" w14:textId="77777777" w:rsidR="001F6362" w:rsidRPr="007213A1" w:rsidRDefault="001F6362" w:rsidP="001F6362">
      <w:pPr>
        <w:widowControl w:val="0"/>
        <w:numPr>
          <w:ilvl w:val="0"/>
          <w:numId w:val="25"/>
        </w:numPr>
        <w:ind w:left="567" w:hanging="567"/>
        <w:jc w:val="both"/>
        <w:rPr>
          <w:sz w:val="20"/>
          <w:szCs w:val="20"/>
          <w:lang w:val="es-AR"/>
        </w:rPr>
      </w:pPr>
      <w:r w:rsidRPr="007213A1">
        <w:rPr>
          <w:sz w:val="20"/>
          <w:szCs w:val="20"/>
          <w:lang w:val="es-AR"/>
        </w:rPr>
        <w:t>Las Asambleas tendrán competencia para tratar y/o decidir sobre cualquier asunto relativo a la Clase y/o Serie de Obligaciones Negociables de que se trate y para que los tenedores de la Clase y/o Serie de Obligaciones Negociables en cuestión puedan efectuar, otorgar o tomar toda solicitud, requerimiento, autorización, consentimiento, dispensa (incluida la dispensa de un Supuesto de Incumplimiento), renuncia y/o cualquier otra acción que los términos de las Obligaciones Negociables de esa Clase y/o Serie dispongan que debe ser efectuado, otorgado o tomado por los tenedores de Obligaciones Negociables de dicha Clase y/o Serie.</w:t>
      </w:r>
    </w:p>
    <w:p w14:paraId="11067BFF" w14:textId="77777777" w:rsidR="001F6362" w:rsidRPr="007213A1" w:rsidRDefault="001F6362" w:rsidP="001F6362">
      <w:pPr>
        <w:widowControl w:val="0"/>
        <w:ind w:left="567" w:hanging="567"/>
        <w:jc w:val="both"/>
        <w:rPr>
          <w:sz w:val="20"/>
          <w:szCs w:val="20"/>
          <w:lang w:val="es-AR"/>
        </w:rPr>
      </w:pPr>
    </w:p>
    <w:p w14:paraId="53E484DB" w14:textId="55C7C8A8" w:rsidR="001F6362" w:rsidRDefault="001F6362" w:rsidP="00BA304B">
      <w:pPr>
        <w:widowControl w:val="0"/>
        <w:numPr>
          <w:ilvl w:val="0"/>
          <w:numId w:val="25"/>
        </w:numPr>
        <w:tabs>
          <w:tab w:val="clear" w:pos="2640"/>
        </w:tabs>
        <w:ind w:left="567" w:hanging="567"/>
        <w:jc w:val="both"/>
        <w:rPr>
          <w:sz w:val="20"/>
          <w:szCs w:val="20"/>
          <w:lang w:val="es-AR"/>
        </w:rPr>
      </w:pPr>
      <w:r w:rsidRPr="004D24B4">
        <w:rPr>
          <w:sz w:val="20"/>
          <w:szCs w:val="20"/>
          <w:lang w:val="es-AR"/>
        </w:rPr>
        <w:t xml:space="preserve">El </w:t>
      </w:r>
      <w:r w:rsidRPr="004D24B4">
        <w:rPr>
          <w:i/>
          <w:sz w:val="20"/>
          <w:szCs w:val="20"/>
          <w:lang w:val="es-AR"/>
        </w:rPr>
        <w:t>quórum</w:t>
      </w:r>
      <w:r w:rsidRPr="004D24B4">
        <w:rPr>
          <w:sz w:val="20"/>
          <w:szCs w:val="20"/>
          <w:lang w:val="es-AR"/>
        </w:rPr>
        <w:t xml:space="preserve"> </w:t>
      </w:r>
      <w:r w:rsidR="004D24B4" w:rsidRPr="004D24B4">
        <w:rPr>
          <w:sz w:val="20"/>
          <w:szCs w:val="20"/>
          <w:lang w:val="es-AR"/>
        </w:rPr>
        <w:t xml:space="preserve">para una asamblea ordinaria estará constituido </w:t>
      </w:r>
      <w:r w:rsidRPr="004D24B4">
        <w:rPr>
          <w:sz w:val="20"/>
          <w:szCs w:val="20"/>
          <w:lang w:val="es-AR"/>
        </w:rPr>
        <w:t>para la primera convocatoria por tenedores que representen, por lo menos, la mayoría del valor nominal en circulación de las Obligaciones Negociables de dicha Clase y/o Serie, y si no se llegase a completar dicho quórum, la Asamblea en segunda convocatoria quedará constituida con los tenedores de las Obligaciones Negociables de dicha Clase y/o Serie que se encontraren presentes, cualquiera sea su número y el porcentaje sobre el valor nominal en circulación que representen.</w:t>
      </w:r>
      <w:r w:rsidR="004D24B4" w:rsidRPr="004D24B4">
        <w:rPr>
          <w:sz w:val="20"/>
          <w:szCs w:val="20"/>
          <w:lang w:val="es-AR"/>
        </w:rPr>
        <w:t xml:space="preserve"> </w:t>
      </w:r>
      <w:r w:rsidRPr="007213A1">
        <w:rPr>
          <w:sz w:val="20"/>
          <w:szCs w:val="20"/>
          <w:lang w:val="es-AR"/>
        </w:rPr>
        <w:t>Tanto en primera como en segunda convocatoria, todas las decisiones</w:t>
      </w:r>
      <w:r w:rsidR="004D24B4">
        <w:rPr>
          <w:sz w:val="20"/>
          <w:szCs w:val="20"/>
          <w:lang w:val="es-AR"/>
        </w:rPr>
        <w:t xml:space="preserve"> que deben ser tomadas en el seno de una asamblea ordinaria</w:t>
      </w:r>
      <w:r w:rsidRPr="007213A1">
        <w:rPr>
          <w:sz w:val="20"/>
          <w:szCs w:val="20"/>
          <w:lang w:val="es-AR"/>
        </w:rPr>
        <w:t xml:space="preserve"> (incluyendo, sin limitación, aquellas relativas a la modificación de términos no esenciales de la emisión) se tomarán por la mayoría absoluta de los votos emitidos por los tenedores de las Obligaciones Negociables de la Clase y/o Serie en cuestión presentes con derecho a voto.</w:t>
      </w:r>
    </w:p>
    <w:p w14:paraId="620751A3" w14:textId="77777777" w:rsidR="004D24B4" w:rsidRPr="00AE6F90" w:rsidRDefault="004D24B4" w:rsidP="00BA304B">
      <w:pPr>
        <w:pStyle w:val="Prrafodelista"/>
        <w:rPr>
          <w:sz w:val="20"/>
        </w:rPr>
      </w:pPr>
    </w:p>
    <w:p w14:paraId="1EA6D092" w14:textId="1436BBD8" w:rsidR="00F25103" w:rsidRPr="00BA304B" w:rsidRDefault="004D24B4" w:rsidP="00BA304B">
      <w:pPr>
        <w:pStyle w:val="Prrafodelista"/>
        <w:numPr>
          <w:ilvl w:val="0"/>
          <w:numId w:val="25"/>
        </w:numPr>
        <w:tabs>
          <w:tab w:val="clear" w:pos="2640"/>
        </w:tabs>
        <w:ind w:left="567" w:hanging="567"/>
        <w:jc w:val="both"/>
        <w:rPr>
          <w:sz w:val="20"/>
          <w:lang w:val="es-MX"/>
        </w:rPr>
      </w:pPr>
      <w:r w:rsidRPr="00BC69AA">
        <w:rPr>
          <w:rFonts w:ascii="Times New Roman" w:hAnsi="Times New Roman"/>
          <w:sz w:val="20"/>
          <w:szCs w:val="20"/>
        </w:rPr>
        <w:t xml:space="preserve">El quórum para una asamblea extraordinaria estará constituido tanto en primera como en segunda convocatoria por tenedores que representen por lo menos el 60% del valor nominal </w:t>
      </w:r>
      <w:r w:rsidR="009503B7" w:rsidRPr="00BC69AA">
        <w:rPr>
          <w:rFonts w:ascii="Times New Roman" w:hAnsi="Times New Roman"/>
          <w:sz w:val="20"/>
          <w:szCs w:val="20"/>
        </w:rPr>
        <w:t xml:space="preserve">de capital </w:t>
      </w:r>
      <w:r w:rsidRPr="00BC69AA">
        <w:rPr>
          <w:rFonts w:ascii="Times New Roman" w:hAnsi="Times New Roman"/>
          <w:sz w:val="20"/>
          <w:szCs w:val="20"/>
        </w:rPr>
        <w:t>en circulación de las Obligaciones Negociables de la Clase y/o Serie de que se trate. Tanto en primera como en segunda convoca</w:t>
      </w:r>
      <w:r w:rsidR="009503B7" w:rsidRPr="00BC69AA">
        <w:rPr>
          <w:rFonts w:ascii="Times New Roman" w:hAnsi="Times New Roman"/>
          <w:sz w:val="20"/>
          <w:szCs w:val="20"/>
        </w:rPr>
        <w:t xml:space="preserve">toria </w:t>
      </w:r>
      <w:r w:rsidRPr="00BC69AA">
        <w:rPr>
          <w:rFonts w:ascii="Times New Roman" w:hAnsi="Times New Roman"/>
          <w:sz w:val="20"/>
          <w:szCs w:val="20"/>
        </w:rPr>
        <w:t xml:space="preserve">las decisiones </w:t>
      </w:r>
      <w:r w:rsidR="009503B7" w:rsidRPr="00BC69AA">
        <w:rPr>
          <w:rFonts w:ascii="Times New Roman" w:hAnsi="Times New Roman"/>
          <w:sz w:val="20"/>
          <w:szCs w:val="20"/>
        </w:rPr>
        <w:t>que deben ser tomadas en el seno de una asamblea extraordinaria (incluyendo, sin limitación, los Supuestos Especiales)</w:t>
      </w:r>
      <w:r w:rsidRPr="00BC69AA">
        <w:rPr>
          <w:rFonts w:ascii="Times New Roman" w:hAnsi="Times New Roman"/>
          <w:sz w:val="20"/>
          <w:szCs w:val="20"/>
        </w:rPr>
        <w:t xml:space="preserve"> se tomarán por la mayoría absoluta de los votos emitidos por los tenedores de las Obligaciones Negociables de la Clase y/o Serie en cuestión presentes con derecho</w:t>
      </w:r>
      <w:r w:rsidR="009503B7" w:rsidRPr="00BC69AA">
        <w:rPr>
          <w:rFonts w:ascii="Times New Roman" w:hAnsi="Times New Roman"/>
          <w:sz w:val="20"/>
          <w:szCs w:val="20"/>
        </w:rPr>
        <w:t xml:space="preserve"> a voto, siempre que no se especificare de otro modo en el Suplemento de precio aplicable. Constituirán Supuestos Especiales </w:t>
      </w:r>
      <w:r w:rsidR="009503B7" w:rsidRPr="00BC69AA">
        <w:rPr>
          <w:rFonts w:ascii="Times New Roman" w:hAnsi="Times New Roman"/>
          <w:sz w:val="20"/>
          <w:szCs w:val="20"/>
          <w:lang w:val="es-MX"/>
        </w:rPr>
        <w:t>l</w:t>
      </w:r>
      <w:r w:rsidR="00F25103" w:rsidRPr="00BC69AA">
        <w:rPr>
          <w:rFonts w:ascii="Times New Roman" w:hAnsi="Times New Roman"/>
          <w:sz w:val="20"/>
          <w:szCs w:val="20"/>
          <w:lang w:val="es-MX"/>
        </w:rPr>
        <w:t>a</w:t>
      </w:r>
      <w:r w:rsidR="00F25103" w:rsidRPr="00BA304B">
        <w:rPr>
          <w:rFonts w:ascii="Times New Roman" w:hAnsi="Times New Roman"/>
          <w:sz w:val="20"/>
          <w:lang w:val="es-MX"/>
        </w:rPr>
        <w:t xml:space="preserve"> modificación de los términos y condiciones esenciales de la emisión, incluyendo sin carácter limitativo: (i) cambio de las fechas de pago de capital, intereses, Montos Adicionales y/o cualquier otro monto adeudado bajo las Obligaciones Negociables de una Clase y/o Serie en particular; (ii) reducción del monto de capital, de la tasa de interés y/o de cualquier otro monto pagadero bajo las Obligaciones Negociables de dicha Clase y/o Serie en particular; (iii) cambio de la moneda de pago de capital, intereses, Montos Adicionales y/o cualquier otro monto bajo las Obligaciones Negociables de dicha Clase y/o Serie, siempre y cuando dicho cambio no sea consecuencia de normas legales y/o regulatorias que la Emisora se encuentre obligada a cumplir, y tales normas hayan entrado en vigencia con posterioridad a la Fecha de Emisión de la Clase y/o Serie de Obligaciones Negociables en cuestión; y/o (iv) reducción de los requisitos de quórum y de mayorías previstos en este Prospecto y/o en el Suplemento de Precio aplicable</w:t>
      </w:r>
      <w:r w:rsidR="009503B7" w:rsidRPr="004C2CEC">
        <w:rPr>
          <w:rFonts w:ascii="Times New Roman" w:hAnsi="Times New Roman"/>
          <w:sz w:val="20"/>
          <w:szCs w:val="20"/>
          <w:lang w:val="es-MX"/>
        </w:rPr>
        <w:t xml:space="preserve">. </w:t>
      </w:r>
    </w:p>
    <w:p w14:paraId="009C4603" w14:textId="77777777" w:rsidR="00F25103" w:rsidRPr="00A61C89" w:rsidRDefault="00F25103" w:rsidP="00F25103">
      <w:pPr>
        <w:jc w:val="both"/>
        <w:rPr>
          <w:sz w:val="20"/>
          <w:szCs w:val="20"/>
          <w:lang w:val="es-AR"/>
        </w:rPr>
      </w:pPr>
    </w:p>
    <w:p w14:paraId="61A94337" w14:textId="7ECA617E" w:rsidR="001F6362" w:rsidRPr="007213A1" w:rsidRDefault="001F6362" w:rsidP="001F6362">
      <w:pPr>
        <w:widowControl w:val="0"/>
        <w:jc w:val="both"/>
        <w:rPr>
          <w:sz w:val="20"/>
          <w:szCs w:val="20"/>
          <w:lang w:val="es-AR"/>
        </w:rPr>
      </w:pPr>
      <w:r w:rsidRPr="007213A1">
        <w:rPr>
          <w:sz w:val="20"/>
          <w:szCs w:val="20"/>
          <w:lang w:val="es-AR"/>
        </w:rPr>
        <w:t>La Emisora podrá, sin necesidad del consentimiento de algún tenedor de Obligaciones Negociables, modificar y reformar las Obligaciones Negociables y/o el convenio de fideicomiso (en su caso), para cualquiera de los siguientes fines:</w:t>
      </w:r>
    </w:p>
    <w:p w14:paraId="35846FA5" w14:textId="77777777" w:rsidR="001F6362" w:rsidRPr="007213A1" w:rsidRDefault="001F6362" w:rsidP="001F6362">
      <w:pPr>
        <w:widowControl w:val="0"/>
        <w:jc w:val="both"/>
        <w:rPr>
          <w:sz w:val="20"/>
          <w:szCs w:val="20"/>
          <w:lang w:val="es-AR"/>
        </w:rPr>
      </w:pPr>
    </w:p>
    <w:p w14:paraId="34BBDE8A" w14:textId="77777777" w:rsidR="001F6362" w:rsidRPr="007213A1" w:rsidRDefault="001F6362" w:rsidP="001F6362">
      <w:pPr>
        <w:widowControl w:val="0"/>
        <w:numPr>
          <w:ilvl w:val="0"/>
          <w:numId w:val="27"/>
        </w:numPr>
        <w:ind w:left="567" w:hanging="567"/>
        <w:jc w:val="both"/>
        <w:rPr>
          <w:sz w:val="20"/>
          <w:szCs w:val="20"/>
          <w:lang w:val="es-AR"/>
        </w:rPr>
      </w:pPr>
      <w:r w:rsidRPr="007213A1">
        <w:rPr>
          <w:sz w:val="20"/>
          <w:szCs w:val="20"/>
          <w:lang w:val="es-AR"/>
        </w:rPr>
        <w:t>agregar compromisos u obligaciones en beneficio de los tenedores de todas o algunas de las Clases y/o Series de Obligaciones Negociables;</w:t>
      </w:r>
    </w:p>
    <w:p w14:paraId="2655268E" w14:textId="77777777" w:rsidR="001F6362" w:rsidRPr="007213A1" w:rsidRDefault="001F6362" w:rsidP="001F6362">
      <w:pPr>
        <w:widowControl w:val="0"/>
        <w:ind w:left="567" w:hanging="567"/>
        <w:jc w:val="both"/>
        <w:rPr>
          <w:sz w:val="20"/>
          <w:szCs w:val="20"/>
          <w:lang w:val="es-AR"/>
        </w:rPr>
      </w:pPr>
    </w:p>
    <w:p w14:paraId="2BB4E7EF" w14:textId="77777777" w:rsidR="001F6362" w:rsidRPr="007213A1" w:rsidRDefault="001F6362" w:rsidP="001F6362">
      <w:pPr>
        <w:widowControl w:val="0"/>
        <w:numPr>
          <w:ilvl w:val="0"/>
          <w:numId w:val="27"/>
        </w:numPr>
        <w:ind w:left="567" w:hanging="567"/>
        <w:jc w:val="both"/>
        <w:rPr>
          <w:sz w:val="20"/>
          <w:szCs w:val="20"/>
          <w:lang w:val="es-AR"/>
        </w:rPr>
      </w:pPr>
      <w:r w:rsidRPr="007213A1">
        <w:rPr>
          <w:sz w:val="20"/>
          <w:szCs w:val="20"/>
          <w:lang w:val="es-AR"/>
        </w:rPr>
        <w:t>agregar Supuestos de Incumplimiento en beneficio de los tenedores de todas o algunas de las Clases y/o Series de Obligaciones Negociables;</w:t>
      </w:r>
    </w:p>
    <w:p w14:paraId="56328733" w14:textId="77777777" w:rsidR="001F6362" w:rsidRPr="007213A1" w:rsidRDefault="001F6362" w:rsidP="001F6362">
      <w:pPr>
        <w:widowControl w:val="0"/>
        <w:ind w:left="567" w:hanging="567"/>
        <w:jc w:val="both"/>
        <w:rPr>
          <w:sz w:val="20"/>
          <w:szCs w:val="20"/>
          <w:lang w:val="es-AR"/>
        </w:rPr>
      </w:pPr>
    </w:p>
    <w:p w14:paraId="6B79A563" w14:textId="77777777" w:rsidR="001F6362" w:rsidRPr="007213A1" w:rsidRDefault="001F6362" w:rsidP="001F6362">
      <w:pPr>
        <w:widowControl w:val="0"/>
        <w:numPr>
          <w:ilvl w:val="0"/>
          <w:numId w:val="27"/>
        </w:numPr>
        <w:ind w:left="567" w:hanging="567"/>
        <w:jc w:val="both"/>
        <w:rPr>
          <w:sz w:val="20"/>
          <w:szCs w:val="20"/>
          <w:lang w:val="es-AR"/>
        </w:rPr>
      </w:pPr>
      <w:r w:rsidRPr="007213A1">
        <w:rPr>
          <w:sz w:val="20"/>
          <w:szCs w:val="20"/>
          <w:lang w:val="es-AR"/>
        </w:rPr>
        <w:t>designar un sucesor del agente de registro, co-agente de registro, agente de pago o co-agente de pago;</w:t>
      </w:r>
    </w:p>
    <w:p w14:paraId="34CABC74" w14:textId="77777777" w:rsidR="001F6362" w:rsidRPr="007213A1" w:rsidRDefault="001F6362" w:rsidP="001F6362">
      <w:pPr>
        <w:widowControl w:val="0"/>
        <w:ind w:left="567" w:hanging="567"/>
        <w:jc w:val="both"/>
        <w:rPr>
          <w:sz w:val="20"/>
          <w:szCs w:val="20"/>
          <w:lang w:val="es-AR"/>
        </w:rPr>
      </w:pPr>
    </w:p>
    <w:p w14:paraId="60AC80C9" w14:textId="77777777" w:rsidR="001F6362" w:rsidRPr="007213A1" w:rsidRDefault="001F6362" w:rsidP="001F6362">
      <w:pPr>
        <w:widowControl w:val="0"/>
        <w:numPr>
          <w:ilvl w:val="0"/>
          <w:numId w:val="27"/>
        </w:numPr>
        <w:ind w:left="567" w:hanging="567"/>
        <w:jc w:val="both"/>
        <w:rPr>
          <w:sz w:val="20"/>
          <w:szCs w:val="20"/>
          <w:lang w:val="es-AR"/>
        </w:rPr>
      </w:pPr>
      <w:r w:rsidRPr="007213A1">
        <w:rPr>
          <w:sz w:val="20"/>
          <w:szCs w:val="20"/>
          <w:lang w:val="es-AR"/>
        </w:rPr>
        <w:t>garantizar Obligaciones Negociables de cualquier Clase y/o Serie; y/o</w:t>
      </w:r>
    </w:p>
    <w:p w14:paraId="54D58645" w14:textId="77777777" w:rsidR="001F6362" w:rsidRPr="007213A1" w:rsidRDefault="001F6362" w:rsidP="001F6362">
      <w:pPr>
        <w:widowControl w:val="0"/>
        <w:ind w:left="567" w:hanging="567"/>
        <w:jc w:val="both"/>
        <w:rPr>
          <w:sz w:val="20"/>
          <w:szCs w:val="20"/>
          <w:lang w:val="es-AR"/>
        </w:rPr>
      </w:pPr>
    </w:p>
    <w:p w14:paraId="1E8CEA72" w14:textId="77777777" w:rsidR="001F6362" w:rsidRPr="007213A1" w:rsidRDefault="001F6362" w:rsidP="001F6362">
      <w:pPr>
        <w:widowControl w:val="0"/>
        <w:numPr>
          <w:ilvl w:val="0"/>
          <w:numId w:val="27"/>
        </w:numPr>
        <w:ind w:left="567" w:hanging="567"/>
        <w:jc w:val="both"/>
        <w:rPr>
          <w:sz w:val="20"/>
          <w:szCs w:val="20"/>
          <w:lang w:val="es-AR"/>
        </w:rPr>
      </w:pPr>
      <w:r w:rsidRPr="007213A1">
        <w:rPr>
          <w:sz w:val="20"/>
          <w:szCs w:val="20"/>
          <w:lang w:val="es-AR"/>
        </w:rPr>
        <w:t>subsanar cualquier ambigüedad, defecto o inconsistencia en el Programa y/o en cualquier Clase y/o Serie.</w:t>
      </w:r>
    </w:p>
    <w:p w14:paraId="1F0AE80A" w14:textId="77777777" w:rsidR="001F6362" w:rsidRPr="007213A1" w:rsidRDefault="001F6362" w:rsidP="001F6362">
      <w:pPr>
        <w:jc w:val="both"/>
        <w:rPr>
          <w:sz w:val="20"/>
          <w:szCs w:val="20"/>
          <w:lang w:val="es-AR"/>
        </w:rPr>
      </w:pPr>
    </w:p>
    <w:p w14:paraId="00748C32" w14:textId="366F865D" w:rsidR="001F6362" w:rsidRDefault="001F6362" w:rsidP="001F6362">
      <w:pPr>
        <w:jc w:val="both"/>
        <w:rPr>
          <w:sz w:val="20"/>
          <w:szCs w:val="20"/>
          <w:lang w:val="es-AR"/>
        </w:rPr>
      </w:pPr>
      <w:r w:rsidRPr="007213A1">
        <w:rPr>
          <w:sz w:val="20"/>
          <w:szCs w:val="20"/>
          <w:lang w:val="es-AR"/>
        </w:rPr>
        <w:t>La Emisora deberá dar aviso a los obligacionistas de su decisión de modificar y reformar las Obligaciones Negociables y/o el convenio de fideicomiso (en su caso) para cualquiera de los fines precedentes, mediante la publicación de avisos en los medios indicados bajo el título “</w:t>
      </w:r>
      <w:r w:rsidRPr="007213A1">
        <w:rPr>
          <w:i/>
          <w:sz w:val="20"/>
          <w:szCs w:val="20"/>
          <w:lang w:val="es-AR"/>
        </w:rPr>
        <w:t>Notificaciones a los Tenedores de las Obligaciones Negociables</w:t>
      </w:r>
      <w:r w:rsidRPr="007213A1">
        <w:rPr>
          <w:sz w:val="20"/>
          <w:szCs w:val="20"/>
          <w:lang w:val="es-AR"/>
        </w:rPr>
        <w:t>” de la presente Sección</w:t>
      </w:r>
    </w:p>
    <w:p w14:paraId="7CE44DE7" w14:textId="29722959" w:rsidR="00D5180A" w:rsidRDefault="00D5180A" w:rsidP="001F6362">
      <w:pPr>
        <w:jc w:val="both"/>
        <w:rPr>
          <w:sz w:val="20"/>
          <w:szCs w:val="20"/>
          <w:lang w:val="es-AR"/>
        </w:rPr>
      </w:pPr>
    </w:p>
    <w:p w14:paraId="6E036C3B" w14:textId="5B714584" w:rsidR="008F2CB6" w:rsidRPr="00BA304B" w:rsidRDefault="008F2CB6" w:rsidP="008F2CB6">
      <w:pPr>
        <w:jc w:val="both"/>
        <w:rPr>
          <w:i/>
          <w:sz w:val="20"/>
          <w:lang w:val="es-MX"/>
        </w:rPr>
      </w:pPr>
      <w:r w:rsidRPr="00BA304B">
        <w:rPr>
          <w:i/>
          <w:sz w:val="20"/>
          <w:lang w:val="es-MX"/>
        </w:rPr>
        <w:t>Prescindencia de Asambleas presenciales</w:t>
      </w:r>
    </w:p>
    <w:p w14:paraId="145C17FC" w14:textId="77777777" w:rsidR="008F2CB6" w:rsidRPr="001622AF" w:rsidRDefault="008F2CB6" w:rsidP="008F2CB6">
      <w:pPr>
        <w:jc w:val="both"/>
        <w:rPr>
          <w:i/>
          <w:iCs/>
          <w:sz w:val="20"/>
          <w:szCs w:val="20"/>
          <w:u w:val="single"/>
          <w:lang w:val="es-MX"/>
        </w:rPr>
      </w:pPr>
    </w:p>
    <w:p w14:paraId="2C10DE76" w14:textId="77777777" w:rsidR="008F2CB6" w:rsidRPr="001622AF" w:rsidRDefault="008F2CB6" w:rsidP="008F2CB6">
      <w:pPr>
        <w:jc w:val="both"/>
        <w:rPr>
          <w:i/>
          <w:iCs/>
          <w:sz w:val="20"/>
          <w:szCs w:val="20"/>
          <w:lang w:val="es-MX"/>
        </w:rPr>
      </w:pPr>
      <w:r w:rsidRPr="001622AF">
        <w:rPr>
          <w:color w:val="000000"/>
          <w:sz w:val="20"/>
          <w:szCs w:val="20"/>
          <w:lang w:val="es-MX"/>
        </w:rPr>
        <w:t>De conformidad con lo establecido por e</w:t>
      </w:r>
      <w:r w:rsidRPr="001622AF">
        <w:rPr>
          <w:sz w:val="20"/>
          <w:szCs w:val="20"/>
          <w:lang w:val="es-MX"/>
        </w:rPr>
        <w:t>l artículo 14 de la LON, podrá prescindirse de celebrar una Asamblea de tenedores de Obligaciones Negociables, a exclusivo criterio de la Emisora, si para adoptar cualquier resolución que fuera de competencia de dicha asamblea, la Emisora obtuviere el consentimiento de los tenedores de Obligaciones Negociables de las mayorías que correspondan según la decisión a adoptar por medio fehaciente. A tal fin se deberá seguir el siguiente procedimiento:</w:t>
      </w:r>
    </w:p>
    <w:p w14:paraId="1E332C63" w14:textId="77777777" w:rsidR="008F2CB6" w:rsidRPr="001622AF" w:rsidRDefault="008F2CB6" w:rsidP="008F2CB6">
      <w:pPr>
        <w:jc w:val="both"/>
        <w:rPr>
          <w:sz w:val="20"/>
          <w:szCs w:val="20"/>
          <w:lang w:val="es-MX"/>
        </w:rPr>
      </w:pPr>
    </w:p>
    <w:p w14:paraId="2C3A8B70" w14:textId="1CFF0F18" w:rsidR="008F2CB6" w:rsidRPr="001622AF" w:rsidRDefault="008F2CB6" w:rsidP="001622AF">
      <w:pPr>
        <w:pStyle w:val="Prrafodelista"/>
        <w:numPr>
          <w:ilvl w:val="0"/>
          <w:numId w:val="48"/>
        </w:numPr>
        <w:jc w:val="both"/>
        <w:rPr>
          <w:rFonts w:ascii="Times New Roman" w:hAnsi="Times New Roman"/>
          <w:sz w:val="20"/>
          <w:szCs w:val="20"/>
          <w:lang w:val="es-MX"/>
        </w:rPr>
      </w:pPr>
      <w:r w:rsidRPr="001622AF">
        <w:rPr>
          <w:rFonts w:ascii="Times New Roman" w:hAnsi="Times New Roman"/>
          <w:sz w:val="20"/>
          <w:szCs w:val="20"/>
          <w:lang w:val="es-MX"/>
        </w:rPr>
        <w:t>La Emisora remitirá a cada tenedor registrado por medio fehaciente, escrito dirigido al domicilio registrado ante Caja de Valores, o cualquiera otro denunciado a la Emisora, una nota (la “</w:t>
      </w:r>
      <w:r w:rsidRPr="001622AF">
        <w:rPr>
          <w:rFonts w:ascii="Times New Roman" w:hAnsi="Times New Roman"/>
          <w:sz w:val="20"/>
          <w:szCs w:val="20"/>
          <w:u w:val="single"/>
          <w:lang w:val="es-MX"/>
        </w:rPr>
        <w:t>Solicitud de Consentimiento</w:t>
      </w:r>
      <w:r w:rsidRPr="001622AF">
        <w:rPr>
          <w:rFonts w:ascii="Times New Roman" w:hAnsi="Times New Roman"/>
          <w:sz w:val="20"/>
          <w:szCs w:val="20"/>
          <w:lang w:val="es-MX"/>
        </w:rPr>
        <w:t>”) que deberá incluir (i) una descripción pormenorizada de las circunstancias del caso, (ii) en su caso, su evaluación y el modo en que dicha circunstancias afectarían a la Sociedad</w:t>
      </w:r>
      <w:r w:rsidRPr="001622AF">
        <w:rPr>
          <w:rFonts w:ascii="Times New Roman" w:hAnsi="Times New Roman"/>
          <w:color w:val="000000"/>
          <w:sz w:val="20"/>
          <w:szCs w:val="20"/>
          <w:lang w:val="es-MX"/>
        </w:rPr>
        <w:t xml:space="preserve"> o a las Obligaciones Negociables, según sea el caso</w:t>
      </w:r>
      <w:r w:rsidRPr="001622AF">
        <w:rPr>
          <w:rFonts w:ascii="Times New Roman" w:hAnsi="Times New Roman"/>
          <w:sz w:val="20"/>
          <w:szCs w:val="20"/>
          <w:lang w:val="es-MX"/>
        </w:rPr>
        <w:t>, (iii) los recaudos indicados en el punto 2) siguiente a efectos de manifestar su voluntad, y (</w:t>
      </w:r>
      <w:r w:rsidRPr="001622AF">
        <w:rPr>
          <w:rFonts w:ascii="Times New Roman" w:hAnsi="Times New Roman"/>
          <w:color w:val="000000"/>
          <w:sz w:val="20"/>
          <w:szCs w:val="20"/>
          <w:lang w:val="es-MX"/>
        </w:rPr>
        <w:t>i</w:t>
      </w:r>
      <w:r w:rsidRPr="001622AF">
        <w:rPr>
          <w:rFonts w:ascii="Times New Roman" w:hAnsi="Times New Roman"/>
          <w:sz w:val="20"/>
          <w:szCs w:val="20"/>
          <w:lang w:val="es-MX"/>
        </w:rPr>
        <w:t xml:space="preserve">v) la advertencia que el silencio, transcurridos 5 Días Hábiles de la recepción de la </w:t>
      </w:r>
      <w:r w:rsidRPr="001622AF">
        <w:rPr>
          <w:rFonts w:ascii="Times New Roman" w:hAnsi="Times New Roman"/>
          <w:color w:val="000000"/>
          <w:sz w:val="20"/>
          <w:szCs w:val="20"/>
          <w:lang w:val="es-MX"/>
        </w:rPr>
        <w:t>Solicitud de Consentimiento</w:t>
      </w:r>
      <w:r w:rsidRPr="001622AF">
        <w:rPr>
          <w:rFonts w:ascii="Times New Roman" w:hAnsi="Times New Roman"/>
          <w:sz w:val="20"/>
          <w:szCs w:val="20"/>
          <w:lang w:val="es-MX"/>
        </w:rPr>
        <w:t xml:space="preserve"> (o el plazo mayor que indique la Emisora), importará </w:t>
      </w:r>
      <w:r w:rsidRPr="001622AF">
        <w:rPr>
          <w:rFonts w:ascii="Times New Roman" w:hAnsi="Times New Roman"/>
          <w:color w:val="000000"/>
          <w:sz w:val="20"/>
          <w:szCs w:val="20"/>
          <w:lang w:val="es-MX"/>
        </w:rPr>
        <w:t>una negativa a</w:t>
      </w:r>
      <w:r w:rsidRPr="001622AF">
        <w:rPr>
          <w:rFonts w:ascii="Times New Roman" w:hAnsi="Times New Roman"/>
          <w:sz w:val="20"/>
          <w:szCs w:val="20"/>
          <w:lang w:val="es-MX"/>
        </w:rPr>
        <w:t xml:space="preserve"> la </w:t>
      </w:r>
      <w:r w:rsidRPr="001622AF">
        <w:rPr>
          <w:rFonts w:ascii="Times New Roman" w:hAnsi="Times New Roman"/>
          <w:color w:val="000000"/>
          <w:sz w:val="20"/>
          <w:szCs w:val="20"/>
          <w:lang w:val="es-MX"/>
        </w:rPr>
        <w:t>Solicitud de Consentimiento</w:t>
      </w:r>
      <w:r w:rsidRPr="001622AF">
        <w:rPr>
          <w:rFonts w:ascii="Times New Roman" w:hAnsi="Times New Roman"/>
          <w:sz w:val="20"/>
          <w:szCs w:val="20"/>
          <w:lang w:val="es-MX"/>
        </w:rPr>
        <w:t xml:space="preserve">. </w:t>
      </w:r>
    </w:p>
    <w:p w14:paraId="5D040760" w14:textId="77777777" w:rsidR="008F2CB6" w:rsidRPr="001622AF" w:rsidRDefault="008F2CB6" w:rsidP="008F2CB6">
      <w:pPr>
        <w:jc w:val="both"/>
        <w:rPr>
          <w:rFonts w:eastAsiaTheme="minorHAnsi"/>
          <w:color w:val="000000"/>
          <w:sz w:val="22"/>
          <w:szCs w:val="22"/>
          <w:lang w:val="es-MX"/>
        </w:rPr>
      </w:pPr>
    </w:p>
    <w:p w14:paraId="7E9BD6D9" w14:textId="72993245" w:rsidR="008F2CB6" w:rsidRPr="001622AF" w:rsidRDefault="008F2CB6" w:rsidP="001622AF">
      <w:pPr>
        <w:pStyle w:val="Prrafodelista"/>
        <w:numPr>
          <w:ilvl w:val="0"/>
          <w:numId w:val="48"/>
        </w:numPr>
        <w:jc w:val="both"/>
        <w:rPr>
          <w:sz w:val="20"/>
          <w:szCs w:val="20"/>
          <w:lang w:val="es-MX"/>
        </w:rPr>
      </w:pPr>
      <w:r w:rsidRPr="001622AF">
        <w:rPr>
          <w:rFonts w:ascii="Times New Roman" w:hAnsi="Times New Roman"/>
          <w:sz w:val="20"/>
          <w:szCs w:val="20"/>
          <w:lang w:val="es-MX"/>
        </w:rPr>
        <w:t>Los tenedores de Obligaciones Negociables deberán contestar por nota o según el método fehaciente que señale la Emisora, dentro de los 5 Días Hábiles de recibida la nota de la Emisora, o dentro del plazo mayor que la Emisora indique. La Compañía deberá verificar que exista consentimiento de la mayoría requerida, según la decisión a adoptar</w:t>
      </w:r>
      <w:r w:rsidRPr="001622AF">
        <w:rPr>
          <w:rFonts w:ascii="Times New Roman" w:hAnsi="Times New Roman"/>
          <w:color w:val="000000"/>
          <w:sz w:val="20"/>
          <w:szCs w:val="20"/>
          <w:lang w:val="es-MX"/>
        </w:rPr>
        <w:t xml:space="preserve"> conforme se indique en el presente Prospecto o en el Suplemento de Precio</w:t>
      </w:r>
      <w:r w:rsidRPr="001622AF">
        <w:rPr>
          <w:rFonts w:ascii="Times New Roman" w:hAnsi="Times New Roman"/>
          <w:sz w:val="20"/>
          <w:szCs w:val="20"/>
          <w:lang w:val="es-MX"/>
        </w:rPr>
        <w:t xml:space="preserve">, de </w:t>
      </w:r>
      <w:r w:rsidRPr="001622AF">
        <w:rPr>
          <w:rFonts w:ascii="Times New Roman" w:hAnsi="Times New Roman"/>
          <w:color w:val="000000"/>
          <w:sz w:val="20"/>
          <w:szCs w:val="20"/>
          <w:lang w:val="es-MX"/>
        </w:rPr>
        <w:t xml:space="preserve">los </w:t>
      </w:r>
      <w:r w:rsidRPr="001622AF">
        <w:rPr>
          <w:rFonts w:ascii="Times New Roman" w:hAnsi="Times New Roman"/>
          <w:sz w:val="20"/>
          <w:szCs w:val="20"/>
          <w:lang w:val="es-MX"/>
        </w:rPr>
        <w:t>tenedores registrados de Obligaciones Negociables a la fecha de vencimiento del plazo correspondiente, conforme a los registros de Caja de Valores.</w:t>
      </w:r>
    </w:p>
    <w:p w14:paraId="1233155C" w14:textId="77777777" w:rsidR="001F6362" w:rsidRPr="007213A1" w:rsidRDefault="001F6362" w:rsidP="001F6362">
      <w:pPr>
        <w:jc w:val="both"/>
        <w:rPr>
          <w:sz w:val="20"/>
          <w:szCs w:val="20"/>
          <w:lang w:val="es-AR"/>
        </w:rPr>
      </w:pPr>
    </w:p>
    <w:p w14:paraId="4CC730EE"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Ejecución por parte de los Tenedores de las Obligaciones Negociables - Acción Ejecutiva</w:t>
      </w:r>
    </w:p>
    <w:p w14:paraId="10ACFCE2" w14:textId="77777777" w:rsidR="001F6362" w:rsidRPr="007213A1" w:rsidRDefault="001F6362" w:rsidP="001F6362">
      <w:pPr>
        <w:widowControl w:val="0"/>
        <w:jc w:val="both"/>
        <w:rPr>
          <w:bCs/>
          <w:sz w:val="20"/>
          <w:szCs w:val="20"/>
          <w:lang w:val="es-AR"/>
        </w:rPr>
      </w:pPr>
    </w:p>
    <w:p w14:paraId="576E20CC" w14:textId="77777777" w:rsidR="001F6362" w:rsidRPr="007213A1" w:rsidRDefault="001F6362" w:rsidP="001F6362">
      <w:pPr>
        <w:widowControl w:val="0"/>
        <w:jc w:val="both"/>
        <w:rPr>
          <w:sz w:val="20"/>
          <w:szCs w:val="20"/>
          <w:lang w:val="es-AR"/>
        </w:rPr>
      </w:pPr>
      <w:r w:rsidRPr="007213A1">
        <w:rPr>
          <w:sz w:val="20"/>
          <w:szCs w:val="20"/>
          <w:lang w:val="es-AR"/>
        </w:rPr>
        <w:t>Sin perjuicio de los términos particulares que se dispongan en el Suplemento de Precio aplicable o en un convenio de fideicomiso, las Obligaciones Negociables serán emitidas de acuerdo con la Ley de Obligaciones Negociables y serán “obligaciones negociables” conforme con las disposiciones de dicha ley, gozando de los derechos allí establecidos.</w:t>
      </w:r>
    </w:p>
    <w:p w14:paraId="36ED22E1" w14:textId="77777777" w:rsidR="001F6362" w:rsidRPr="007213A1" w:rsidRDefault="001F6362" w:rsidP="001F6362">
      <w:pPr>
        <w:widowControl w:val="0"/>
        <w:jc w:val="both"/>
        <w:rPr>
          <w:sz w:val="20"/>
          <w:szCs w:val="20"/>
          <w:lang w:val="es-AR"/>
        </w:rPr>
      </w:pPr>
    </w:p>
    <w:p w14:paraId="425FD360" w14:textId="77777777" w:rsidR="001F6362" w:rsidRPr="007213A1" w:rsidRDefault="001F6362" w:rsidP="001F6362">
      <w:pPr>
        <w:widowControl w:val="0"/>
        <w:jc w:val="both"/>
        <w:rPr>
          <w:sz w:val="20"/>
          <w:szCs w:val="20"/>
          <w:lang w:val="es-AR"/>
        </w:rPr>
      </w:pPr>
      <w:r w:rsidRPr="007213A1">
        <w:rPr>
          <w:sz w:val="20"/>
          <w:szCs w:val="20"/>
          <w:lang w:val="es-AR"/>
        </w:rPr>
        <w:t>En este sentido, el artículo 29 de la Ley de Obligaciones Negociables prevé que “los títulos representativos de las obligaciones otorgan acción ejecutiva a sus tenedores para reclamar el capital, actualizaciones e intereses y para ejecutar las garantías otorgadas”.</w:t>
      </w:r>
    </w:p>
    <w:p w14:paraId="713CE835" w14:textId="77777777" w:rsidR="001F6362" w:rsidRPr="007213A1" w:rsidRDefault="001F6362" w:rsidP="001F6362">
      <w:pPr>
        <w:widowControl w:val="0"/>
        <w:jc w:val="both"/>
        <w:rPr>
          <w:sz w:val="20"/>
          <w:szCs w:val="20"/>
          <w:lang w:val="es-AR"/>
        </w:rPr>
      </w:pPr>
    </w:p>
    <w:p w14:paraId="48A52D64" w14:textId="77777777" w:rsidR="001F6362" w:rsidRPr="007213A1" w:rsidRDefault="001F6362" w:rsidP="001F6362">
      <w:pPr>
        <w:widowControl w:val="0"/>
        <w:jc w:val="both"/>
        <w:rPr>
          <w:sz w:val="20"/>
          <w:szCs w:val="20"/>
          <w:lang w:val="es-AR"/>
        </w:rPr>
      </w:pPr>
      <w:r w:rsidRPr="007213A1">
        <w:rPr>
          <w:sz w:val="20"/>
          <w:szCs w:val="20"/>
          <w:lang w:val="es-AR"/>
        </w:rPr>
        <w:t>El artículo 129 de la Ley de Mercado de Capitales prevé que se podrán expedir comprobantes del saldo de cuenta de valores escriturales o comprobantes de los valores representados en certificados globales, según sea el caso, a efectos de legitimar al titular (o a la persona que tenga una participación en el certificado global en cuestión) para reclamar judicialmente -o ante jurisdicción arbitral en su caso, incluso mediante acción ejecutiva si correspondiere-, presentar solicitudes de verificación de crédito o participar en procesos universales para lo que será suficiente título dicho comprobante, sin necesidad de autenticación u otro requisito. Véase “</w:t>
      </w:r>
      <w:r w:rsidRPr="007213A1">
        <w:rPr>
          <w:i/>
          <w:sz w:val="20"/>
          <w:szCs w:val="20"/>
          <w:lang w:val="es-AR"/>
        </w:rPr>
        <w:t>Titularidad y Legitimación</w:t>
      </w:r>
      <w:r w:rsidRPr="007213A1">
        <w:rPr>
          <w:sz w:val="20"/>
          <w:szCs w:val="20"/>
          <w:lang w:val="es-AR"/>
        </w:rPr>
        <w:t>”. Los tenedores de Obligaciones Negociables escriturales o representadas en certificados globales podrán requerir la expedición de los comprobantes previstos en dicha norma para accionar en forma ejecutiva.</w:t>
      </w:r>
    </w:p>
    <w:p w14:paraId="03CB4427" w14:textId="77777777" w:rsidR="001F6362" w:rsidRPr="007213A1" w:rsidRDefault="001F6362" w:rsidP="001F6362">
      <w:pPr>
        <w:widowControl w:val="0"/>
        <w:jc w:val="both"/>
        <w:rPr>
          <w:sz w:val="20"/>
          <w:szCs w:val="20"/>
          <w:lang w:val="es-AR"/>
        </w:rPr>
      </w:pPr>
    </w:p>
    <w:p w14:paraId="28023215"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Notificaciones a los Tenedores de las Obligaciones Negociables</w:t>
      </w:r>
    </w:p>
    <w:p w14:paraId="77482605" w14:textId="77777777" w:rsidR="001F6362" w:rsidRPr="007213A1" w:rsidRDefault="001F6362" w:rsidP="001F6362">
      <w:pPr>
        <w:widowControl w:val="0"/>
        <w:jc w:val="both"/>
        <w:rPr>
          <w:sz w:val="20"/>
          <w:szCs w:val="20"/>
          <w:lang w:val="es-AR"/>
        </w:rPr>
      </w:pPr>
    </w:p>
    <w:p w14:paraId="25E77837" w14:textId="77777777" w:rsidR="001F6362" w:rsidRPr="007213A1" w:rsidRDefault="001F6362" w:rsidP="001F6362">
      <w:pPr>
        <w:widowControl w:val="0"/>
        <w:jc w:val="both"/>
        <w:rPr>
          <w:sz w:val="20"/>
          <w:szCs w:val="20"/>
          <w:lang w:val="es-AR"/>
        </w:rPr>
      </w:pPr>
      <w:r w:rsidRPr="007213A1">
        <w:rPr>
          <w:sz w:val="20"/>
          <w:szCs w:val="20"/>
          <w:lang w:val="es-AR"/>
        </w:rPr>
        <w:t>Salvo en el caso de las Asambleas, que se regirán por lo establecido en la sección “</w:t>
      </w:r>
      <w:r w:rsidRPr="007213A1">
        <w:rPr>
          <w:i/>
          <w:sz w:val="20"/>
          <w:szCs w:val="20"/>
          <w:lang w:val="es-AR"/>
        </w:rPr>
        <w:t>Asambleas</w:t>
      </w:r>
      <w:r w:rsidRPr="007213A1">
        <w:rPr>
          <w:sz w:val="20"/>
          <w:szCs w:val="20"/>
          <w:lang w:val="es-AR"/>
        </w:rPr>
        <w:t>”, todas las notificaciones relativas a las Obligaciones Negociables se considerarán debidamente efectuadas a los tenedores si se publican por un día hábil bursátil en los Boletines Diarios de los mercados en donde se listen y negocien las Obligaciones Negociables (entendiéndose por día hábil bursátil aquel durante el cual se realizan las ruedas de operaciones de cada mercado en donde se listen y negocien las Obligaciones Negociables y/o aquel otro modo que se indique en el Suplemento de Precio aplicable y/o en la Página Web de la CNV, mediante la AIF y/o en la Página Web de la Emisora. Cualquier notificación del tipo indicado se considerará efectuada en la fecha de tal publicación o, en caso de que se publicara más de una vez o en distintas fechas, en la fecha de la última publicación.</w:t>
      </w:r>
    </w:p>
    <w:p w14:paraId="3BFBAD1F" w14:textId="77777777" w:rsidR="001F6362" w:rsidRPr="007213A1" w:rsidRDefault="001F6362" w:rsidP="001F6362">
      <w:pPr>
        <w:widowControl w:val="0"/>
        <w:jc w:val="both"/>
        <w:rPr>
          <w:sz w:val="20"/>
          <w:szCs w:val="20"/>
          <w:lang w:val="es-AR"/>
        </w:rPr>
      </w:pPr>
    </w:p>
    <w:p w14:paraId="412D619E"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 xml:space="preserve">Ley Aplicable </w:t>
      </w:r>
    </w:p>
    <w:p w14:paraId="0506BEB2" w14:textId="77777777" w:rsidR="001F6362" w:rsidRPr="007213A1" w:rsidRDefault="001F6362" w:rsidP="001F6362">
      <w:pPr>
        <w:widowControl w:val="0"/>
        <w:jc w:val="both"/>
        <w:rPr>
          <w:sz w:val="20"/>
          <w:szCs w:val="20"/>
          <w:lang w:val="es-AR"/>
        </w:rPr>
      </w:pPr>
    </w:p>
    <w:p w14:paraId="6ECE7366" w14:textId="77777777" w:rsidR="001F6362" w:rsidRPr="007213A1" w:rsidRDefault="001F6362" w:rsidP="001F6362">
      <w:pPr>
        <w:widowControl w:val="0"/>
        <w:jc w:val="both"/>
        <w:rPr>
          <w:sz w:val="20"/>
          <w:szCs w:val="20"/>
          <w:lang w:val="es-MX"/>
        </w:rPr>
      </w:pPr>
      <w:r w:rsidRPr="007213A1">
        <w:rPr>
          <w:sz w:val="20"/>
          <w:szCs w:val="20"/>
          <w:lang w:val="es-MX"/>
        </w:rPr>
        <w:t>Las cuestiones relativas a requisitos inherentes de fondo y forma de las Obligaciones Negociables se regirán por lo dispuesto en la Ley de Obligaciones Negociables y las leyes y reglamentaciones argentinas aplicables, así como la capacidad y autoridad societaria de la Emisora para crear este Programa y para emitir, ofrecer y entregar las Obligaciones Negociables en Argentina. Todas las demás cuestiones respecto de las Obligaciones Negociables se regirán y serán interpretadas de acuerdo con las leyes de Argentina o de acuerdo a las leyes aplicables de la jurisdicción que se indique en el Suplemento de Precio correspondiente.</w:t>
      </w:r>
    </w:p>
    <w:p w14:paraId="012E0DDD" w14:textId="77777777" w:rsidR="001F6362" w:rsidRPr="007213A1" w:rsidRDefault="001F6362" w:rsidP="001F6362">
      <w:pPr>
        <w:widowControl w:val="0"/>
        <w:jc w:val="both"/>
        <w:rPr>
          <w:sz w:val="20"/>
          <w:szCs w:val="20"/>
          <w:lang w:val="es-AR"/>
        </w:rPr>
      </w:pPr>
    </w:p>
    <w:p w14:paraId="5ED689DC" w14:textId="77777777" w:rsidR="001F6362" w:rsidRPr="007213A1" w:rsidRDefault="001F6362" w:rsidP="001F6362">
      <w:pPr>
        <w:widowControl w:val="0"/>
        <w:numPr>
          <w:ilvl w:val="0"/>
          <w:numId w:val="42"/>
        </w:numPr>
        <w:ind w:left="708" w:hanging="708"/>
        <w:jc w:val="both"/>
        <w:rPr>
          <w:smallCaps/>
          <w:sz w:val="20"/>
          <w:szCs w:val="20"/>
          <w:lang w:val="es-AR" w:eastAsia="x-none"/>
        </w:rPr>
      </w:pPr>
      <w:r w:rsidRPr="007213A1">
        <w:rPr>
          <w:smallCaps/>
          <w:sz w:val="20"/>
          <w:szCs w:val="20"/>
          <w:lang w:val="es-AR" w:eastAsia="x-none"/>
        </w:rPr>
        <w:t xml:space="preserve">Jurisdicción </w:t>
      </w:r>
    </w:p>
    <w:p w14:paraId="6773AE10" w14:textId="77777777" w:rsidR="001F6362" w:rsidRPr="007213A1" w:rsidRDefault="001F6362" w:rsidP="001F6362">
      <w:pPr>
        <w:widowControl w:val="0"/>
        <w:jc w:val="both"/>
        <w:rPr>
          <w:sz w:val="20"/>
          <w:szCs w:val="20"/>
          <w:lang w:val="es-AR"/>
        </w:rPr>
      </w:pPr>
    </w:p>
    <w:p w14:paraId="5BE98BC1" w14:textId="77777777" w:rsidR="001F6362" w:rsidRPr="007213A1" w:rsidRDefault="001F6362" w:rsidP="001F6362">
      <w:pPr>
        <w:widowControl w:val="0"/>
        <w:jc w:val="both"/>
        <w:rPr>
          <w:sz w:val="20"/>
          <w:szCs w:val="20"/>
          <w:lang w:val="es-MX"/>
        </w:rPr>
      </w:pPr>
      <w:r w:rsidRPr="007213A1">
        <w:rPr>
          <w:sz w:val="20"/>
          <w:szCs w:val="20"/>
          <w:lang w:val="es-MX"/>
        </w:rPr>
        <w:t>Siempre que no se determine de otro modo en el Suplemento de Precio aplicable, toda controversia que se suscite entre la Emisora y/o los Colocadores será sometida a la jurisdicción de los tribunales nacionales con competencia en la materia. Toda controversia que surja entre la Emisora y los tenedores de Obligaciones Negociables en relación a las Obligaciones Negociables (incluyendo, sin limitación, sobre la existencia, validez, calificación, interpretación, alcance o cumplimiento de las Obligaciones Negociables), será resuelta por el Tribunal de Arbitraje General de la BCBA (o el que en el futuro lo reemplace) de acuerdo con la reglamentación vigente para el arbitraje de derecho, quedando a salvo el derecho de los tenedores de Obligaciones Negociables contemplado en el artículo 46 de la Ley de Mercado de Capitales, de optar por acudir a los tribunales judiciales competentes.</w:t>
      </w:r>
    </w:p>
    <w:p w14:paraId="29A35331" w14:textId="77777777" w:rsidR="00684BA3" w:rsidRPr="007213A1" w:rsidRDefault="00684BA3" w:rsidP="001F6362">
      <w:pPr>
        <w:widowControl w:val="0"/>
        <w:jc w:val="both"/>
        <w:rPr>
          <w:sz w:val="20"/>
          <w:szCs w:val="20"/>
          <w:lang w:val="es-AR"/>
        </w:rPr>
      </w:pPr>
    </w:p>
    <w:p w14:paraId="79BB3DBD" w14:textId="77777777" w:rsidR="001F6362" w:rsidRPr="007213A1" w:rsidRDefault="001F6362" w:rsidP="001F6362">
      <w:pPr>
        <w:widowControl w:val="0"/>
        <w:numPr>
          <w:ilvl w:val="0"/>
          <w:numId w:val="42"/>
        </w:numPr>
        <w:ind w:left="0" w:firstLine="0"/>
        <w:jc w:val="both"/>
        <w:rPr>
          <w:smallCaps/>
          <w:sz w:val="20"/>
          <w:szCs w:val="20"/>
          <w:lang w:val="es-AR" w:eastAsia="x-none"/>
        </w:rPr>
      </w:pPr>
      <w:r w:rsidRPr="007213A1">
        <w:rPr>
          <w:smallCaps/>
          <w:sz w:val="20"/>
          <w:szCs w:val="20"/>
          <w:lang w:val="es-AR" w:eastAsia="x-none"/>
        </w:rPr>
        <w:t>Calificaciones</w:t>
      </w:r>
    </w:p>
    <w:p w14:paraId="1F3C6BAE" w14:textId="77777777" w:rsidR="001F6362" w:rsidRPr="007213A1" w:rsidRDefault="001F6362" w:rsidP="001F6362">
      <w:pPr>
        <w:widowControl w:val="0"/>
        <w:jc w:val="both"/>
        <w:rPr>
          <w:sz w:val="20"/>
          <w:szCs w:val="20"/>
          <w:lang w:val="es-AR"/>
        </w:rPr>
      </w:pPr>
    </w:p>
    <w:p w14:paraId="6BFBBAF7" w14:textId="77777777" w:rsidR="001F6362" w:rsidRPr="007213A1" w:rsidRDefault="001F6362" w:rsidP="001F6362">
      <w:pPr>
        <w:widowControl w:val="0"/>
        <w:jc w:val="both"/>
        <w:rPr>
          <w:sz w:val="20"/>
          <w:szCs w:val="20"/>
          <w:lang w:val="es-AR"/>
        </w:rPr>
      </w:pPr>
      <w:r w:rsidRPr="007213A1">
        <w:rPr>
          <w:sz w:val="20"/>
          <w:szCs w:val="20"/>
          <w:lang w:val="es-AR"/>
        </w:rPr>
        <w:t>El presente Programa no cuenta con calificación de riesgo. La Emisora podrá optar por calificar cada una de las Clases y/o Series de Obligaciones Negociables a emitirse bajo el Programa, conforme lo determine en cada oportunidad en el respectivo Suplemento de Precio. En ningún caso se deberá considerar que las calificaciones que se otorguen a una Clase y/o Serie son una recomendación de la Emisora, del Organizador y/o del Colocador (conforme se definen más adelante) para que se adquieran las Obligaciones Negociables.</w:t>
      </w:r>
    </w:p>
    <w:p w14:paraId="33407DE2" w14:textId="77777777" w:rsidR="001F6362" w:rsidRPr="007213A1" w:rsidRDefault="001F6362" w:rsidP="001F6362">
      <w:pPr>
        <w:widowControl w:val="0"/>
        <w:jc w:val="center"/>
        <w:rPr>
          <w:sz w:val="20"/>
          <w:szCs w:val="20"/>
          <w:lang w:val="es-AR"/>
        </w:rPr>
      </w:pPr>
    </w:p>
    <w:p w14:paraId="4C2A0D29" w14:textId="77777777" w:rsidR="001F6362" w:rsidRPr="007213A1" w:rsidRDefault="001F6362" w:rsidP="001F6362">
      <w:pPr>
        <w:pStyle w:val="Textoindependiente"/>
        <w:widowControl w:val="0"/>
        <w:outlineLvl w:val="1"/>
        <w:rPr>
          <w:color w:val="auto"/>
        </w:rPr>
      </w:pPr>
      <w:bookmarkStart w:id="50" w:name="_Toc271214643"/>
      <w:bookmarkStart w:id="51" w:name="_Toc272256976"/>
      <w:bookmarkStart w:id="52" w:name="_Toc272498832"/>
      <w:bookmarkStart w:id="53" w:name="_Toc272498916"/>
      <w:bookmarkStart w:id="54" w:name="_Toc272499143"/>
      <w:bookmarkStart w:id="55" w:name="_Toc272856031"/>
      <w:bookmarkStart w:id="56" w:name="_Toc272953663"/>
      <w:bookmarkStart w:id="57" w:name="_Toc273706065"/>
      <w:bookmarkStart w:id="58" w:name="_Toc274818778"/>
      <w:bookmarkStart w:id="59" w:name="_Toc296513119"/>
      <w:bookmarkStart w:id="60" w:name="_Toc318202173"/>
      <w:bookmarkStart w:id="61" w:name="_Toc351971337"/>
      <w:r w:rsidRPr="007213A1">
        <w:rPr>
          <w:color w:val="auto"/>
        </w:rPr>
        <w:t>b) Plan de distribución</w:t>
      </w:r>
      <w:bookmarkEnd w:id="50"/>
      <w:bookmarkEnd w:id="51"/>
      <w:bookmarkEnd w:id="52"/>
      <w:bookmarkEnd w:id="53"/>
      <w:bookmarkEnd w:id="54"/>
      <w:bookmarkEnd w:id="55"/>
      <w:bookmarkEnd w:id="56"/>
      <w:bookmarkEnd w:id="57"/>
      <w:bookmarkEnd w:id="58"/>
      <w:bookmarkEnd w:id="59"/>
      <w:bookmarkEnd w:id="60"/>
      <w:bookmarkEnd w:id="61"/>
    </w:p>
    <w:p w14:paraId="0447B15E" w14:textId="77777777" w:rsidR="001F6362" w:rsidRPr="007213A1" w:rsidRDefault="001F6362" w:rsidP="001F6362">
      <w:pPr>
        <w:widowControl w:val="0"/>
        <w:jc w:val="both"/>
        <w:rPr>
          <w:sz w:val="20"/>
          <w:szCs w:val="20"/>
          <w:lang w:val="es-MX"/>
        </w:rPr>
      </w:pPr>
    </w:p>
    <w:p w14:paraId="4D6C23F6" w14:textId="77777777" w:rsidR="001F6362" w:rsidRPr="007213A1" w:rsidRDefault="001F6362" w:rsidP="001F6362">
      <w:pPr>
        <w:widowControl w:val="0"/>
        <w:jc w:val="both"/>
        <w:rPr>
          <w:sz w:val="20"/>
          <w:szCs w:val="20"/>
          <w:lang w:val="es-MX"/>
        </w:rPr>
      </w:pPr>
      <w:r w:rsidRPr="007213A1">
        <w:rPr>
          <w:sz w:val="20"/>
          <w:szCs w:val="20"/>
          <w:lang w:val="es-MX"/>
        </w:rPr>
        <w:t>Al respecto se remite a lo dispuesto bajo la sección “</w:t>
      </w:r>
      <w:r w:rsidRPr="007213A1">
        <w:rPr>
          <w:i/>
          <w:sz w:val="20"/>
          <w:szCs w:val="20"/>
          <w:lang w:val="es-MX"/>
        </w:rPr>
        <w:t>Colocación</w:t>
      </w:r>
      <w:r w:rsidRPr="007213A1">
        <w:rPr>
          <w:sz w:val="20"/>
          <w:szCs w:val="20"/>
          <w:lang w:val="es-MX"/>
        </w:rPr>
        <w:t>” del Presente Capítulo.</w:t>
      </w:r>
    </w:p>
    <w:p w14:paraId="1ABC110A" w14:textId="77777777" w:rsidR="001F6362" w:rsidRPr="007213A1" w:rsidRDefault="001F6362" w:rsidP="001F6362">
      <w:pPr>
        <w:pStyle w:val="Textoindependiente"/>
        <w:widowControl w:val="0"/>
        <w:outlineLvl w:val="1"/>
        <w:rPr>
          <w:color w:val="auto"/>
        </w:rPr>
      </w:pPr>
      <w:bookmarkStart w:id="62" w:name="_Toc271214645"/>
      <w:bookmarkStart w:id="63" w:name="_Toc272256978"/>
      <w:bookmarkStart w:id="64" w:name="_Toc272498834"/>
      <w:bookmarkStart w:id="65" w:name="_Toc272498918"/>
      <w:bookmarkStart w:id="66" w:name="_Toc272499145"/>
      <w:bookmarkStart w:id="67" w:name="_Toc272856033"/>
      <w:bookmarkStart w:id="68" w:name="_Toc272953665"/>
      <w:bookmarkStart w:id="69" w:name="_Toc273706067"/>
      <w:bookmarkStart w:id="70" w:name="_Toc274818780"/>
      <w:bookmarkStart w:id="71" w:name="_Toc296513121"/>
      <w:bookmarkStart w:id="72" w:name="_Toc318202174"/>
      <w:bookmarkStart w:id="73" w:name="_Toc351971338"/>
      <w:r w:rsidRPr="007213A1">
        <w:rPr>
          <w:color w:val="auto"/>
        </w:rPr>
        <w:t>c) Gastos de la emisión</w:t>
      </w:r>
      <w:bookmarkEnd w:id="62"/>
      <w:bookmarkEnd w:id="63"/>
      <w:bookmarkEnd w:id="64"/>
      <w:bookmarkEnd w:id="65"/>
      <w:bookmarkEnd w:id="66"/>
      <w:bookmarkEnd w:id="67"/>
      <w:bookmarkEnd w:id="68"/>
      <w:bookmarkEnd w:id="69"/>
      <w:bookmarkEnd w:id="70"/>
      <w:bookmarkEnd w:id="71"/>
      <w:bookmarkEnd w:id="72"/>
      <w:bookmarkEnd w:id="73"/>
    </w:p>
    <w:p w14:paraId="3BE670D1" w14:textId="77777777" w:rsidR="001F6362" w:rsidRPr="007213A1" w:rsidRDefault="001F6362" w:rsidP="001F6362">
      <w:pPr>
        <w:widowControl w:val="0"/>
        <w:jc w:val="both"/>
        <w:rPr>
          <w:sz w:val="20"/>
          <w:szCs w:val="20"/>
          <w:lang w:val="es-MX"/>
        </w:rPr>
      </w:pPr>
    </w:p>
    <w:p w14:paraId="1282E702" w14:textId="77777777" w:rsidR="001F6362" w:rsidRPr="007213A1" w:rsidRDefault="001F6362" w:rsidP="001F6362">
      <w:pPr>
        <w:widowControl w:val="0"/>
        <w:jc w:val="both"/>
        <w:rPr>
          <w:sz w:val="20"/>
          <w:szCs w:val="20"/>
          <w:lang w:val="es-MX"/>
        </w:rPr>
      </w:pPr>
      <w:r w:rsidRPr="007213A1">
        <w:rPr>
          <w:sz w:val="20"/>
          <w:szCs w:val="20"/>
          <w:lang w:val="es-MX"/>
        </w:rPr>
        <w:t>Los gastos estimados para cada colocación de Obligaciones Negociables serán detallados en cada Suplemento de Precio aplicable.</w:t>
      </w:r>
    </w:p>
    <w:p w14:paraId="42E4EC7A" w14:textId="77777777" w:rsidR="001F6362" w:rsidRPr="007213A1" w:rsidRDefault="001F6362" w:rsidP="001F6362">
      <w:pPr>
        <w:widowControl w:val="0"/>
        <w:jc w:val="both"/>
        <w:rPr>
          <w:sz w:val="20"/>
          <w:szCs w:val="20"/>
          <w:lang w:val="es-MX"/>
        </w:rPr>
      </w:pPr>
    </w:p>
    <w:p w14:paraId="6350D95D" w14:textId="77777777" w:rsidR="001F6362" w:rsidRPr="007213A1" w:rsidRDefault="001F6362" w:rsidP="001F6362">
      <w:pPr>
        <w:jc w:val="center"/>
        <w:rPr>
          <w:b/>
          <w:bCs/>
          <w:sz w:val="20"/>
          <w:szCs w:val="20"/>
          <w:lang w:val="es-AR" w:eastAsia="es-ES"/>
        </w:rPr>
      </w:pPr>
    </w:p>
    <w:p w14:paraId="2FAFA4D8" w14:textId="77777777" w:rsidR="001F6362" w:rsidRPr="007213A1" w:rsidRDefault="001F6362" w:rsidP="001F6362">
      <w:pPr>
        <w:rPr>
          <w:b/>
          <w:bCs/>
          <w:sz w:val="20"/>
          <w:szCs w:val="20"/>
          <w:lang w:val="es-ES" w:eastAsia="es-ES"/>
        </w:rPr>
      </w:pPr>
      <w:r w:rsidRPr="007213A1">
        <w:rPr>
          <w:b/>
          <w:bCs/>
          <w:sz w:val="20"/>
          <w:szCs w:val="20"/>
          <w:lang w:val="es-ES" w:eastAsia="es-ES"/>
        </w:rPr>
        <w:br w:type="page"/>
      </w:r>
    </w:p>
    <w:p w14:paraId="0053C711" w14:textId="18546E51" w:rsidR="001F6362" w:rsidRPr="007213A1" w:rsidRDefault="00684BA3" w:rsidP="00684BA3">
      <w:pPr>
        <w:widowControl w:val="0"/>
        <w:suppressLineNumbers/>
        <w:suppressAutoHyphens/>
        <w:jc w:val="center"/>
        <w:rPr>
          <w:b/>
          <w:sz w:val="20"/>
          <w:szCs w:val="20"/>
          <w:lang w:val="es-ES" w:eastAsia="es-ES"/>
        </w:rPr>
      </w:pPr>
      <w:r w:rsidRPr="007213A1">
        <w:rPr>
          <w:b/>
          <w:sz w:val="20"/>
          <w:szCs w:val="20"/>
          <w:lang w:val="es-ES" w:eastAsia="es-ES"/>
        </w:rPr>
        <w:t>X</w:t>
      </w:r>
      <w:r w:rsidR="00A227AF">
        <w:rPr>
          <w:b/>
          <w:sz w:val="20"/>
          <w:szCs w:val="20"/>
          <w:lang w:val="es-ES" w:eastAsia="es-ES"/>
        </w:rPr>
        <w:t>.</w:t>
      </w:r>
      <w:r w:rsidRPr="007213A1">
        <w:rPr>
          <w:b/>
          <w:sz w:val="20"/>
          <w:szCs w:val="20"/>
          <w:lang w:val="es-ES" w:eastAsia="es-ES"/>
        </w:rPr>
        <w:t xml:space="preserve"> INFORMACIÓN ADICIONAL</w:t>
      </w:r>
    </w:p>
    <w:p w14:paraId="29088D6D" w14:textId="77777777" w:rsidR="00684BA3" w:rsidRPr="007213A1" w:rsidRDefault="00684BA3" w:rsidP="00684BA3">
      <w:pPr>
        <w:widowControl w:val="0"/>
        <w:suppressLineNumbers/>
        <w:suppressAutoHyphens/>
        <w:jc w:val="center"/>
        <w:rPr>
          <w:b/>
          <w:sz w:val="20"/>
          <w:szCs w:val="20"/>
          <w:lang w:val="es-ES" w:eastAsia="es-ES"/>
        </w:rPr>
      </w:pPr>
    </w:p>
    <w:p w14:paraId="4826558E" w14:textId="73E08381" w:rsidR="00684BA3" w:rsidRPr="007213A1" w:rsidRDefault="00684BA3" w:rsidP="00684BA3">
      <w:pPr>
        <w:widowControl w:val="0"/>
        <w:tabs>
          <w:tab w:val="left" w:pos="380"/>
        </w:tabs>
        <w:jc w:val="both"/>
        <w:outlineLvl w:val="1"/>
        <w:rPr>
          <w:b/>
          <w:sz w:val="20"/>
          <w:szCs w:val="20"/>
          <w:lang w:val="es-AR"/>
        </w:rPr>
      </w:pPr>
      <w:r w:rsidRPr="007213A1">
        <w:rPr>
          <w:b/>
          <w:sz w:val="20"/>
          <w:szCs w:val="20"/>
          <w:lang w:val="es-AR"/>
        </w:rPr>
        <w:t>a) Capital Social</w:t>
      </w:r>
    </w:p>
    <w:p w14:paraId="01AD1157" w14:textId="77777777" w:rsidR="00684BA3" w:rsidRPr="007213A1" w:rsidRDefault="00684BA3" w:rsidP="00684BA3">
      <w:pPr>
        <w:jc w:val="both"/>
        <w:rPr>
          <w:bCs/>
          <w:spacing w:val="-2"/>
          <w:sz w:val="20"/>
          <w:szCs w:val="20"/>
          <w:lang w:val="es-AR"/>
        </w:rPr>
      </w:pPr>
    </w:p>
    <w:p w14:paraId="677EE788" w14:textId="2DB1A7AF" w:rsidR="00684BA3" w:rsidRPr="004C2CEC" w:rsidRDefault="00684BA3" w:rsidP="00684BA3">
      <w:pPr>
        <w:jc w:val="both"/>
        <w:rPr>
          <w:rFonts w:eastAsia="Calibri"/>
          <w:sz w:val="20"/>
          <w:lang w:val="es-ES"/>
        </w:rPr>
      </w:pPr>
      <w:r w:rsidRPr="007213A1">
        <w:rPr>
          <w:bCs/>
          <w:spacing w:val="-2"/>
          <w:sz w:val="20"/>
          <w:szCs w:val="20"/>
          <w:lang w:val="es-AR"/>
        </w:rPr>
        <w:t xml:space="preserve">Al 30 de junio de 2019, la Emisora poseía un capital social establecido en la suma de $ </w:t>
      </w:r>
      <w:r w:rsidR="002D1556" w:rsidRPr="007213A1">
        <w:rPr>
          <w:bCs/>
          <w:spacing w:val="-2"/>
          <w:sz w:val="20"/>
          <w:szCs w:val="20"/>
          <w:lang w:val="es-AR"/>
        </w:rPr>
        <w:t>350</w:t>
      </w:r>
      <w:r w:rsidRPr="007213A1">
        <w:rPr>
          <w:bCs/>
          <w:spacing w:val="-2"/>
          <w:sz w:val="20"/>
          <w:szCs w:val="20"/>
          <w:lang w:val="es-AR"/>
        </w:rPr>
        <w:t>.000.000, representado por 3</w:t>
      </w:r>
      <w:r w:rsidR="002D1556" w:rsidRPr="007213A1">
        <w:rPr>
          <w:bCs/>
          <w:spacing w:val="-2"/>
          <w:sz w:val="20"/>
          <w:szCs w:val="20"/>
          <w:lang w:val="es-AR"/>
        </w:rPr>
        <w:t>5.0</w:t>
      </w:r>
      <w:r w:rsidRPr="007213A1">
        <w:rPr>
          <w:bCs/>
          <w:spacing w:val="-2"/>
          <w:sz w:val="20"/>
          <w:szCs w:val="20"/>
          <w:lang w:val="es-AR"/>
        </w:rPr>
        <w:t xml:space="preserve">00 acciones de diez mil pesos de valor nominal cada una y con </w:t>
      </w:r>
      <w:r w:rsidR="002D1556" w:rsidRPr="007213A1">
        <w:rPr>
          <w:rFonts w:eastAsia="Calibri"/>
          <w:sz w:val="20"/>
          <w:szCs w:val="20"/>
          <w:lang w:val="es-ES"/>
        </w:rPr>
        <w:t xml:space="preserve">derecho a cinco votos las Clase “A”, a un voto las Clase “B” y sin derecho a voto las acciones preferidas, las cuales tendrán derecho a un pago de dividendo acumulativo o no, o preferencia de reembolso de capital, según lo determine la Asamblea. </w:t>
      </w:r>
    </w:p>
    <w:p w14:paraId="7D44E4A2" w14:textId="57041549" w:rsidR="00973908" w:rsidRPr="004C2CEC" w:rsidRDefault="00973908" w:rsidP="00684BA3">
      <w:pPr>
        <w:jc w:val="both"/>
        <w:rPr>
          <w:rFonts w:eastAsia="Calibri"/>
          <w:sz w:val="20"/>
          <w:lang w:val="es-ES"/>
        </w:rPr>
      </w:pPr>
    </w:p>
    <w:p w14:paraId="0C5D35C6" w14:textId="137AA072" w:rsidR="003258D5" w:rsidRPr="007213A1" w:rsidRDefault="003258D5" w:rsidP="003258D5">
      <w:pPr>
        <w:widowControl w:val="0"/>
        <w:jc w:val="both"/>
        <w:rPr>
          <w:rFonts w:eastAsia="Calibri"/>
          <w:sz w:val="20"/>
          <w:szCs w:val="20"/>
          <w:lang w:val="es-MX"/>
        </w:rPr>
      </w:pPr>
      <w:r>
        <w:rPr>
          <w:bCs/>
          <w:spacing w:val="-2"/>
          <w:sz w:val="20"/>
          <w:szCs w:val="20"/>
          <w:lang w:val="es-AR"/>
        </w:rPr>
        <w:t>En la Asamblea General Ordinaria y Extraordinaria celebrada el día 29 de octubre de 2019, la Sociedad decidió aumentar su capital social de $350.000.000 a $1.690.000.000, representado por 169.000 acciones de diez mil pesos ($10.000) de valor nominal cada una</w:t>
      </w:r>
      <w:r w:rsidRPr="003258D5">
        <w:rPr>
          <w:rFonts w:eastAsia="Calibri"/>
          <w:sz w:val="20"/>
          <w:szCs w:val="20"/>
          <w:lang w:val="es-ES"/>
        </w:rPr>
        <w:t xml:space="preserve"> </w:t>
      </w:r>
      <w:r w:rsidRPr="002228BD">
        <w:rPr>
          <w:rFonts w:eastAsia="Calibri"/>
          <w:sz w:val="20"/>
          <w:szCs w:val="20"/>
          <w:lang w:val="es-ES"/>
        </w:rPr>
        <w:t xml:space="preserve">y con derecho a cinco votos las Clase “A”, a un voto las Clase “B” y sin derecho a voto las acciones preferidas, las cuales </w:t>
      </w:r>
      <w:r w:rsidRPr="00C02229">
        <w:rPr>
          <w:rFonts w:eastAsia="Calibri"/>
          <w:sz w:val="20"/>
          <w:szCs w:val="20"/>
          <w:lang w:val="es-ES"/>
        </w:rPr>
        <w:t>tendrán derecho a un pago de dividendo acumulativo o no, o preferencia de reembolso de capital, según lo determine la Asamblea. Todas las acciones se encuentran emitidas y totalmente integradas.</w:t>
      </w:r>
      <w:r w:rsidRPr="00C02229">
        <w:rPr>
          <w:bCs/>
          <w:spacing w:val="-2"/>
          <w:sz w:val="20"/>
          <w:szCs w:val="20"/>
          <w:lang w:val="es-AR"/>
        </w:rPr>
        <w:t xml:space="preserve"> Dicho a</w:t>
      </w:r>
      <w:r>
        <w:rPr>
          <w:bCs/>
          <w:spacing w:val="-2"/>
          <w:sz w:val="20"/>
          <w:szCs w:val="20"/>
          <w:lang w:val="es-AR"/>
        </w:rPr>
        <w:t>umento de capital se encuentra pendiente de inscripción.</w:t>
      </w:r>
    </w:p>
    <w:p w14:paraId="0127076B" w14:textId="77777777" w:rsidR="00684BA3" w:rsidRPr="00512442" w:rsidRDefault="00684BA3" w:rsidP="00512442">
      <w:pPr>
        <w:widowControl w:val="0"/>
        <w:suppressLineNumbers/>
        <w:suppressAutoHyphens/>
        <w:rPr>
          <w:b/>
          <w:sz w:val="20"/>
          <w:lang w:val="es-AR"/>
        </w:rPr>
      </w:pPr>
    </w:p>
    <w:p w14:paraId="51543EBB" w14:textId="0866162A" w:rsidR="00684BA3" w:rsidRPr="007213A1" w:rsidRDefault="00684BA3" w:rsidP="00684BA3">
      <w:pPr>
        <w:pStyle w:val="Tabla"/>
        <w:tabs>
          <w:tab w:val="clear" w:pos="664"/>
        </w:tabs>
        <w:spacing w:before="0" w:after="0"/>
        <w:ind w:right="0"/>
        <w:rPr>
          <w:rFonts w:ascii="Times New Roman" w:hAnsi="Times New Roman"/>
          <w:b/>
          <w:bCs/>
          <w:color w:val="000000"/>
          <w:sz w:val="20"/>
          <w:szCs w:val="20"/>
        </w:rPr>
      </w:pPr>
      <w:r w:rsidRPr="007213A1">
        <w:rPr>
          <w:rFonts w:ascii="Times New Roman" w:hAnsi="Times New Roman"/>
          <w:b/>
          <w:bCs/>
          <w:color w:val="000000"/>
          <w:sz w:val="20"/>
          <w:szCs w:val="20"/>
        </w:rPr>
        <w:t>b) Acta constitutiva y Estatuto</w:t>
      </w:r>
    </w:p>
    <w:p w14:paraId="27F761E1" w14:textId="77777777" w:rsidR="00684BA3" w:rsidRPr="007213A1" w:rsidRDefault="00684BA3" w:rsidP="00684BA3">
      <w:pPr>
        <w:pStyle w:val="Tabla"/>
        <w:tabs>
          <w:tab w:val="clear" w:pos="664"/>
        </w:tabs>
        <w:spacing w:before="0" w:after="0"/>
        <w:ind w:right="3"/>
        <w:rPr>
          <w:rFonts w:ascii="Times New Roman" w:hAnsi="Times New Roman"/>
          <w:color w:val="000000"/>
          <w:sz w:val="20"/>
          <w:szCs w:val="20"/>
        </w:rPr>
      </w:pPr>
    </w:p>
    <w:p w14:paraId="041E9AC5" w14:textId="77777777" w:rsidR="006D23A9" w:rsidRPr="007213A1" w:rsidRDefault="006D23A9" w:rsidP="006D23A9">
      <w:pPr>
        <w:pStyle w:val="Text"/>
        <w:spacing w:after="0"/>
        <w:ind w:firstLine="0"/>
        <w:jc w:val="both"/>
        <w:rPr>
          <w:color w:val="000000"/>
          <w:sz w:val="20"/>
          <w:szCs w:val="20"/>
          <w:lang w:val="es-AR"/>
        </w:rPr>
      </w:pPr>
      <w:r w:rsidRPr="007213A1">
        <w:rPr>
          <w:color w:val="000000"/>
          <w:sz w:val="20"/>
          <w:szCs w:val="20"/>
          <w:lang w:val="es-AR"/>
        </w:rPr>
        <w:t>INVAP fue constituida en la Ciudad de San Carlos de Bariloche, Provincia de Río Negro, Argentina, como sociedad del Estado el 1º de septiembre de 1976, e inscripta en el Registro Público de Comercio de la Tercera Circunscripción Judicial de la Provincia de Río Negro, de la misma Ciudad, el 1º de octubre de 1976, bajo el N° 1, al Folio 1, del Libro XI, Tomo I.</w:t>
      </w:r>
    </w:p>
    <w:p w14:paraId="25241EE8" w14:textId="77777777" w:rsidR="006D23A9" w:rsidRPr="007213A1" w:rsidRDefault="006D23A9" w:rsidP="006D23A9">
      <w:pPr>
        <w:pStyle w:val="Text"/>
        <w:spacing w:after="0"/>
        <w:ind w:firstLine="0"/>
        <w:jc w:val="both"/>
        <w:rPr>
          <w:color w:val="000000"/>
          <w:sz w:val="20"/>
          <w:szCs w:val="20"/>
          <w:lang w:val="es-AR"/>
        </w:rPr>
      </w:pPr>
    </w:p>
    <w:p w14:paraId="75C2771D" w14:textId="77777777" w:rsidR="006D23A9" w:rsidRPr="007213A1" w:rsidRDefault="006D23A9" w:rsidP="006D23A9">
      <w:pPr>
        <w:pStyle w:val="Text"/>
        <w:spacing w:after="0"/>
        <w:ind w:firstLine="0"/>
        <w:jc w:val="both"/>
        <w:rPr>
          <w:color w:val="000000"/>
          <w:sz w:val="20"/>
          <w:szCs w:val="20"/>
          <w:lang w:val="es-AR"/>
        </w:rPr>
      </w:pPr>
      <w:r w:rsidRPr="007213A1">
        <w:rPr>
          <w:color w:val="000000"/>
          <w:sz w:val="20"/>
          <w:szCs w:val="20"/>
          <w:lang w:val="es-AR"/>
        </w:rPr>
        <w:t>En virtud del Estatuto Social, el plazo de duración de INVAP será de 99 años, contados desde la fecha de inscripción en el Registro Público de Comercio, es decir, el plazo de duración de la Sociedad expira el 1º de octubre de 2075.</w:t>
      </w:r>
    </w:p>
    <w:p w14:paraId="4060835E" w14:textId="77777777" w:rsidR="006D23A9" w:rsidRPr="007213A1" w:rsidRDefault="006D23A9" w:rsidP="006D23A9">
      <w:pPr>
        <w:pStyle w:val="Text"/>
        <w:spacing w:after="0"/>
        <w:ind w:firstLine="0"/>
        <w:jc w:val="both"/>
        <w:rPr>
          <w:color w:val="000000"/>
          <w:sz w:val="20"/>
          <w:szCs w:val="20"/>
          <w:lang w:val="es-AR"/>
        </w:rPr>
      </w:pPr>
    </w:p>
    <w:p w14:paraId="519C77B4" w14:textId="77777777" w:rsidR="006D23A9" w:rsidRPr="007213A1" w:rsidRDefault="006D23A9" w:rsidP="006D23A9">
      <w:pPr>
        <w:pStyle w:val="Tabla"/>
        <w:tabs>
          <w:tab w:val="clear" w:pos="664"/>
        </w:tabs>
        <w:spacing w:before="0" w:after="0"/>
        <w:ind w:right="0"/>
        <w:rPr>
          <w:rFonts w:ascii="Times New Roman" w:hAnsi="Times New Roman"/>
          <w:color w:val="000000"/>
          <w:sz w:val="20"/>
          <w:szCs w:val="20"/>
        </w:rPr>
      </w:pPr>
      <w:r w:rsidRPr="007213A1">
        <w:rPr>
          <w:rFonts w:ascii="Times New Roman" w:hAnsi="Times New Roman"/>
          <w:color w:val="000000"/>
          <w:sz w:val="20"/>
          <w:szCs w:val="20"/>
        </w:rPr>
        <w:t>Asimismo, el Estatuto Social de INVAP fue modificado en diversas oportunidades, a continuación se detallan dichas modificaciones con indicación de su fecha de inscripción ante el Registro Público de Comercio:</w:t>
      </w:r>
    </w:p>
    <w:p w14:paraId="0271CD3D" w14:textId="77777777" w:rsidR="00684BA3" w:rsidRPr="007213A1" w:rsidRDefault="00684BA3" w:rsidP="00684BA3">
      <w:pPr>
        <w:pStyle w:val="Tabla"/>
        <w:tabs>
          <w:tab w:val="clear" w:pos="664"/>
        </w:tabs>
        <w:spacing w:before="0" w:after="0"/>
        <w:ind w:right="0"/>
        <w:rPr>
          <w:rFonts w:ascii="Times New Roman" w:hAnsi="Times New Roman"/>
          <w:color w:val="000000"/>
          <w:sz w:val="20"/>
          <w:szCs w:val="20"/>
        </w:rPr>
      </w:pPr>
    </w:p>
    <w:tbl>
      <w:tblPr>
        <w:tblW w:w="0" w:type="auto"/>
        <w:jc w:val="center"/>
        <w:tblCellMar>
          <w:top w:w="28" w:type="dxa"/>
          <w:left w:w="28" w:type="dxa"/>
          <w:bottom w:w="28" w:type="dxa"/>
          <w:right w:w="28" w:type="dxa"/>
        </w:tblCellMar>
        <w:tblLook w:val="0000" w:firstRow="0" w:lastRow="0" w:firstColumn="0" w:lastColumn="0" w:noHBand="0" w:noVBand="0"/>
      </w:tblPr>
      <w:tblGrid>
        <w:gridCol w:w="2520"/>
        <w:gridCol w:w="1954"/>
        <w:gridCol w:w="2024"/>
      </w:tblGrid>
      <w:tr w:rsidR="00684BA3" w:rsidRPr="007213A1" w14:paraId="09A893C4" w14:textId="77777777" w:rsidTr="00BA304B">
        <w:trPr>
          <w:trHeight w:val="20"/>
          <w:jc w:val="center"/>
        </w:trPr>
        <w:tc>
          <w:tcPr>
            <w:tcW w:w="2520" w:type="dxa"/>
            <w:tcBorders>
              <w:bottom w:val="single" w:sz="4" w:space="0" w:color="auto"/>
            </w:tcBorders>
          </w:tcPr>
          <w:p w14:paraId="62DB5847" w14:textId="77777777" w:rsidR="00684BA3" w:rsidRPr="007213A1" w:rsidRDefault="00684BA3" w:rsidP="00003BBF">
            <w:pPr>
              <w:widowControl w:val="0"/>
              <w:jc w:val="center"/>
              <w:rPr>
                <w:b/>
                <w:bCs/>
                <w:color w:val="000000"/>
                <w:sz w:val="20"/>
                <w:szCs w:val="20"/>
                <w:lang w:val="es-AR"/>
              </w:rPr>
            </w:pPr>
            <w:r w:rsidRPr="007213A1">
              <w:rPr>
                <w:b/>
                <w:bCs/>
                <w:color w:val="000000"/>
                <w:sz w:val="20"/>
                <w:szCs w:val="20"/>
                <w:lang w:val="es-AR"/>
              </w:rPr>
              <w:t xml:space="preserve">Fecha de asamblea </w:t>
            </w:r>
          </w:p>
        </w:tc>
        <w:tc>
          <w:tcPr>
            <w:tcW w:w="1954" w:type="dxa"/>
            <w:tcBorders>
              <w:bottom w:val="single" w:sz="4" w:space="0" w:color="auto"/>
            </w:tcBorders>
          </w:tcPr>
          <w:p w14:paraId="13D681B3" w14:textId="77777777" w:rsidR="00684BA3" w:rsidRPr="007213A1" w:rsidRDefault="00684BA3" w:rsidP="00003BBF">
            <w:pPr>
              <w:pStyle w:val="CenteredText"/>
              <w:widowControl w:val="0"/>
              <w:spacing w:after="0"/>
              <w:rPr>
                <w:b/>
                <w:bCs/>
                <w:color w:val="000000"/>
                <w:lang w:val="es-AR"/>
              </w:rPr>
            </w:pPr>
            <w:r w:rsidRPr="007213A1">
              <w:rPr>
                <w:b/>
                <w:bCs/>
                <w:color w:val="000000"/>
                <w:lang w:val="es-AR"/>
              </w:rPr>
              <w:t>N° de artículo reformado</w:t>
            </w:r>
          </w:p>
        </w:tc>
        <w:tc>
          <w:tcPr>
            <w:tcW w:w="2024" w:type="dxa"/>
            <w:tcBorders>
              <w:bottom w:val="single" w:sz="4" w:space="0" w:color="auto"/>
            </w:tcBorders>
          </w:tcPr>
          <w:p w14:paraId="273A7BB5" w14:textId="77777777" w:rsidR="00684BA3" w:rsidRPr="007213A1" w:rsidRDefault="00684BA3" w:rsidP="00003BBF">
            <w:pPr>
              <w:widowControl w:val="0"/>
              <w:jc w:val="center"/>
              <w:rPr>
                <w:b/>
                <w:bCs/>
                <w:color w:val="000000"/>
                <w:sz w:val="20"/>
                <w:szCs w:val="20"/>
                <w:lang w:val="es-AR"/>
              </w:rPr>
            </w:pPr>
            <w:r w:rsidRPr="007213A1">
              <w:rPr>
                <w:b/>
                <w:bCs/>
                <w:color w:val="000000"/>
                <w:sz w:val="20"/>
                <w:szCs w:val="20"/>
                <w:lang w:val="es-AR"/>
              </w:rPr>
              <w:t xml:space="preserve">Fecha de Inscripción </w:t>
            </w:r>
          </w:p>
        </w:tc>
      </w:tr>
      <w:tr w:rsidR="006D23A9" w:rsidRPr="007213A1" w14:paraId="4B313A5C" w14:textId="77777777" w:rsidTr="00BA304B">
        <w:trPr>
          <w:trHeight w:val="20"/>
          <w:jc w:val="center"/>
        </w:trPr>
        <w:tc>
          <w:tcPr>
            <w:tcW w:w="2520" w:type="dxa"/>
            <w:tcBorders>
              <w:top w:val="single" w:sz="4" w:space="0" w:color="auto"/>
            </w:tcBorders>
          </w:tcPr>
          <w:p w14:paraId="233984D8" w14:textId="75875DD4" w:rsidR="006D23A9" w:rsidRPr="007213A1" w:rsidRDefault="006D23A9" w:rsidP="006D23A9">
            <w:pPr>
              <w:widowControl w:val="0"/>
              <w:jc w:val="center"/>
              <w:rPr>
                <w:color w:val="000000"/>
                <w:sz w:val="20"/>
                <w:szCs w:val="20"/>
                <w:lang w:val="es-AR"/>
              </w:rPr>
            </w:pPr>
            <w:r w:rsidRPr="007213A1">
              <w:rPr>
                <w:color w:val="000000"/>
                <w:sz w:val="20"/>
                <w:szCs w:val="20"/>
                <w:lang w:val="es-AR"/>
              </w:rPr>
              <w:t>21-</w:t>
            </w:r>
            <w:r>
              <w:rPr>
                <w:color w:val="000000"/>
                <w:sz w:val="20"/>
                <w:szCs w:val="20"/>
                <w:lang w:val="es-AR"/>
              </w:rPr>
              <w:t>0</w:t>
            </w:r>
            <w:r w:rsidRPr="007213A1">
              <w:rPr>
                <w:color w:val="000000"/>
                <w:sz w:val="20"/>
                <w:szCs w:val="20"/>
                <w:lang w:val="es-AR"/>
              </w:rPr>
              <w:t>1-1977</w:t>
            </w:r>
          </w:p>
        </w:tc>
        <w:tc>
          <w:tcPr>
            <w:tcW w:w="1954" w:type="dxa"/>
            <w:tcBorders>
              <w:top w:val="single" w:sz="4" w:space="0" w:color="auto"/>
            </w:tcBorders>
          </w:tcPr>
          <w:p w14:paraId="70AA269C" w14:textId="65277D22" w:rsidR="006D23A9" w:rsidRPr="007213A1" w:rsidRDefault="006D23A9" w:rsidP="006D23A9">
            <w:pPr>
              <w:widowControl w:val="0"/>
              <w:jc w:val="center"/>
              <w:rPr>
                <w:color w:val="000000"/>
                <w:sz w:val="20"/>
                <w:szCs w:val="20"/>
                <w:lang w:val="es-AR"/>
              </w:rPr>
            </w:pPr>
            <w:r w:rsidRPr="007213A1">
              <w:rPr>
                <w:color w:val="000000"/>
                <w:sz w:val="20"/>
                <w:szCs w:val="20"/>
                <w:lang w:val="es-AR"/>
              </w:rPr>
              <w:t xml:space="preserve">4 - 9 </w:t>
            </w:r>
          </w:p>
        </w:tc>
        <w:tc>
          <w:tcPr>
            <w:tcW w:w="2024" w:type="dxa"/>
            <w:tcBorders>
              <w:top w:val="single" w:sz="4" w:space="0" w:color="auto"/>
            </w:tcBorders>
          </w:tcPr>
          <w:p w14:paraId="4A982E33" w14:textId="36F86994" w:rsidR="006D23A9" w:rsidRPr="007213A1" w:rsidRDefault="006D23A9" w:rsidP="006D23A9">
            <w:pPr>
              <w:widowControl w:val="0"/>
              <w:jc w:val="center"/>
              <w:rPr>
                <w:color w:val="000000"/>
                <w:sz w:val="20"/>
                <w:szCs w:val="20"/>
                <w:lang w:val="es-AR"/>
              </w:rPr>
            </w:pPr>
            <w:r w:rsidRPr="007213A1">
              <w:rPr>
                <w:color w:val="000000"/>
                <w:sz w:val="20"/>
                <w:szCs w:val="20"/>
                <w:lang w:val="es-AR"/>
              </w:rPr>
              <w:t>16-12-1977</w:t>
            </w:r>
          </w:p>
        </w:tc>
      </w:tr>
      <w:tr w:rsidR="006D23A9" w:rsidRPr="007213A1" w14:paraId="6C952EF5" w14:textId="77777777" w:rsidTr="00BA304B">
        <w:trPr>
          <w:trHeight w:val="20"/>
          <w:jc w:val="center"/>
        </w:trPr>
        <w:tc>
          <w:tcPr>
            <w:tcW w:w="2520" w:type="dxa"/>
          </w:tcPr>
          <w:p w14:paraId="3A98C17A" w14:textId="72F71FA4" w:rsidR="006D23A9" w:rsidRPr="007213A1" w:rsidRDefault="006D23A9" w:rsidP="006D23A9">
            <w:pPr>
              <w:widowControl w:val="0"/>
              <w:jc w:val="center"/>
              <w:rPr>
                <w:color w:val="000000"/>
                <w:sz w:val="20"/>
                <w:szCs w:val="20"/>
                <w:lang w:val="es-AR"/>
              </w:rPr>
            </w:pPr>
            <w:r w:rsidRPr="007213A1">
              <w:rPr>
                <w:color w:val="000000"/>
                <w:sz w:val="20"/>
                <w:szCs w:val="20"/>
                <w:lang w:val="es-AR"/>
              </w:rPr>
              <w:t>15-12-1977</w:t>
            </w:r>
          </w:p>
        </w:tc>
        <w:tc>
          <w:tcPr>
            <w:tcW w:w="1954" w:type="dxa"/>
          </w:tcPr>
          <w:p w14:paraId="114327EF" w14:textId="0D85BE5B" w:rsidR="006D23A9" w:rsidRPr="007213A1" w:rsidRDefault="006D23A9" w:rsidP="006D23A9">
            <w:pPr>
              <w:widowControl w:val="0"/>
              <w:jc w:val="center"/>
              <w:rPr>
                <w:color w:val="000000"/>
                <w:sz w:val="20"/>
                <w:szCs w:val="20"/>
                <w:lang w:val="es-AR"/>
              </w:rPr>
            </w:pPr>
            <w:r w:rsidRPr="007213A1">
              <w:rPr>
                <w:color w:val="000000"/>
                <w:sz w:val="20"/>
                <w:szCs w:val="20"/>
                <w:lang w:val="es-AR"/>
              </w:rPr>
              <w:t>4 –10</w:t>
            </w:r>
          </w:p>
        </w:tc>
        <w:tc>
          <w:tcPr>
            <w:tcW w:w="2024" w:type="dxa"/>
          </w:tcPr>
          <w:p w14:paraId="585FC1A8" w14:textId="5EE47290" w:rsidR="006D23A9" w:rsidRPr="007213A1" w:rsidRDefault="006D23A9" w:rsidP="006D23A9">
            <w:pPr>
              <w:widowControl w:val="0"/>
              <w:jc w:val="center"/>
              <w:rPr>
                <w:color w:val="000000"/>
                <w:sz w:val="20"/>
                <w:szCs w:val="20"/>
                <w:lang w:val="es-AR"/>
              </w:rPr>
            </w:pPr>
            <w:r w:rsidRPr="007213A1">
              <w:rPr>
                <w:color w:val="000000"/>
                <w:sz w:val="20"/>
                <w:szCs w:val="20"/>
                <w:lang w:val="es-AR"/>
              </w:rPr>
              <w:t>17-05-1978</w:t>
            </w:r>
          </w:p>
        </w:tc>
      </w:tr>
      <w:tr w:rsidR="006D23A9" w:rsidRPr="007213A1" w14:paraId="4C6EA726" w14:textId="77777777" w:rsidTr="00BA304B">
        <w:trPr>
          <w:trHeight w:val="20"/>
          <w:jc w:val="center"/>
        </w:trPr>
        <w:tc>
          <w:tcPr>
            <w:tcW w:w="2520" w:type="dxa"/>
          </w:tcPr>
          <w:p w14:paraId="3237608B" w14:textId="7D0BDF6B" w:rsidR="006D23A9" w:rsidRPr="007213A1" w:rsidRDefault="006D23A9" w:rsidP="006D23A9">
            <w:pPr>
              <w:widowControl w:val="0"/>
              <w:jc w:val="center"/>
              <w:rPr>
                <w:color w:val="000000"/>
                <w:sz w:val="20"/>
                <w:szCs w:val="20"/>
                <w:lang w:val="es-AR"/>
              </w:rPr>
            </w:pPr>
            <w:r w:rsidRPr="007213A1">
              <w:rPr>
                <w:color w:val="000000"/>
                <w:sz w:val="20"/>
                <w:szCs w:val="20"/>
                <w:lang w:val="es-AR"/>
              </w:rPr>
              <w:t>11-</w:t>
            </w:r>
            <w:r>
              <w:rPr>
                <w:color w:val="000000"/>
                <w:sz w:val="20"/>
                <w:szCs w:val="20"/>
                <w:lang w:val="es-AR"/>
              </w:rPr>
              <w:t>0</w:t>
            </w:r>
            <w:r w:rsidRPr="007213A1">
              <w:rPr>
                <w:color w:val="000000"/>
                <w:sz w:val="20"/>
                <w:szCs w:val="20"/>
                <w:lang w:val="es-AR"/>
              </w:rPr>
              <w:t>9-1980</w:t>
            </w:r>
          </w:p>
        </w:tc>
        <w:tc>
          <w:tcPr>
            <w:tcW w:w="1954" w:type="dxa"/>
          </w:tcPr>
          <w:p w14:paraId="117F91EF" w14:textId="4B86F54B" w:rsidR="006D23A9" w:rsidRPr="007213A1" w:rsidRDefault="006D23A9" w:rsidP="006D23A9">
            <w:pPr>
              <w:widowControl w:val="0"/>
              <w:jc w:val="center"/>
              <w:rPr>
                <w:color w:val="000000"/>
                <w:sz w:val="20"/>
                <w:szCs w:val="20"/>
                <w:lang w:val="es-AR"/>
              </w:rPr>
            </w:pPr>
            <w:r w:rsidRPr="007213A1">
              <w:rPr>
                <w:color w:val="000000"/>
                <w:sz w:val="20"/>
                <w:szCs w:val="20"/>
                <w:lang w:val="es-AR"/>
              </w:rPr>
              <w:t>3</w:t>
            </w:r>
          </w:p>
        </w:tc>
        <w:tc>
          <w:tcPr>
            <w:tcW w:w="2024" w:type="dxa"/>
          </w:tcPr>
          <w:p w14:paraId="660E44B4" w14:textId="137D2DF8" w:rsidR="006D23A9" w:rsidRPr="007213A1" w:rsidRDefault="006D23A9" w:rsidP="006D23A9">
            <w:pPr>
              <w:widowControl w:val="0"/>
              <w:jc w:val="center"/>
              <w:rPr>
                <w:color w:val="000000"/>
                <w:sz w:val="20"/>
                <w:szCs w:val="20"/>
                <w:lang w:val="es-AR"/>
              </w:rPr>
            </w:pPr>
            <w:r w:rsidRPr="007213A1">
              <w:rPr>
                <w:color w:val="000000"/>
                <w:sz w:val="20"/>
                <w:szCs w:val="20"/>
                <w:lang w:val="es-AR"/>
              </w:rPr>
              <w:t>31-07-1981</w:t>
            </w:r>
          </w:p>
        </w:tc>
      </w:tr>
      <w:tr w:rsidR="006D23A9" w:rsidRPr="007213A1" w14:paraId="137FD636" w14:textId="77777777" w:rsidTr="00BA304B">
        <w:trPr>
          <w:trHeight w:val="20"/>
          <w:jc w:val="center"/>
        </w:trPr>
        <w:tc>
          <w:tcPr>
            <w:tcW w:w="2520" w:type="dxa"/>
          </w:tcPr>
          <w:p w14:paraId="4C0F3D03" w14:textId="44592FE7" w:rsidR="006D23A9" w:rsidRPr="007213A1" w:rsidRDefault="006D23A9" w:rsidP="006D23A9">
            <w:pPr>
              <w:widowControl w:val="0"/>
              <w:jc w:val="center"/>
              <w:rPr>
                <w:color w:val="000000"/>
                <w:sz w:val="20"/>
                <w:szCs w:val="20"/>
                <w:lang w:val="es-AR"/>
              </w:rPr>
            </w:pPr>
            <w:r w:rsidRPr="007213A1">
              <w:rPr>
                <w:color w:val="000000"/>
                <w:sz w:val="20"/>
                <w:szCs w:val="20"/>
                <w:lang w:val="es-AR"/>
              </w:rPr>
              <w:t>17-12-1982</w:t>
            </w:r>
          </w:p>
        </w:tc>
        <w:tc>
          <w:tcPr>
            <w:tcW w:w="1954" w:type="dxa"/>
          </w:tcPr>
          <w:p w14:paraId="7FA47E9E" w14:textId="2C8F7C39" w:rsidR="006D23A9" w:rsidRPr="007213A1" w:rsidRDefault="006D23A9" w:rsidP="006D23A9">
            <w:pPr>
              <w:widowControl w:val="0"/>
              <w:jc w:val="center"/>
              <w:rPr>
                <w:color w:val="000000"/>
                <w:sz w:val="20"/>
                <w:szCs w:val="20"/>
                <w:lang w:val="es-AR"/>
              </w:rPr>
            </w:pPr>
            <w:r w:rsidRPr="007213A1">
              <w:rPr>
                <w:color w:val="000000"/>
                <w:sz w:val="20"/>
                <w:szCs w:val="20"/>
                <w:lang w:val="es-AR"/>
              </w:rPr>
              <w:t>4</w:t>
            </w:r>
          </w:p>
        </w:tc>
        <w:tc>
          <w:tcPr>
            <w:tcW w:w="2024" w:type="dxa"/>
          </w:tcPr>
          <w:p w14:paraId="649A6E21" w14:textId="179D5F3E" w:rsidR="006D23A9" w:rsidRPr="007213A1" w:rsidRDefault="006D23A9" w:rsidP="006D23A9">
            <w:pPr>
              <w:widowControl w:val="0"/>
              <w:jc w:val="center"/>
              <w:rPr>
                <w:color w:val="000000"/>
                <w:sz w:val="20"/>
                <w:szCs w:val="20"/>
                <w:lang w:val="es-AR"/>
              </w:rPr>
            </w:pPr>
            <w:r w:rsidRPr="007213A1">
              <w:rPr>
                <w:color w:val="000000"/>
                <w:sz w:val="20"/>
                <w:szCs w:val="20"/>
                <w:lang w:val="es-AR"/>
              </w:rPr>
              <w:t>03-08-1983</w:t>
            </w:r>
          </w:p>
        </w:tc>
      </w:tr>
      <w:tr w:rsidR="006D23A9" w:rsidRPr="007213A1" w14:paraId="0202AD26" w14:textId="77777777" w:rsidTr="00BA304B">
        <w:trPr>
          <w:trHeight w:val="20"/>
          <w:jc w:val="center"/>
        </w:trPr>
        <w:tc>
          <w:tcPr>
            <w:tcW w:w="2520" w:type="dxa"/>
          </w:tcPr>
          <w:p w14:paraId="2A499083" w14:textId="0B5B7A69" w:rsidR="006D23A9" w:rsidRPr="007213A1" w:rsidRDefault="006D23A9" w:rsidP="006D23A9">
            <w:pPr>
              <w:widowControl w:val="0"/>
              <w:jc w:val="center"/>
              <w:rPr>
                <w:color w:val="000000"/>
                <w:sz w:val="20"/>
                <w:szCs w:val="20"/>
                <w:lang w:val="es-AR"/>
              </w:rPr>
            </w:pPr>
            <w:r w:rsidRPr="007213A1">
              <w:rPr>
                <w:color w:val="000000"/>
                <w:sz w:val="20"/>
                <w:szCs w:val="20"/>
                <w:lang w:val="es-AR"/>
              </w:rPr>
              <w:t>26-10-1983</w:t>
            </w:r>
          </w:p>
        </w:tc>
        <w:tc>
          <w:tcPr>
            <w:tcW w:w="1954" w:type="dxa"/>
          </w:tcPr>
          <w:p w14:paraId="6339C296" w14:textId="4F73BA0D" w:rsidR="006D23A9" w:rsidRPr="007213A1" w:rsidRDefault="006D23A9" w:rsidP="006D23A9">
            <w:pPr>
              <w:widowControl w:val="0"/>
              <w:jc w:val="center"/>
              <w:rPr>
                <w:color w:val="000000"/>
                <w:sz w:val="20"/>
                <w:szCs w:val="20"/>
                <w:lang w:val="es-AR"/>
              </w:rPr>
            </w:pPr>
            <w:r w:rsidRPr="007213A1">
              <w:rPr>
                <w:color w:val="000000"/>
                <w:sz w:val="20"/>
                <w:szCs w:val="20"/>
                <w:lang w:val="es-AR"/>
              </w:rPr>
              <w:t xml:space="preserve">11 - 4 </w:t>
            </w:r>
          </w:p>
        </w:tc>
        <w:tc>
          <w:tcPr>
            <w:tcW w:w="2024" w:type="dxa"/>
          </w:tcPr>
          <w:p w14:paraId="39EADBE5" w14:textId="25B56F7F" w:rsidR="006D23A9" w:rsidRPr="007213A1" w:rsidRDefault="006D23A9" w:rsidP="006D23A9">
            <w:pPr>
              <w:widowControl w:val="0"/>
              <w:jc w:val="center"/>
              <w:rPr>
                <w:color w:val="000000"/>
                <w:sz w:val="20"/>
                <w:szCs w:val="20"/>
                <w:lang w:val="es-AR"/>
              </w:rPr>
            </w:pPr>
            <w:r w:rsidRPr="007213A1">
              <w:rPr>
                <w:color w:val="000000"/>
                <w:sz w:val="20"/>
                <w:szCs w:val="20"/>
                <w:lang w:val="es-AR"/>
              </w:rPr>
              <w:t>07-05-1984</w:t>
            </w:r>
          </w:p>
        </w:tc>
      </w:tr>
      <w:tr w:rsidR="006D23A9" w:rsidRPr="007213A1" w14:paraId="71C92C0E" w14:textId="77777777" w:rsidTr="00BA304B">
        <w:trPr>
          <w:trHeight w:val="20"/>
          <w:jc w:val="center"/>
        </w:trPr>
        <w:tc>
          <w:tcPr>
            <w:tcW w:w="2520" w:type="dxa"/>
          </w:tcPr>
          <w:p w14:paraId="3BB92CD3" w14:textId="3C832EC2" w:rsidR="006D23A9" w:rsidRPr="007213A1" w:rsidRDefault="006D23A9" w:rsidP="006D23A9">
            <w:pPr>
              <w:widowControl w:val="0"/>
              <w:jc w:val="center"/>
              <w:rPr>
                <w:color w:val="000000"/>
                <w:sz w:val="20"/>
                <w:szCs w:val="20"/>
                <w:lang w:val="es-AR"/>
              </w:rPr>
            </w:pPr>
            <w:r>
              <w:rPr>
                <w:color w:val="000000"/>
                <w:sz w:val="20"/>
                <w:szCs w:val="20"/>
                <w:lang w:val="es-AR"/>
              </w:rPr>
              <w:t>0</w:t>
            </w:r>
            <w:r w:rsidRPr="007213A1">
              <w:rPr>
                <w:color w:val="000000"/>
                <w:sz w:val="20"/>
                <w:szCs w:val="20"/>
                <w:lang w:val="es-AR"/>
              </w:rPr>
              <w:t>3-</w:t>
            </w:r>
            <w:r>
              <w:rPr>
                <w:color w:val="000000"/>
                <w:sz w:val="20"/>
                <w:szCs w:val="20"/>
                <w:lang w:val="es-AR"/>
              </w:rPr>
              <w:t>0</w:t>
            </w:r>
            <w:r w:rsidRPr="007213A1">
              <w:rPr>
                <w:color w:val="000000"/>
                <w:sz w:val="20"/>
                <w:szCs w:val="20"/>
                <w:lang w:val="es-AR"/>
              </w:rPr>
              <w:t>9-1987</w:t>
            </w:r>
          </w:p>
        </w:tc>
        <w:tc>
          <w:tcPr>
            <w:tcW w:w="1954" w:type="dxa"/>
          </w:tcPr>
          <w:p w14:paraId="49F95FF7" w14:textId="0FA5973B" w:rsidR="006D23A9" w:rsidRPr="007213A1" w:rsidRDefault="006D23A9" w:rsidP="006D23A9">
            <w:pPr>
              <w:widowControl w:val="0"/>
              <w:jc w:val="center"/>
              <w:rPr>
                <w:color w:val="000000"/>
                <w:sz w:val="20"/>
                <w:szCs w:val="20"/>
                <w:lang w:val="es-AR"/>
              </w:rPr>
            </w:pPr>
            <w:r w:rsidRPr="007213A1">
              <w:rPr>
                <w:color w:val="000000"/>
                <w:sz w:val="20"/>
                <w:szCs w:val="20"/>
                <w:lang w:val="es-AR"/>
              </w:rPr>
              <w:t>1-4- 7-11-13-14-16-17-23</w:t>
            </w:r>
          </w:p>
        </w:tc>
        <w:tc>
          <w:tcPr>
            <w:tcW w:w="2024" w:type="dxa"/>
          </w:tcPr>
          <w:p w14:paraId="7EE351E1" w14:textId="5EA7623C" w:rsidR="006D23A9" w:rsidRPr="007213A1" w:rsidRDefault="006D23A9" w:rsidP="006D23A9">
            <w:pPr>
              <w:widowControl w:val="0"/>
              <w:jc w:val="center"/>
              <w:rPr>
                <w:color w:val="000000"/>
                <w:sz w:val="20"/>
                <w:szCs w:val="20"/>
                <w:lang w:val="es-AR"/>
              </w:rPr>
            </w:pPr>
            <w:r w:rsidRPr="007213A1">
              <w:rPr>
                <w:color w:val="000000"/>
                <w:sz w:val="20"/>
                <w:szCs w:val="20"/>
                <w:lang w:val="es-AR"/>
              </w:rPr>
              <w:t>05/07/1988</w:t>
            </w:r>
          </w:p>
        </w:tc>
      </w:tr>
      <w:tr w:rsidR="006D23A9" w:rsidRPr="007213A1" w14:paraId="0C9764CE" w14:textId="77777777" w:rsidTr="00BA304B">
        <w:trPr>
          <w:trHeight w:val="20"/>
          <w:jc w:val="center"/>
        </w:trPr>
        <w:tc>
          <w:tcPr>
            <w:tcW w:w="2520" w:type="dxa"/>
          </w:tcPr>
          <w:p w14:paraId="4DAC1716" w14:textId="567093A7" w:rsidR="006D23A9" w:rsidRPr="007213A1" w:rsidRDefault="006D23A9" w:rsidP="006D23A9">
            <w:pPr>
              <w:widowControl w:val="0"/>
              <w:jc w:val="center"/>
              <w:rPr>
                <w:color w:val="000000"/>
                <w:sz w:val="20"/>
                <w:szCs w:val="20"/>
                <w:lang w:val="es-AR"/>
              </w:rPr>
            </w:pPr>
            <w:r w:rsidRPr="007213A1">
              <w:rPr>
                <w:color w:val="000000"/>
                <w:sz w:val="20"/>
                <w:szCs w:val="20"/>
                <w:lang w:val="es-AR"/>
              </w:rPr>
              <w:t>23-</w:t>
            </w:r>
            <w:r>
              <w:rPr>
                <w:color w:val="000000"/>
                <w:sz w:val="20"/>
                <w:szCs w:val="20"/>
                <w:lang w:val="es-AR"/>
              </w:rPr>
              <w:t>0</w:t>
            </w:r>
            <w:r w:rsidRPr="007213A1">
              <w:rPr>
                <w:color w:val="000000"/>
                <w:sz w:val="20"/>
                <w:szCs w:val="20"/>
                <w:lang w:val="es-AR"/>
              </w:rPr>
              <w:t>8-2001</w:t>
            </w:r>
          </w:p>
        </w:tc>
        <w:tc>
          <w:tcPr>
            <w:tcW w:w="1954" w:type="dxa"/>
          </w:tcPr>
          <w:p w14:paraId="5DFE8686" w14:textId="37DD512C" w:rsidR="006D23A9" w:rsidRPr="007213A1" w:rsidRDefault="006D23A9" w:rsidP="006D23A9">
            <w:pPr>
              <w:widowControl w:val="0"/>
              <w:jc w:val="center"/>
              <w:rPr>
                <w:color w:val="000000"/>
                <w:sz w:val="20"/>
                <w:szCs w:val="20"/>
                <w:lang w:val="es-AR"/>
              </w:rPr>
            </w:pPr>
            <w:r w:rsidRPr="007213A1">
              <w:rPr>
                <w:color w:val="000000"/>
                <w:sz w:val="20"/>
                <w:szCs w:val="20"/>
                <w:lang w:val="es-AR"/>
              </w:rPr>
              <w:t>25</w:t>
            </w:r>
          </w:p>
        </w:tc>
        <w:tc>
          <w:tcPr>
            <w:tcW w:w="2024" w:type="dxa"/>
          </w:tcPr>
          <w:p w14:paraId="087BB33A" w14:textId="407FE737" w:rsidR="006D23A9" w:rsidRPr="007213A1" w:rsidRDefault="006D23A9" w:rsidP="006D23A9">
            <w:pPr>
              <w:widowControl w:val="0"/>
              <w:jc w:val="center"/>
              <w:rPr>
                <w:color w:val="000000"/>
                <w:sz w:val="20"/>
                <w:szCs w:val="20"/>
                <w:lang w:val="es-AR"/>
              </w:rPr>
            </w:pPr>
            <w:r w:rsidRPr="007213A1">
              <w:rPr>
                <w:color w:val="000000"/>
                <w:sz w:val="20"/>
                <w:szCs w:val="20"/>
                <w:lang w:val="es-AR"/>
              </w:rPr>
              <w:t>17-10-2002</w:t>
            </w:r>
          </w:p>
        </w:tc>
      </w:tr>
      <w:tr w:rsidR="006D23A9" w:rsidRPr="007213A1" w14:paraId="594FD2B3" w14:textId="77777777" w:rsidTr="00BA304B">
        <w:trPr>
          <w:trHeight w:val="20"/>
          <w:jc w:val="center"/>
        </w:trPr>
        <w:tc>
          <w:tcPr>
            <w:tcW w:w="2520" w:type="dxa"/>
          </w:tcPr>
          <w:p w14:paraId="6D1541E7" w14:textId="77777777" w:rsidR="006D23A9" w:rsidRPr="007213A1" w:rsidRDefault="006D23A9" w:rsidP="006D23A9">
            <w:pPr>
              <w:widowControl w:val="0"/>
              <w:jc w:val="center"/>
              <w:rPr>
                <w:color w:val="000000"/>
                <w:sz w:val="20"/>
                <w:szCs w:val="20"/>
                <w:lang w:val="es-AR"/>
              </w:rPr>
            </w:pPr>
            <w:r w:rsidRPr="007213A1">
              <w:rPr>
                <w:color w:val="000000"/>
                <w:sz w:val="20"/>
                <w:szCs w:val="20"/>
                <w:lang w:val="es-AR"/>
              </w:rPr>
              <w:t>19-</w:t>
            </w:r>
            <w:r>
              <w:rPr>
                <w:color w:val="000000"/>
                <w:sz w:val="20"/>
                <w:szCs w:val="20"/>
                <w:lang w:val="es-AR"/>
              </w:rPr>
              <w:t>0</w:t>
            </w:r>
            <w:r w:rsidRPr="007213A1">
              <w:rPr>
                <w:color w:val="000000"/>
                <w:sz w:val="20"/>
                <w:szCs w:val="20"/>
                <w:lang w:val="es-AR"/>
              </w:rPr>
              <w:t>8-2009</w:t>
            </w:r>
          </w:p>
          <w:p w14:paraId="638E3606" w14:textId="77777777" w:rsidR="006D23A9" w:rsidRDefault="006D23A9" w:rsidP="006D23A9">
            <w:pPr>
              <w:widowControl w:val="0"/>
              <w:jc w:val="center"/>
              <w:rPr>
                <w:color w:val="000000"/>
                <w:sz w:val="20"/>
                <w:szCs w:val="20"/>
                <w:lang w:val="es-AR"/>
              </w:rPr>
            </w:pPr>
            <w:r w:rsidRPr="007213A1">
              <w:rPr>
                <w:color w:val="000000"/>
                <w:sz w:val="20"/>
                <w:szCs w:val="20"/>
                <w:lang w:val="es-AR"/>
              </w:rPr>
              <w:t>24-11-2011</w:t>
            </w:r>
          </w:p>
          <w:p w14:paraId="61BB6ECD" w14:textId="77777777" w:rsidR="006D23A9" w:rsidRDefault="006D23A9" w:rsidP="006D23A9">
            <w:pPr>
              <w:widowControl w:val="0"/>
              <w:jc w:val="center"/>
              <w:rPr>
                <w:color w:val="000000"/>
                <w:sz w:val="20"/>
                <w:szCs w:val="20"/>
                <w:lang w:val="es-AR"/>
              </w:rPr>
            </w:pPr>
          </w:p>
          <w:p w14:paraId="6E969A84" w14:textId="77777777" w:rsidR="006D23A9" w:rsidRDefault="006D23A9" w:rsidP="006D23A9">
            <w:pPr>
              <w:widowControl w:val="0"/>
              <w:jc w:val="center"/>
              <w:rPr>
                <w:color w:val="000000"/>
                <w:sz w:val="20"/>
                <w:szCs w:val="20"/>
                <w:lang w:val="es-AR"/>
              </w:rPr>
            </w:pPr>
            <w:r>
              <w:rPr>
                <w:color w:val="000000"/>
                <w:sz w:val="20"/>
                <w:szCs w:val="20"/>
                <w:lang w:val="es-AR"/>
              </w:rPr>
              <w:t>25-09-2015</w:t>
            </w:r>
          </w:p>
          <w:p w14:paraId="37D11FA3" w14:textId="7C0D846D" w:rsidR="006D23A9" w:rsidRPr="007213A1" w:rsidRDefault="006D23A9" w:rsidP="006D23A9">
            <w:pPr>
              <w:widowControl w:val="0"/>
              <w:jc w:val="center"/>
              <w:rPr>
                <w:color w:val="000000"/>
                <w:sz w:val="20"/>
                <w:szCs w:val="20"/>
                <w:lang w:val="es-AR"/>
              </w:rPr>
            </w:pPr>
            <w:r>
              <w:rPr>
                <w:color w:val="000000"/>
                <w:sz w:val="20"/>
                <w:szCs w:val="20"/>
                <w:lang w:val="es-AR"/>
              </w:rPr>
              <w:t>22-09-2017</w:t>
            </w:r>
          </w:p>
        </w:tc>
        <w:tc>
          <w:tcPr>
            <w:tcW w:w="1954" w:type="dxa"/>
          </w:tcPr>
          <w:p w14:paraId="342A94F6" w14:textId="77777777" w:rsidR="006D23A9" w:rsidRPr="007213A1" w:rsidRDefault="006D23A9" w:rsidP="006D23A9">
            <w:pPr>
              <w:widowControl w:val="0"/>
              <w:jc w:val="center"/>
              <w:rPr>
                <w:color w:val="000000"/>
                <w:sz w:val="20"/>
                <w:szCs w:val="20"/>
                <w:lang w:val="es-AR"/>
              </w:rPr>
            </w:pPr>
            <w:r w:rsidRPr="007213A1">
              <w:rPr>
                <w:color w:val="000000"/>
                <w:sz w:val="20"/>
                <w:szCs w:val="20"/>
                <w:lang w:val="es-AR"/>
              </w:rPr>
              <w:t>20</w:t>
            </w:r>
          </w:p>
          <w:p w14:paraId="60A17343" w14:textId="77777777" w:rsidR="006D23A9" w:rsidRDefault="006D23A9" w:rsidP="006D23A9">
            <w:pPr>
              <w:widowControl w:val="0"/>
              <w:jc w:val="center"/>
              <w:rPr>
                <w:color w:val="000000"/>
                <w:sz w:val="20"/>
                <w:szCs w:val="20"/>
                <w:lang w:val="es-AR"/>
              </w:rPr>
            </w:pPr>
            <w:r w:rsidRPr="007213A1">
              <w:rPr>
                <w:color w:val="000000"/>
                <w:sz w:val="20"/>
                <w:szCs w:val="20"/>
                <w:lang w:val="es-AR"/>
              </w:rPr>
              <w:t>1-2-3-4-5-7-10-11-12-13-14-16-17-18-23</w:t>
            </w:r>
          </w:p>
          <w:p w14:paraId="2CCFBFA3" w14:textId="77777777" w:rsidR="006D23A9" w:rsidRDefault="006D23A9" w:rsidP="006D23A9">
            <w:pPr>
              <w:widowControl w:val="0"/>
              <w:jc w:val="center"/>
              <w:rPr>
                <w:color w:val="000000"/>
                <w:sz w:val="20"/>
                <w:szCs w:val="20"/>
                <w:lang w:val="es-AR"/>
              </w:rPr>
            </w:pPr>
            <w:r>
              <w:rPr>
                <w:color w:val="000000"/>
                <w:sz w:val="20"/>
                <w:szCs w:val="20"/>
                <w:lang w:val="es-AR"/>
              </w:rPr>
              <w:t>4</w:t>
            </w:r>
          </w:p>
          <w:p w14:paraId="572CB8C9" w14:textId="1E112C06" w:rsidR="006D23A9" w:rsidRPr="007213A1" w:rsidRDefault="006D23A9" w:rsidP="006D23A9">
            <w:pPr>
              <w:widowControl w:val="0"/>
              <w:jc w:val="center"/>
              <w:rPr>
                <w:color w:val="000000"/>
                <w:sz w:val="20"/>
                <w:szCs w:val="20"/>
                <w:lang w:val="es-AR"/>
              </w:rPr>
            </w:pPr>
            <w:r>
              <w:rPr>
                <w:color w:val="000000"/>
                <w:sz w:val="20"/>
                <w:szCs w:val="20"/>
                <w:lang w:val="es-AR"/>
              </w:rPr>
              <w:t>7-14-16</w:t>
            </w:r>
          </w:p>
        </w:tc>
        <w:tc>
          <w:tcPr>
            <w:tcW w:w="2024" w:type="dxa"/>
          </w:tcPr>
          <w:p w14:paraId="17A4900D" w14:textId="77777777" w:rsidR="006D23A9" w:rsidRPr="007213A1" w:rsidRDefault="006D23A9" w:rsidP="006D23A9">
            <w:pPr>
              <w:widowControl w:val="0"/>
              <w:jc w:val="center"/>
              <w:rPr>
                <w:color w:val="000000"/>
                <w:sz w:val="20"/>
                <w:szCs w:val="20"/>
                <w:lang w:val="es-AR"/>
              </w:rPr>
            </w:pPr>
            <w:r w:rsidRPr="007213A1">
              <w:rPr>
                <w:color w:val="000000"/>
                <w:sz w:val="20"/>
                <w:szCs w:val="20"/>
                <w:lang w:val="es-AR"/>
              </w:rPr>
              <w:t>20-10-2009</w:t>
            </w:r>
          </w:p>
          <w:p w14:paraId="1F3709E8" w14:textId="77777777" w:rsidR="006D23A9" w:rsidRDefault="006D23A9" w:rsidP="006D23A9">
            <w:pPr>
              <w:widowControl w:val="0"/>
              <w:jc w:val="center"/>
              <w:rPr>
                <w:color w:val="000000"/>
                <w:sz w:val="20"/>
                <w:szCs w:val="20"/>
                <w:lang w:val="es-AR"/>
              </w:rPr>
            </w:pPr>
            <w:r w:rsidRPr="007213A1">
              <w:rPr>
                <w:color w:val="000000"/>
                <w:sz w:val="20"/>
                <w:szCs w:val="20"/>
                <w:lang w:val="es-AR"/>
              </w:rPr>
              <w:t>27-03-2012</w:t>
            </w:r>
          </w:p>
          <w:p w14:paraId="1D83D230" w14:textId="77777777" w:rsidR="006D23A9" w:rsidRDefault="006D23A9" w:rsidP="006D23A9">
            <w:pPr>
              <w:widowControl w:val="0"/>
              <w:jc w:val="center"/>
              <w:rPr>
                <w:color w:val="000000"/>
                <w:sz w:val="20"/>
                <w:szCs w:val="20"/>
                <w:lang w:val="es-AR"/>
              </w:rPr>
            </w:pPr>
          </w:p>
          <w:p w14:paraId="65234B29" w14:textId="77777777" w:rsidR="006D23A9" w:rsidRDefault="006D23A9" w:rsidP="006D23A9">
            <w:pPr>
              <w:widowControl w:val="0"/>
              <w:jc w:val="center"/>
              <w:rPr>
                <w:color w:val="000000"/>
                <w:sz w:val="20"/>
                <w:szCs w:val="20"/>
                <w:lang w:val="es-AR"/>
              </w:rPr>
            </w:pPr>
            <w:r>
              <w:rPr>
                <w:color w:val="000000"/>
                <w:sz w:val="20"/>
                <w:szCs w:val="20"/>
                <w:lang w:val="es-AR"/>
              </w:rPr>
              <w:t>03-06-2016</w:t>
            </w:r>
          </w:p>
          <w:p w14:paraId="18719AE4" w14:textId="7BF6B651" w:rsidR="006D23A9" w:rsidRPr="007213A1" w:rsidRDefault="006D23A9" w:rsidP="006D23A9">
            <w:pPr>
              <w:widowControl w:val="0"/>
              <w:jc w:val="center"/>
              <w:rPr>
                <w:color w:val="000000"/>
                <w:sz w:val="20"/>
                <w:szCs w:val="20"/>
                <w:lang w:val="es-AR"/>
              </w:rPr>
            </w:pPr>
            <w:r>
              <w:rPr>
                <w:color w:val="000000"/>
                <w:sz w:val="20"/>
                <w:szCs w:val="20"/>
                <w:lang w:val="es-AR"/>
              </w:rPr>
              <w:t>12-12-2018</w:t>
            </w:r>
          </w:p>
        </w:tc>
      </w:tr>
      <w:tr w:rsidR="00D72818" w:rsidRPr="007213A1" w14:paraId="7CB51B10" w14:textId="77777777" w:rsidTr="00BA304B">
        <w:trPr>
          <w:trHeight w:val="20"/>
          <w:jc w:val="center"/>
        </w:trPr>
        <w:tc>
          <w:tcPr>
            <w:tcW w:w="2520" w:type="dxa"/>
            <w:tcBorders>
              <w:bottom w:val="single" w:sz="4" w:space="0" w:color="auto"/>
            </w:tcBorders>
          </w:tcPr>
          <w:p w14:paraId="2CF75C1E" w14:textId="75F51E31" w:rsidR="00D72818" w:rsidRPr="007213A1" w:rsidRDefault="00D72818" w:rsidP="006D23A9">
            <w:pPr>
              <w:widowControl w:val="0"/>
              <w:jc w:val="center"/>
              <w:rPr>
                <w:color w:val="000000"/>
                <w:sz w:val="20"/>
                <w:szCs w:val="20"/>
                <w:lang w:val="es-AR"/>
              </w:rPr>
            </w:pPr>
            <w:r>
              <w:rPr>
                <w:color w:val="000000"/>
                <w:sz w:val="20"/>
                <w:szCs w:val="20"/>
                <w:lang w:val="es-AR"/>
              </w:rPr>
              <w:t>29-10-2019</w:t>
            </w:r>
          </w:p>
        </w:tc>
        <w:tc>
          <w:tcPr>
            <w:tcW w:w="1954" w:type="dxa"/>
            <w:tcBorders>
              <w:bottom w:val="single" w:sz="4" w:space="0" w:color="auto"/>
            </w:tcBorders>
          </w:tcPr>
          <w:p w14:paraId="2895C590" w14:textId="5794372F" w:rsidR="00D72818" w:rsidRPr="007213A1" w:rsidRDefault="00D72818" w:rsidP="006D23A9">
            <w:pPr>
              <w:widowControl w:val="0"/>
              <w:jc w:val="center"/>
              <w:rPr>
                <w:color w:val="000000"/>
                <w:sz w:val="20"/>
                <w:szCs w:val="20"/>
                <w:lang w:val="es-AR"/>
              </w:rPr>
            </w:pPr>
            <w:r>
              <w:rPr>
                <w:color w:val="000000"/>
                <w:sz w:val="20"/>
                <w:szCs w:val="20"/>
                <w:lang w:val="es-AR"/>
              </w:rPr>
              <w:t>4</w:t>
            </w:r>
          </w:p>
        </w:tc>
        <w:tc>
          <w:tcPr>
            <w:tcW w:w="2024" w:type="dxa"/>
            <w:tcBorders>
              <w:bottom w:val="single" w:sz="4" w:space="0" w:color="auto"/>
            </w:tcBorders>
          </w:tcPr>
          <w:p w14:paraId="14C8F6EA" w14:textId="497D7F1C" w:rsidR="00D72818" w:rsidRPr="007213A1" w:rsidRDefault="003258D5" w:rsidP="006D23A9">
            <w:pPr>
              <w:widowControl w:val="0"/>
              <w:jc w:val="center"/>
              <w:rPr>
                <w:color w:val="000000"/>
                <w:sz w:val="20"/>
                <w:szCs w:val="20"/>
                <w:lang w:val="es-AR"/>
              </w:rPr>
            </w:pPr>
            <w:r>
              <w:rPr>
                <w:color w:val="000000"/>
                <w:sz w:val="20"/>
                <w:szCs w:val="20"/>
                <w:lang w:val="es-AR"/>
              </w:rPr>
              <w:t>*</w:t>
            </w:r>
          </w:p>
        </w:tc>
      </w:tr>
    </w:tbl>
    <w:p w14:paraId="66530DDE" w14:textId="220682ED" w:rsidR="00684BA3" w:rsidRPr="007213A1" w:rsidRDefault="003258D5" w:rsidP="00684BA3">
      <w:pPr>
        <w:pStyle w:val="Tabla"/>
        <w:tabs>
          <w:tab w:val="clear" w:pos="664"/>
        </w:tabs>
        <w:spacing w:before="0" w:after="0"/>
        <w:ind w:right="0"/>
        <w:rPr>
          <w:rFonts w:ascii="Times New Roman" w:hAnsi="Times New Roman"/>
          <w:color w:val="000000"/>
          <w:sz w:val="20"/>
          <w:szCs w:val="20"/>
        </w:rPr>
      </w:pPr>
      <w:r>
        <w:rPr>
          <w:rFonts w:ascii="Times New Roman" w:hAnsi="Times New Roman"/>
          <w:color w:val="000000"/>
          <w:sz w:val="20"/>
          <w:szCs w:val="20"/>
        </w:rPr>
        <w:t>*</w:t>
      </w:r>
      <w:r w:rsidRPr="003F2DB8">
        <w:rPr>
          <w:rFonts w:ascii="Times New Roman" w:hAnsi="Times New Roman"/>
          <w:i/>
          <w:iCs/>
          <w:color w:val="000000"/>
          <w:sz w:val="20"/>
          <w:szCs w:val="20"/>
        </w:rPr>
        <w:t>Pendiente de Inscripción a la fecha del presente Prospecto</w:t>
      </w:r>
    </w:p>
    <w:p w14:paraId="03EB8EC8" w14:textId="77777777" w:rsidR="00C02229" w:rsidRPr="004C2CEC" w:rsidRDefault="00C02229" w:rsidP="00785A78">
      <w:pPr>
        <w:pStyle w:val="Tabla"/>
        <w:tabs>
          <w:tab w:val="clear" w:pos="664"/>
        </w:tabs>
        <w:spacing w:before="0" w:after="0"/>
        <w:ind w:right="0"/>
        <w:rPr>
          <w:rFonts w:ascii="Times New Roman" w:hAnsi="Times New Roman"/>
          <w:color w:val="000000" w:themeColor="text1"/>
          <w:sz w:val="20"/>
        </w:rPr>
      </w:pPr>
    </w:p>
    <w:p w14:paraId="44AEEB14" w14:textId="0115E5A5" w:rsidR="00785A78" w:rsidRPr="00A61C89" w:rsidRDefault="00D72818" w:rsidP="00785A78">
      <w:pPr>
        <w:pStyle w:val="Tabla"/>
        <w:tabs>
          <w:tab w:val="clear" w:pos="664"/>
        </w:tabs>
        <w:spacing w:before="0" w:after="0"/>
        <w:ind w:right="0"/>
        <w:rPr>
          <w:rFonts w:ascii="Times New Roman" w:hAnsi="Times New Roman"/>
          <w:i/>
          <w:iCs/>
          <w:color w:val="000000" w:themeColor="text1"/>
          <w:sz w:val="20"/>
          <w:szCs w:val="20"/>
        </w:rPr>
      </w:pPr>
      <w:r>
        <w:rPr>
          <w:rFonts w:ascii="Times New Roman" w:hAnsi="Times New Roman"/>
          <w:color w:val="000000" w:themeColor="text1"/>
          <w:sz w:val="20"/>
          <w:szCs w:val="20"/>
        </w:rPr>
        <w:t>La reforma establecida el día 22 de septiembre de 2017</w:t>
      </w:r>
      <w:r w:rsidR="00785A78">
        <w:rPr>
          <w:rFonts w:ascii="Times New Roman" w:hAnsi="Times New Roman"/>
          <w:color w:val="000000" w:themeColor="text1"/>
          <w:sz w:val="20"/>
          <w:szCs w:val="20"/>
        </w:rPr>
        <w:t xml:space="preserve"> corresponde a </w:t>
      </w:r>
      <w:r w:rsidR="00C02229">
        <w:rPr>
          <w:rFonts w:ascii="Times New Roman" w:hAnsi="Times New Roman"/>
          <w:color w:val="000000" w:themeColor="text1"/>
          <w:sz w:val="20"/>
          <w:szCs w:val="20"/>
        </w:rPr>
        <w:t>tres</w:t>
      </w:r>
      <w:r w:rsidR="00785A78" w:rsidRPr="00126154">
        <w:rPr>
          <w:rFonts w:ascii="Times New Roman" w:hAnsi="Times New Roman"/>
          <w:color w:val="000000" w:themeColor="text1"/>
          <w:sz w:val="20"/>
          <w:szCs w:val="20"/>
        </w:rPr>
        <w:t xml:space="preserve"> Artículos del Estatuto Social vigente de INVAP, lo cual fue resuelto por Asamblea Extraordinaria de Accionistas de la Sociedad, que se celebró el 22 de septiembre de 2017. La misma fue aprobada por la Dirección de Persona Jurídica de la Provincia de Río Negro e inscripta el 12 de diciembre de 2018. </w:t>
      </w:r>
      <w:r w:rsidR="00785A78">
        <w:rPr>
          <w:rFonts w:ascii="Times New Roman" w:hAnsi="Times New Roman"/>
          <w:color w:val="000000" w:themeColor="text1"/>
          <w:sz w:val="20"/>
          <w:szCs w:val="20"/>
        </w:rPr>
        <w:t xml:space="preserve">En el Articulo </w:t>
      </w:r>
      <w:r w:rsidR="00785A78" w:rsidRPr="003606A0">
        <w:rPr>
          <w:rFonts w:ascii="Times New Roman" w:hAnsi="Times New Roman"/>
          <w:color w:val="000000" w:themeColor="text1"/>
          <w:sz w:val="20"/>
          <w:szCs w:val="20"/>
          <w:lang w:val="es-ES_tradnl"/>
        </w:rPr>
        <w:t>ARTÍCULO SÉPTIMO: FORMALIDADES</w:t>
      </w:r>
      <w:r w:rsidR="00785A78" w:rsidRPr="00126154" w:rsidDel="00150DCA">
        <w:rPr>
          <w:rFonts w:ascii="Times New Roman" w:hAnsi="Times New Roman"/>
          <w:color w:val="000000" w:themeColor="text1"/>
          <w:sz w:val="20"/>
          <w:szCs w:val="20"/>
        </w:rPr>
        <w:t xml:space="preserve"> </w:t>
      </w:r>
      <w:r w:rsidR="00785A78" w:rsidRPr="00126154">
        <w:rPr>
          <w:rFonts w:ascii="Times New Roman" w:hAnsi="Times New Roman"/>
          <w:color w:val="000000" w:themeColor="text1"/>
          <w:sz w:val="20"/>
          <w:szCs w:val="20"/>
        </w:rPr>
        <w:t>se reemplaza</w:t>
      </w:r>
      <w:r w:rsidR="00785A78">
        <w:rPr>
          <w:rFonts w:ascii="Times New Roman" w:hAnsi="Times New Roman"/>
          <w:color w:val="000000" w:themeColor="text1"/>
          <w:sz w:val="20"/>
          <w:szCs w:val="20"/>
        </w:rPr>
        <w:t xml:space="preserve"> la mención </w:t>
      </w:r>
      <w:r w:rsidR="00785A78" w:rsidRPr="00126154">
        <w:rPr>
          <w:rFonts w:ascii="Times New Roman" w:hAnsi="Times New Roman"/>
          <w:color w:val="000000" w:themeColor="text1"/>
          <w:sz w:val="20"/>
          <w:szCs w:val="20"/>
        </w:rPr>
        <w:t>al</w:t>
      </w:r>
      <w:r w:rsidR="00785A78">
        <w:rPr>
          <w:rFonts w:ascii="Times New Roman" w:hAnsi="Times New Roman"/>
          <w:color w:val="000000" w:themeColor="text1"/>
          <w:sz w:val="20"/>
          <w:szCs w:val="20"/>
        </w:rPr>
        <w:t xml:space="preserve"> </w:t>
      </w:r>
      <w:r w:rsidR="00785A78" w:rsidRPr="003606A0">
        <w:rPr>
          <w:rFonts w:ascii="Times New Roman" w:hAnsi="Times New Roman"/>
          <w:color w:val="000000" w:themeColor="text1"/>
          <w:sz w:val="20"/>
          <w:szCs w:val="20"/>
          <w:lang w:val="es-ES_tradnl"/>
        </w:rPr>
        <w:t xml:space="preserve">Art. 201 de </w:t>
      </w:r>
      <w:smartTag w:uri="urn:schemas-microsoft-com:office:smarttags" w:element="PersonName">
        <w:smartTagPr>
          <w:attr w:name="ProductID" w:val="la Ley"/>
        </w:smartTagPr>
        <w:r w:rsidR="00785A78" w:rsidRPr="003606A0">
          <w:rPr>
            <w:rFonts w:ascii="Times New Roman" w:hAnsi="Times New Roman"/>
            <w:color w:val="000000" w:themeColor="text1"/>
            <w:sz w:val="20"/>
            <w:szCs w:val="20"/>
            <w:lang w:val="es-ES_tradnl"/>
          </w:rPr>
          <w:t>la Ley</w:t>
        </w:r>
      </w:smartTag>
      <w:r w:rsidR="00785A78" w:rsidRPr="003606A0">
        <w:rPr>
          <w:rFonts w:ascii="Times New Roman" w:hAnsi="Times New Roman"/>
          <w:color w:val="000000" w:themeColor="text1"/>
          <w:sz w:val="20"/>
          <w:szCs w:val="20"/>
          <w:lang w:val="es-ES_tradnl"/>
        </w:rPr>
        <w:t xml:space="preserve"> 19.550</w:t>
      </w:r>
      <w:r w:rsidR="00785A78">
        <w:rPr>
          <w:rFonts w:ascii="Times New Roman" w:hAnsi="Times New Roman"/>
          <w:color w:val="000000" w:themeColor="text1"/>
          <w:sz w:val="20"/>
          <w:szCs w:val="20"/>
          <w:lang w:val="es-ES_tradnl"/>
        </w:rPr>
        <w:t xml:space="preserve"> por el nuevo N° determinado que es el Art. 21</w:t>
      </w:r>
      <w:r w:rsidR="00785A78" w:rsidRPr="003606A0">
        <w:rPr>
          <w:rFonts w:ascii="Times New Roman" w:hAnsi="Times New Roman"/>
          <w:color w:val="000000" w:themeColor="text1"/>
          <w:sz w:val="20"/>
          <w:szCs w:val="20"/>
          <w:lang w:val="es-ES_tradnl"/>
        </w:rPr>
        <w:t>1</w:t>
      </w:r>
      <w:r w:rsidR="00785A78">
        <w:rPr>
          <w:rFonts w:ascii="Times New Roman" w:hAnsi="Times New Roman"/>
          <w:color w:val="000000" w:themeColor="text1"/>
          <w:sz w:val="20"/>
          <w:szCs w:val="20"/>
          <w:lang w:val="es-ES_tradnl"/>
        </w:rPr>
        <w:t xml:space="preserve"> de la misma Ley. Por otro lado, en el Articulo </w:t>
      </w:r>
      <w:r w:rsidR="00785A78" w:rsidRPr="003606A0">
        <w:rPr>
          <w:rFonts w:ascii="Times New Roman" w:hAnsi="Times New Roman"/>
          <w:color w:val="000000" w:themeColor="text1"/>
          <w:sz w:val="20"/>
          <w:szCs w:val="20"/>
          <w:lang w:val="es-ES_tradnl"/>
        </w:rPr>
        <w:t>ARTÍCULO DÉCIMO SEXTO: ATRIBUCIONES</w:t>
      </w:r>
      <w:r w:rsidR="00785A78">
        <w:rPr>
          <w:rFonts w:ascii="Times New Roman" w:hAnsi="Times New Roman"/>
          <w:color w:val="000000" w:themeColor="text1"/>
          <w:sz w:val="20"/>
          <w:szCs w:val="20"/>
        </w:rPr>
        <w:t xml:space="preserve"> se reemplaza la mención al </w:t>
      </w:r>
      <w:r w:rsidR="00785A78" w:rsidRPr="003606A0">
        <w:rPr>
          <w:rFonts w:ascii="Times New Roman" w:hAnsi="Times New Roman"/>
          <w:color w:val="000000" w:themeColor="text1"/>
          <w:sz w:val="20"/>
          <w:szCs w:val="20"/>
          <w:lang w:val="es-ES_tradnl"/>
        </w:rPr>
        <w:t>Art. 1881 del Código Civil</w:t>
      </w:r>
      <w:r w:rsidR="00785A78">
        <w:rPr>
          <w:rFonts w:ascii="Times New Roman" w:hAnsi="Times New Roman"/>
          <w:color w:val="000000" w:themeColor="text1"/>
          <w:sz w:val="20"/>
          <w:szCs w:val="20"/>
        </w:rPr>
        <w:t xml:space="preserve">; el cual fue reemplazado por el </w:t>
      </w:r>
      <w:r w:rsidR="00785A78" w:rsidRPr="00A61C89">
        <w:rPr>
          <w:rFonts w:ascii="Times New Roman" w:hAnsi="Times New Roman"/>
          <w:i/>
          <w:iCs/>
          <w:color w:val="000000" w:themeColor="text1"/>
          <w:sz w:val="20"/>
          <w:szCs w:val="20"/>
        </w:rPr>
        <w:t xml:space="preserve">Art. 375 del </w:t>
      </w:r>
      <w:r w:rsidR="00BA16EA" w:rsidRPr="00A61C89">
        <w:rPr>
          <w:rFonts w:ascii="Times New Roman" w:hAnsi="Times New Roman"/>
          <w:i/>
          <w:iCs/>
          <w:color w:val="000000" w:themeColor="text1"/>
          <w:sz w:val="20"/>
          <w:szCs w:val="20"/>
        </w:rPr>
        <w:t>Código</w:t>
      </w:r>
      <w:r w:rsidR="00785A78" w:rsidRPr="00A61C89">
        <w:rPr>
          <w:rFonts w:ascii="Times New Roman" w:hAnsi="Times New Roman"/>
          <w:i/>
          <w:iCs/>
          <w:color w:val="000000" w:themeColor="text1"/>
          <w:sz w:val="20"/>
          <w:szCs w:val="20"/>
        </w:rPr>
        <w:t xml:space="preserve"> Civil y Comercial de la </w:t>
      </w:r>
      <w:r w:rsidR="00BA16EA" w:rsidRPr="00A61C89">
        <w:rPr>
          <w:rFonts w:ascii="Times New Roman" w:hAnsi="Times New Roman"/>
          <w:i/>
          <w:iCs/>
          <w:color w:val="000000" w:themeColor="text1"/>
          <w:sz w:val="20"/>
          <w:szCs w:val="20"/>
        </w:rPr>
        <w:t>Nación</w:t>
      </w:r>
      <w:r w:rsidR="00785A78" w:rsidRPr="00A61C89">
        <w:rPr>
          <w:rFonts w:ascii="Times New Roman" w:hAnsi="Times New Roman"/>
          <w:i/>
          <w:iCs/>
          <w:color w:val="000000" w:themeColor="text1"/>
          <w:sz w:val="20"/>
          <w:szCs w:val="20"/>
        </w:rPr>
        <w:t>.</w:t>
      </w:r>
    </w:p>
    <w:p w14:paraId="637069C7" w14:textId="77777777" w:rsidR="005B7266" w:rsidRDefault="005B7266" w:rsidP="00785A78">
      <w:pPr>
        <w:pStyle w:val="Tabla"/>
        <w:tabs>
          <w:tab w:val="clear" w:pos="664"/>
        </w:tabs>
        <w:spacing w:before="0" w:after="0"/>
        <w:ind w:right="0"/>
        <w:rPr>
          <w:rFonts w:ascii="Times New Roman" w:hAnsi="Times New Roman"/>
          <w:color w:val="000000"/>
          <w:sz w:val="20"/>
          <w:szCs w:val="20"/>
          <w:lang w:val="es-ES_tradnl"/>
        </w:rPr>
      </w:pPr>
    </w:p>
    <w:p w14:paraId="057D48BE" w14:textId="3780CE20" w:rsidR="00785A78" w:rsidRPr="00126154" w:rsidRDefault="00785A78" w:rsidP="00785A78">
      <w:pPr>
        <w:pStyle w:val="Tabla"/>
        <w:tabs>
          <w:tab w:val="clear" w:pos="664"/>
        </w:tabs>
        <w:spacing w:before="0" w:after="0"/>
        <w:ind w:right="0"/>
        <w:rPr>
          <w:rFonts w:ascii="Times New Roman" w:hAnsi="Times New Roman"/>
          <w:i/>
          <w:color w:val="000000"/>
          <w:sz w:val="20"/>
          <w:szCs w:val="20"/>
        </w:rPr>
      </w:pPr>
      <w:r>
        <w:rPr>
          <w:rFonts w:ascii="Times New Roman" w:hAnsi="Times New Roman"/>
          <w:color w:val="000000"/>
          <w:sz w:val="20"/>
          <w:szCs w:val="20"/>
          <w:lang w:val="es-ES_tradnl"/>
        </w:rPr>
        <w:t xml:space="preserve">Respecto al </w:t>
      </w:r>
      <w:r w:rsidRPr="000F667B">
        <w:rPr>
          <w:rFonts w:ascii="Times New Roman" w:hAnsi="Times New Roman"/>
          <w:color w:val="000000"/>
          <w:sz w:val="20"/>
          <w:szCs w:val="20"/>
          <w:lang w:val="es-ES_tradnl"/>
        </w:rPr>
        <w:t>ARTÍCULO DÉCIMO CUARTO: ADMINISTRACIÓN:</w:t>
      </w:r>
      <w:r>
        <w:rPr>
          <w:rFonts w:ascii="Times New Roman" w:hAnsi="Times New Roman"/>
          <w:color w:val="000000"/>
          <w:sz w:val="20"/>
          <w:szCs w:val="20"/>
          <w:lang w:val="es-ES_tradnl"/>
        </w:rPr>
        <w:t xml:space="preserve"> en lo referido a</w:t>
      </w:r>
      <w:r w:rsidRPr="003606A0" w:rsidDel="00150DCA">
        <w:rPr>
          <w:rFonts w:ascii="Times New Roman" w:hAnsi="Times New Roman"/>
          <w:color w:val="000000"/>
          <w:sz w:val="20"/>
          <w:szCs w:val="20"/>
        </w:rPr>
        <w:t xml:space="preserve"> </w:t>
      </w:r>
      <w:r w:rsidRPr="000F667B">
        <w:rPr>
          <w:rFonts w:ascii="Times New Roman" w:hAnsi="Times New Roman"/>
          <w:color w:val="000000"/>
          <w:sz w:val="20"/>
          <w:szCs w:val="20"/>
          <w:lang w:val="es-ES_tradnl"/>
        </w:rPr>
        <w:t xml:space="preserve">Participación a distancia: </w:t>
      </w:r>
      <w:r>
        <w:rPr>
          <w:rFonts w:ascii="Times New Roman" w:hAnsi="Times New Roman"/>
          <w:color w:val="000000"/>
          <w:sz w:val="20"/>
          <w:szCs w:val="20"/>
          <w:lang w:val="es-ES_tradnl"/>
        </w:rPr>
        <w:t xml:space="preserve">se establece que </w:t>
      </w:r>
      <w:r w:rsidRPr="000F667B">
        <w:rPr>
          <w:rFonts w:ascii="Times New Roman" w:hAnsi="Times New Roman"/>
          <w:color w:val="000000"/>
          <w:sz w:val="20"/>
          <w:szCs w:val="20"/>
          <w:lang w:val="es-ES_tradnl"/>
        </w:rPr>
        <w:t>el Directorio podrá funcionar con los miembros presentes, o comunicados entre sí por medios de transmisión simultánea de sonido, imágenes y palabras, entre ellos la videoconferencia</w:t>
      </w:r>
      <w:r>
        <w:rPr>
          <w:rFonts w:ascii="Times New Roman" w:hAnsi="Times New Roman"/>
          <w:color w:val="000000"/>
          <w:sz w:val="20"/>
          <w:szCs w:val="20"/>
          <w:lang w:val="es-ES_tradnl"/>
        </w:rPr>
        <w:t>; por lo que el Estatuto establece en su artículo décimo cuarto que :”</w:t>
      </w:r>
      <w:r w:rsidRPr="00126154">
        <w:rPr>
          <w:i/>
          <w:color w:val="000000"/>
          <w:sz w:val="20"/>
          <w:szCs w:val="20"/>
          <w:lang w:val="es-ES_tradnl"/>
        </w:rPr>
        <w:t>La administración de la Sociedad estará a cargo de un Directorio, compuesto del número de miembros que fije la Asamblea, entre un mínimo de cinco (5) y un máximo de siete (7), con mandato por tres (3) ejercicios. La Asamblea puede designar suplentes en igual o menor número de los titulares por el mismo plazo a fin de llenar las vacantes que se produjeren. El Directorio deberá estar integrado por un representante de los tenedores de bonos de participación en los términos regulados por los Arts. 11 y 12 del presente Estatuto. Los Directores en su primera reunión deben designar a un Presidente y un Vicepresidente, este último reemplaza al primero en caso de ausencia o impedimento. Habrá quórum en el Directorio de acuerdo a lo siguiente: a) Directorio de cinco miembros con la presencia de tres Directores, b) Directorio de seis o siete miembros, con la presencia de cuatro Directores. El Directorio adopta sus decisiones por mayoría de votos, la cual se computará teniendo en cuenta el número de presentes más los Directores ausentes que hubieren conferido mandato a cualquiera de los presentes en forma prevista por el Art. 266 de la Ley 19.550. El Presidente o quien lo reemplace tendrá doble voto en caso de empate. Participación a distancia: el Directorio podrá funcionar con los miembros presentes, o comunicados entre sí por medios de transmisión simultánea de sonido, imágenes y palabras, entre ellos la videoconferencia. Se computarán para el quórum los miembros presentes y los que participen a distancia a través de los medios tecnológicos antes especificados, pudiendo encontrarse los mismos en cualquier lugar dentro o fuera del país. En el acta de la reunión se dejará constancia de la participación a distancia y de su voto, bajo firma de los Directores presentes. Los directores que hayan participado a distancia podrán firmar el acta, sin que la omisión de hacerlo afecte la validez de la reunión y de las resoluciones adoptadas en ella. Al menos un miembro de Comisión Fiscalizadora deberá encontrarse presente. El Órgano de Fiscalización dejará constancia de la regularidad de las decisiones adoptadas y de los nombres de los directores que hayan participado a distancia. Las responsabilidades del Director participante a distancia, será idéntica a la de los Directores presentes, según lo estipulado en el art.266 de la Ley 19550. Las actas serán confeccionadas y firmadas dentro de los cinco (5) días de celebrada la reunión por los miembros presentes y por el representante de la Comisión Fiscalizadora. El Directorio se reunirá como mínimo en el período que fija el Art. 267 de la Ley 19.550 y toda vez que sea convocado por el Presidente o dos cualesquiera de sus miembros. Las deliberaciones del mismo deberán constar en el Libro de Actas del Directorio. La Asamblea fijará la remuneración del Directorio”.</w:t>
      </w:r>
    </w:p>
    <w:p w14:paraId="3C2BBA1D" w14:textId="77777777" w:rsidR="005B7266" w:rsidRDefault="005B7266" w:rsidP="00785A78">
      <w:pPr>
        <w:pStyle w:val="Tabla"/>
        <w:tabs>
          <w:tab w:val="clear" w:pos="664"/>
        </w:tabs>
        <w:spacing w:before="0" w:after="0"/>
        <w:ind w:right="0"/>
        <w:rPr>
          <w:rFonts w:ascii="Times New Roman" w:hAnsi="Times New Roman"/>
          <w:color w:val="000000"/>
          <w:sz w:val="20"/>
          <w:szCs w:val="20"/>
        </w:rPr>
      </w:pPr>
    </w:p>
    <w:p w14:paraId="325C58C5" w14:textId="6A96F46C" w:rsidR="00785A78" w:rsidRDefault="00785A78" w:rsidP="00785A78">
      <w:pPr>
        <w:pStyle w:val="Tabla"/>
        <w:tabs>
          <w:tab w:val="clear" w:pos="664"/>
        </w:tabs>
        <w:spacing w:before="0" w:after="0"/>
        <w:ind w:right="0"/>
        <w:rPr>
          <w:rFonts w:ascii="Times New Roman" w:hAnsi="Times New Roman"/>
          <w:color w:val="000000"/>
          <w:sz w:val="20"/>
          <w:szCs w:val="20"/>
        </w:rPr>
      </w:pPr>
      <w:r w:rsidRPr="007213A1">
        <w:rPr>
          <w:rFonts w:ascii="Times New Roman" w:hAnsi="Times New Roman"/>
          <w:color w:val="000000"/>
          <w:sz w:val="20"/>
          <w:szCs w:val="20"/>
        </w:rPr>
        <w:t xml:space="preserve">La facultad de los directores para votar sobre una propuesta, convenio o contrato en el cual tengan un interés personal se encuentra regulado en el artículo 272 de la </w:t>
      </w:r>
      <w:r>
        <w:rPr>
          <w:rFonts w:ascii="Times New Roman" w:hAnsi="Times New Roman"/>
          <w:color w:val="000000"/>
          <w:sz w:val="20"/>
          <w:szCs w:val="20"/>
        </w:rPr>
        <w:t>LGS</w:t>
      </w:r>
      <w:r w:rsidRPr="007213A1">
        <w:rPr>
          <w:rFonts w:ascii="Times New Roman" w:hAnsi="Times New Roman"/>
          <w:color w:val="000000"/>
          <w:sz w:val="20"/>
          <w:szCs w:val="20"/>
        </w:rPr>
        <w:t>, donde se establece una prohibición para ello.</w:t>
      </w:r>
    </w:p>
    <w:p w14:paraId="412E15A0" w14:textId="20006469" w:rsidR="00D72818" w:rsidRDefault="00D72818" w:rsidP="00785A78">
      <w:pPr>
        <w:pStyle w:val="Tabla"/>
        <w:tabs>
          <w:tab w:val="clear" w:pos="664"/>
        </w:tabs>
        <w:spacing w:before="0" w:after="0"/>
        <w:ind w:right="0"/>
        <w:rPr>
          <w:rFonts w:ascii="Times New Roman" w:hAnsi="Times New Roman"/>
          <w:color w:val="000000"/>
          <w:sz w:val="20"/>
          <w:szCs w:val="20"/>
        </w:rPr>
      </w:pPr>
    </w:p>
    <w:p w14:paraId="368E7FBE" w14:textId="4A584EB9" w:rsidR="00721D21" w:rsidRPr="003F2DB8" w:rsidRDefault="00D72818" w:rsidP="003F2DB8">
      <w:pPr>
        <w:spacing w:after="120"/>
        <w:jc w:val="both"/>
        <w:rPr>
          <w:bCs/>
          <w:sz w:val="20"/>
          <w:szCs w:val="20"/>
          <w:lang w:val="es-AR" w:eastAsia="es-ES"/>
        </w:rPr>
      </w:pPr>
      <w:r w:rsidRPr="003F2DB8">
        <w:rPr>
          <w:color w:val="000000"/>
          <w:sz w:val="20"/>
          <w:szCs w:val="20"/>
          <w:lang w:val="es-AR"/>
        </w:rPr>
        <w:t xml:space="preserve">Por último, </w:t>
      </w:r>
      <w:r w:rsidRPr="003F2DB8">
        <w:rPr>
          <w:color w:val="000000" w:themeColor="text1"/>
          <w:sz w:val="20"/>
          <w:szCs w:val="20"/>
          <w:lang w:val="es-AR"/>
        </w:rPr>
        <w:t xml:space="preserve">la última modificación corresponde al “Artículo Cuarto – Capital” del Estatuto Social vigente de INVAP, lo cual fue resuelto por Asamblea Ordinaria y Extraordinaria de la Sociedad celebrada el día 29 de octubre de 2019, que decidió aumentar el capital social de la Sociedad de $350.000.000 a $1.690.000.000. </w:t>
      </w:r>
      <w:r w:rsidRPr="003F2DB8">
        <w:rPr>
          <w:color w:val="000000" w:themeColor="text1"/>
          <w:sz w:val="20"/>
          <w:szCs w:val="20"/>
          <w:lang w:val="es-MX"/>
        </w:rPr>
        <w:t xml:space="preserve">Dicha modificación </w:t>
      </w:r>
      <w:r w:rsidR="00AE498C">
        <w:rPr>
          <w:color w:val="000000" w:themeColor="text1"/>
          <w:sz w:val="20"/>
          <w:szCs w:val="20"/>
          <w:lang w:val="es-MX"/>
        </w:rPr>
        <w:t>se encuentra pendiente de inscripción</w:t>
      </w:r>
      <w:r w:rsidRPr="003F2DB8">
        <w:rPr>
          <w:color w:val="000000" w:themeColor="text1"/>
          <w:sz w:val="20"/>
          <w:szCs w:val="20"/>
          <w:lang w:val="es-MX"/>
        </w:rPr>
        <w:t xml:space="preserve"> por la Dirección de Personas Jurídicas de la Provincia de Río Negro </w:t>
      </w:r>
      <w:r w:rsidR="00721D21" w:rsidRPr="003F2DB8">
        <w:rPr>
          <w:color w:val="000000" w:themeColor="text1"/>
          <w:sz w:val="20"/>
          <w:szCs w:val="20"/>
          <w:lang w:val="es-MX"/>
        </w:rPr>
        <w:t xml:space="preserve">y ha quedado redactado de la siguiente manera: </w:t>
      </w:r>
      <w:r w:rsidR="00721D21" w:rsidRPr="003F2DB8">
        <w:rPr>
          <w:bCs/>
          <w:i/>
          <w:iCs/>
          <w:sz w:val="20"/>
          <w:szCs w:val="20"/>
          <w:lang w:val="es-AR" w:eastAsia="es-ES"/>
        </w:rPr>
        <w:t>“ARTÍCULO CUARTO. CAPITAL: El capital social es de $1.690.000.000 (Pesos Mil Seiscientos Noventa Millones) representados por títulos nominativos de $10.000 (Pesos Diez Mil) valor nominal cada uno. Dicho capital puede ser aumentado por decisión de la Asamblea General Ordinaria hasta el quíntuplo del monto, conforme el art. 188 de la Ley 19.550. La Comisión Nacional de Energía Atómica gozará del privilegio para suscribir y mantener hasta el cincuenta y un por ciento del capital social, no pudiendo bajo ningún concepto ser disminuido tal porcentaje, debiendo prevalecer en forma suficiente en las Asambleas Ordinarias y Extraordinarias. La Comisión Nacional de Energía Atómica por su parte, no podrá modificar el Estatuto en ninguna de sus partes sin previo consentimiento de la Provincia de Río Negro.”</w:t>
      </w:r>
      <w:r w:rsidR="00CD1968">
        <w:rPr>
          <w:bCs/>
          <w:i/>
          <w:iCs/>
          <w:sz w:val="20"/>
          <w:szCs w:val="20"/>
          <w:lang w:val="es-AR" w:eastAsia="es-ES"/>
        </w:rPr>
        <w:t>.</w:t>
      </w:r>
    </w:p>
    <w:p w14:paraId="1BC65CCE" w14:textId="77777777" w:rsidR="00785A78" w:rsidRPr="007213A1" w:rsidRDefault="00785A78" w:rsidP="00785A78">
      <w:pPr>
        <w:pStyle w:val="Tabla"/>
        <w:tabs>
          <w:tab w:val="clear" w:pos="664"/>
        </w:tabs>
        <w:spacing w:before="0" w:after="0"/>
        <w:ind w:right="0"/>
        <w:rPr>
          <w:rFonts w:ascii="Times New Roman" w:hAnsi="Times New Roman"/>
          <w:color w:val="000000"/>
          <w:sz w:val="20"/>
          <w:szCs w:val="20"/>
        </w:rPr>
      </w:pPr>
    </w:p>
    <w:p w14:paraId="23E2F925" w14:textId="77777777" w:rsidR="00785A78" w:rsidRPr="007213A1" w:rsidRDefault="00785A78" w:rsidP="00785A78">
      <w:pPr>
        <w:widowControl w:val="0"/>
        <w:suppressLineNumbers/>
        <w:suppressAutoHyphens/>
        <w:rPr>
          <w:b/>
          <w:i/>
          <w:iCs/>
          <w:sz w:val="20"/>
          <w:szCs w:val="20"/>
          <w:lang w:val="es-AR" w:eastAsia="es-ES"/>
        </w:rPr>
      </w:pPr>
      <w:r w:rsidRPr="007213A1">
        <w:rPr>
          <w:b/>
          <w:i/>
          <w:iCs/>
          <w:sz w:val="20"/>
          <w:szCs w:val="20"/>
          <w:lang w:val="es-AR" w:eastAsia="es-ES"/>
        </w:rPr>
        <w:t>Objeto Social</w:t>
      </w:r>
    </w:p>
    <w:p w14:paraId="557CBDA8" w14:textId="77777777" w:rsidR="00785A78" w:rsidRPr="007213A1" w:rsidRDefault="00785A78" w:rsidP="00785A78">
      <w:pPr>
        <w:widowControl w:val="0"/>
        <w:suppressLineNumbers/>
        <w:suppressAutoHyphens/>
        <w:rPr>
          <w:b/>
          <w:sz w:val="20"/>
          <w:szCs w:val="20"/>
          <w:lang w:val="es-AR" w:eastAsia="es-ES"/>
        </w:rPr>
      </w:pPr>
    </w:p>
    <w:p w14:paraId="2D84BF3B" w14:textId="77777777" w:rsidR="00785A78" w:rsidRPr="007213A1" w:rsidRDefault="00785A78" w:rsidP="00785A78">
      <w:pPr>
        <w:widowControl w:val="0"/>
        <w:suppressLineNumbers/>
        <w:suppressAutoHyphens/>
        <w:jc w:val="both"/>
        <w:rPr>
          <w:i/>
          <w:color w:val="000000"/>
          <w:sz w:val="20"/>
          <w:szCs w:val="20"/>
          <w:lang w:val="es-ES" w:eastAsia="es-ES"/>
        </w:rPr>
      </w:pPr>
      <w:r w:rsidRPr="007213A1">
        <w:rPr>
          <w:bCs/>
          <w:sz w:val="20"/>
          <w:szCs w:val="20"/>
          <w:lang w:val="es-AR" w:eastAsia="es-ES"/>
        </w:rPr>
        <w:t xml:space="preserve">El Estatuto establece en su artículo tercero que: </w:t>
      </w:r>
      <w:r w:rsidRPr="007213A1">
        <w:rPr>
          <w:i/>
          <w:iCs/>
          <w:sz w:val="20"/>
          <w:szCs w:val="20"/>
          <w:lang w:val="es-AR"/>
        </w:rPr>
        <w:t>“</w:t>
      </w:r>
      <w:r w:rsidRPr="007213A1">
        <w:rPr>
          <w:i/>
          <w:color w:val="000000"/>
          <w:sz w:val="20"/>
          <w:szCs w:val="20"/>
          <w:lang w:val="es-ES" w:eastAsia="es-ES"/>
        </w:rPr>
        <w:t xml:space="preserve">La Sociedad tiene por objeto dedicarse por cuenta propia, ajena o asociada a terceros a actividades que generen puestos genuinos de trabajo en el país con prioridad y especial consideración al desarrollo tecnológico argentino determinado por los entes competentes nacionales, en particular la Comisión Nacional de Energía Atómica en los temas nucleares. Dichas actividades, a realizarse para sí o de interés directo para entes estatales y privados, tanto nacionales como extranjeros, son: A) Investigación, Desarrollo, Ensayo e Innovación de: todo tipo materiales, procesos químicos, biológicos y físicos, instrumentos, máquinas y productos y servicios de alto nivel tecnológico y su proyección a escala piloto e industrial. B) Diseño, construcción, puesta en marcha, homologación, licenciamiento, operación y mantenimiento, incluido su promoción, comercialización y exportación de: plantas y equipos prototipos, unidades de producción y unidades seriadas, obras civiles e industriales, especialmente de: 1) satélites artificiales de observación, comunicaciones y otros, incluyendo los instrumentos que puedan instalarse sobre los mismos, las estaciones terrenas de control, gestión y procesamiento de datos, y los sistemas de lanzamiento; 2) todo tipo de elementos vinculados con la industria nuclear, reactores nucleares de investigación y de generación eléctrica, plantas productoras de radioisótopos, plantas de producción y de almacenamiento de combustibles nucleares, plantas de tratamiento de combustibles nucleares gastados y residuos radiactivos, plantas de separación isotópica y sistemas de control y protección radiológica; 3) todo tipo de elementos vinculados a la medicina y con el diseño y producción de prótesis e implantes, la biotecnología, sus procesos y aplicaciones; 4) radares, sonares, sensores electro-ópticos, elementos de control, de guiado y de navegación, elementos de actuación, respuesta e intervención, y todo tipo de elementos vinculados con los sistemas de comando, control, comunicaciones, vigilancia y reconocimiento para seguridad y defensa, incluyendo las plataformas, vehículos, informática e infraestructura asociados; 5) generadores de energía eléctrica basados en energías convencionales no renovables y renovables y en otras fuentes de energías alternativas tales como eólica y solar, incluyendo la infraestructura asociada y su transmisión; 6) sistemas de comunicaciones, en todas sus etapas y modalidades tales como: generación de contenidos, transmisión, transformación, procesamiento y almacenamiento; 7) Sistema y subsistemas de uso aeronáutico tanto en el segmento terrestre como de vuelo y 8) en general, todo tipo de tareas de elevada tecnología que suponga un alto valor agregado. C) Estudios de: impacto ambiental, análisis probabilísticos y determinísticos de seguridad y confiabilidad, emplazamiento de todo tipo de industrias. </w:t>
      </w:r>
      <w:r w:rsidRPr="007213A1">
        <w:rPr>
          <w:i/>
          <w:sz w:val="20"/>
          <w:szCs w:val="20"/>
          <w:lang w:val="es-MX"/>
        </w:rPr>
        <w:t>D</w:t>
      </w:r>
      <w:r w:rsidRPr="007213A1">
        <w:rPr>
          <w:i/>
          <w:color w:val="000000"/>
          <w:sz w:val="20"/>
          <w:szCs w:val="20"/>
          <w:lang w:val="es-ES" w:eastAsia="es-ES"/>
        </w:rPr>
        <w:t>) Explotación comercial en los rubros: industriales, mineros, pesqueros, agrícola-ganaderos y forestales: producción de todo tipo de bienes, procesos y servicios, tanto a escala piloto como industrial. E) Servicios públicos y privados: participar en su prestación cualquiera sea la modalidad con que los mismos fueren requeridos. F) Comerciales de: importación, exportación, compra, venta, perm</w:t>
      </w:r>
      <w:r w:rsidRPr="007213A1">
        <w:rPr>
          <w:i/>
          <w:sz w:val="20"/>
          <w:szCs w:val="20"/>
          <w:lang w:val="es-MX"/>
        </w:rPr>
        <w:t xml:space="preserve">uta, representación, comisión, </w:t>
      </w:r>
      <w:r w:rsidRPr="007213A1">
        <w:rPr>
          <w:i/>
          <w:color w:val="000000"/>
          <w:sz w:val="20"/>
          <w:szCs w:val="20"/>
          <w:lang w:val="es-ES" w:eastAsia="es-ES"/>
        </w:rPr>
        <w:t>consignación, de cualquier categoría y la explotación de todo tipo de bienes muebles</w:t>
      </w:r>
      <w:r w:rsidRPr="007213A1">
        <w:rPr>
          <w:i/>
          <w:sz w:val="20"/>
          <w:szCs w:val="20"/>
          <w:lang w:val="es-MX"/>
        </w:rPr>
        <w:t xml:space="preserve"> o </w:t>
      </w:r>
      <w:r w:rsidRPr="007213A1">
        <w:rPr>
          <w:i/>
          <w:color w:val="000000"/>
          <w:sz w:val="20"/>
          <w:szCs w:val="20"/>
          <w:lang w:val="es-ES" w:eastAsia="es-ES"/>
        </w:rPr>
        <w:t>inmuebles, procesos y servicios, máquinas, patentes de invención, marcas, diseños y modelos industriales. Promover, desarrollar y fomentar las ventas de mercaderías de todo tipo, productos, procesos, bienes y servicios al contado o a plazo. Ejercer la representación de toda clase de mandatos civiles y comerciales. Concurrir y presentarse con ofertas en licitaciones públicas y privadas de cualquier naturaleza u objeto. Para la realización y cumplimiento de estos fines, la Sociedad tiene plena capacidad civil para ejecutar todos los actos jurídicos que directa o indirectamente se relacionen con los mismos.”</w:t>
      </w:r>
    </w:p>
    <w:p w14:paraId="58A9152C" w14:textId="77777777" w:rsidR="00785A78" w:rsidRPr="007213A1" w:rsidRDefault="00785A78" w:rsidP="00785A78">
      <w:pPr>
        <w:widowControl w:val="0"/>
        <w:suppressLineNumbers/>
        <w:suppressAutoHyphens/>
        <w:jc w:val="both"/>
        <w:rPr>
          <w:i/>
          <w:color w:val="000000"/>
          <w:sz w:val="20"/>
          <w:szCs w:val="20"/>
          <w:lang w:val="es-ES" w:eastAsia="es-ES"/>
        </w:rPr>
      </w:pPr>
    </w:p>
    <w:p w14:paraId="699E118C" w14:textId="77777777" w:rsidR="00785A78" w:rsidRPr="007213A1" w:rsidRDefault="00785A78" w:rsidP="00785A78">
      <w:pPr>
        <w:widowControl w:val="0"/>
        <w:suppressLineNumbers/>
        <w:suppressAutoHyphens/>
        <w:jc w:val="both"/>
        <w:rPr>
          <w:b/>
          <w:bCs/>
          <w:i/>
          <w:color w:val="000000"/>
          <w:sz w:val="20"/>
          <w:szCs w:val="20"/>
          <w:lang w:val="es-ES" w:eastAsia="es-ES"/>
        </w:rPr>
      </w:pPr>
      <w:r w:rsidRPr="007213A1">
        <w:rPr>
          <w:b/>
          <w:bCs/>
          <w:i/>
          <w:color w:val="000000"/>
          <w:sz w:val="20"/>
          <w:szCs w:val="20"/>
          <w:lang w:val="es-ES" w:eastAsia="es-ES"/>
        </w:rPr>
        <w:t>Directorio</w:t>
      </w:r>
    </w:p>
    <w:p w14:paraId="70141C85" w14:textId="77777777" w:rsidR="00785A78" w:rsidRPr="007213A1" w:rsidRDefault="00785A78" w:rsidP="00785A78">
      <w:pPr>
        <w:widowControl w:val="0"/>
        <w:suppressLineNumbers/>
        <w:suppressAutoHyphens/>
        <w:jc w:val="both"/>
        <w:rPr>
          <w:b/>
          <w:bCs/>
          <w:i/>
          <w:color w:val="000000"/>
          <w:sz w:val="20"/>
          <w:szCs w:val="20"/>
          <w:lang w:val="es-ES" w:eastAsia="es-ES"/>
        </w:rPr>
      </w:pPr>
    </w:p>
    <w:p w14:paraId="4E971366" w14:textId="77777777" w:rsidR="00785A78" w:rsidRPr="007213A1" w:rsidRDefault="00785A78" w:rsidP="00785A78">
      <w:pPr>
        <w:widowControl w:val="0"/>
        <w:jc w:val="both"/>
        <w:rPr>
          <w:color w:val="000000"/>
          <w:sz w:val="20"/>
          <w:szCs w:val="20"/>
          <w:lang w:val="es-AR"/>
        </w:rPr>
      </w:pPr>
      <w:r w:rsidRPr="007213A1">
        <w:rPr>
          <w:color w:val="000000"/>
          <w:sz w:val="20"/>
          <w:szCs w:val="20"/>
          <w:lang w:val="es-AR"/>
        </w:rPr>
        <w:t>El Directorio no posee facultades para, en ausencia de un quórum independiente, votar compensaciones para ellos mismos o para cualquier miembro del órgano de dirección. Al respecto el Estatuto Social de INVAP prevé en el Artículo Décimo Cuarto que “</w:t>
      </w:r>
      <w:r w:rsidRPr="007213A1">
        <w:rPr>
          <w:i/>
          <w:iCs/>
          <w:color w:val="000000"/>
          <w:sz w:val="20"/>
          <w:szCs w:val="20"/>
          <w:lang w:val="es-AR"/>
        </w:rPr>
        <w:t>La asamblea fijará la remuneración del Directorio</w:t>
      </w:r>
      <w:r w:rsidRPr="007213A1">
        <w:rPr>
          <w:color w:val="000000"/>
          <w:sz w:val="20"/>
          <w:szCs w:val="20"/>
          <w:lang w:val="es-AR"/>
        </w:rPr>
        <w:t>”.</w:t>
      </w:r>
    </w:p>
    <w:p w14:paraId="14D01E47" w14:textId="77777777" w:rsidR="00785A78" w:rsidRPr="007213A1" w:rsidRDefault="00785A78" w:rsidP="00785A78">
      <w:pPr>
        <w:widowControl w:val="0"/>
        <w:jc w:val="both"/>
        <w:rPr>
          <w:color w:val="000000"/>
          <w:sz w:val="20"/>
          <w:szCs w:val="20"/>
          <w:lang w:val="es-AR"/>
        </w:rPr>
      </w:pPr>
    </w:p>
    <w:p w14:paraId="0F2644B1" w14:textId="3A465C53" w:rsidR="00785A78" w:rsidRPr="00112B9F" w:rsidRDefault="00785A78" w:rsidP="00785A78">
      <w:pPr>
        <w:pStyle w:val="Default"/>
        <w:jc w:val="both"/>
        <w:rPr>
          <w:rFonts w:ascii="Times New Roman" w:hAnsi="Times New Roman" w:cs="Times New Roman"/>
          <w:sz w:val="20"/>
          <w:szCs w:val="20"/>
          <w:lang w:val="es-AR"/>
        </w:rPr>
      </w:pPr>
      <w:r w:rsidRPr="007213A1">
        <w:rPr>
          <w:rFonts w:ascii="Times New Roman" w:hAnsi="Times New Roman" w:cs="Times New Roman"/>
          <w:sz w:val="20"/>
          <w:szCs w:val="20"/>
          <w:lang w:val="es-AR" w:eastAsia="en-US"/>
        </w:rPr>
        <w:t xml:space="preserve">Respecto de las atribuciones y deberes del Directorio, el Artículo Décimo Sexto establece que </w:t>
      </w:r>
      <w:r w:rsidRPr="007213A1">
        <w:rPr>
          <w:rFonts w:ascii="Times New Roman" w:hAnsi="Times New Roman" w:cs="Times New Roman"/>
          <w:i/>
          <w:iCs/>
          <w:sz w:val="20"/>
          <w:szCs w:val="20"/>
          <w:lang w:val="es-AR" w:eastAsia="en-US"/>
        </w:rPr>
        <w:t xml:space="preserve">“El Directorio tiene todas las facultades para dirigir y administrar normalmente la Sociedad en orden al cumplimiento de su objeto. Puede en consecuencia celebrar toda clase de actos y contratos que no sean notoriamente extraños al objeto social. Podrá realizar aquellos en que la ley exige poderes especiales conforme </w:t>
      </w:r>
      <w:r w:rsidRPr="00A61C89">
        <w:rPr>
          <w:rFonts w:ascii="Times New Roman" w:hAnsi="Times New Roman" w:cs="Times New Roman"/>
          <w:i/>
          <w:iCs/>
          <w:color w:val="000000" w:themeColor="text1"/>
          <w:sz w:val="20"/>
          <w:szCs w:val="20"/>
          <w:lang w:val="es-AR" w:eastAsia="en-US"/>
        </w:rPr>
        <w:t xml:space="preserve">al Art. 375 del </w:t>
      </w:r>
      <w:r w:rsidR="00BA16EA" w:rsidRPr="00A61C89">
        <w:rPr>
          <w:rFonts w:ascii="Times New Roman" w:hAnsi="Times New Roman" w:cs="Times New Roman"/>
          <w:i/>
          <w:iCs/>
          <w:color w:val="000000" w:themeColor="text1"/>
          <w:sz w:val="20"/>
          <w:szCs w:val="20"/>
          <w:lang w:val="es-AR" w:eastAsia="en-US"/>
        </w:rPr>
        <w:t>Código</w:t>
      </w:r>
      <w:r w:rsidRPr="00A61C89">
        <w:rPr>
          <w:rFonts w:ascii="Times New Roman" w:hAnsi="Times New Roman" w:cs="Times New Roman"/>
          <w:i/>
          <w:iCs/>
          <w:color w:val="000000" w:themeColor="text1"/>
          <w:sz w:val="20"/>
          <w:szCs w:val="20"/>
          <w:lang w:val="es-AR" w:eastAsia="en-US"/>
        </w:rPr>
        <w:t xml:space="preserve"> Civil y Comercial de la </w:t>
      </w:r>
      <w:r w:rsidR="00BA16EA" w:rsidRPr="00A61C89">
        <w:rPr>
          <w:rFonts w:ascii="Times New Roman" w:hAnsi="Times New Roman" w:cs="Times New Roman"/>
          <w:i/>
          <w:iCs/>
          <w:color w:val="000000" w:themeColor="text1"/>
          <w:sz w:val="20"/>
          <w:szCs w:val="20"/>
          <w:lang w:val="es-AR" w:eastAsia="en-US"/>
        </w:rPr>
        <w:t>Nación</w:t>
      </w:r>
      <w:r w:rsidRPr="00A61C89">
        <w:rPr>
          <w:rFonts w:ascii="Times New Roman" w:hAnsi="Times New Roman" w:cs="Times New Roman"/>
          <w:i/>
          <w:iCs/>
          <w:color w:val="000000" w:themeColor="text1"/>
          <w:sz w:val="20"/>
          <w:szCs w:val="20"/>
          <w:lang w:val="es-AR" w:eastAsia="en-US"/>
        </w:rPr>
        <w:t>, siempre y cuando no importe una apartamiento del objetivo social. Podrá operar con todos los Bancos y demás instituciones de crédito oficiales o privadas, del país o del exterior. Ot</w:t>
      </w:r>
      <w:r w:rsidRPr="007213A1">
        <w:rPr>
          <w:rFonts w:ascii="Times New Roman" w:hAnsi="Times New Roman" w:cs="Times New Roman"/>
          <w:i/>
          <w:iCs/>
          <w:sz w:val="20"/>
          <w:szCs w:val="20"/>
          <w:lang w:val="es-AR" w:eastAsia="en-US"/>
        </w:rPr>
        <w:t>orgar a una o más personas poderes judiciales inclusive para querellar criminalmente o extrajudicialmente, con el objeto y extensión que juzgue convenientes.”</w:t>
      </w:r>
    </w:p>
    <w:p w14:paraId="4A25E4EF" w14:textId="77777777" w:rsidR="00785A78" w:rsidRPr="007213A1" w:rsidRDefault="00785A78" w:rsidP="00785A78">
      <w:pPr>
        <w:pStyle w:val="Tabla"/>
        <w:tabs>
          <w:tab w:val="clear" w:pos="664"/>
        </w:tabs>
        <w:spacing w:before="0" w:after="0"/>
        <w:ind w:right="0"/>
        <w:rPr>
          <w:rFonts w:ascii="Times New Roman" w:hAnsi="Times New Roman"/>
          <w:color w:val="000000"/>
          <w:sz w:val="20"/>
          <w:szCs w:val="20"/>
        </w:rPr>
      </w:pPr>
    </w:p>
    <w:p w14:paraId="2ACC8C3A" w14:textId="77777777" w:rsidR="00785A78" w:rsidRPr="007213A1" w:rsidRDefault="00785A78" w:rsidP="00785A78">
      <w:pPr>
        <w:pStyle w:val="Tabla"/>
        <w:tabs>
          <w:tab w:val="clear" w:pos="664"/>
        </w:tabs>
        <w:spacing w:before="0" w:after="0"/>
        <w:ind w:right="0"/>
        <w:rPr>
          <w:rFonts w:ascii="Times New Roman" w:hAnsi="Times New Roman"/>
          <w:color w:val="000000"/>
          <w:sz w:val="20"/>
          <w:szCs w:val="20"/>
        </w:rPr>
      </w:pPr>
      <w:r w:rsidRPr="007213A1">
        <w:rPr>
          <w:rFonts w:ascii="Times New Roman" w:hAnsi="Times New Roman"/>
          <w:color w:val="000000"/>
          <w:sz w:val="20"/>
          <w:szCs w:val="20"/>
        </w:rPr>
        <w:t>El Estatuto Social de INVAP nada establece respecto al retiro o no retiro de los directores al llegar a una edad límite, no imperando por ende limitación alguna al respecto.</w:t>
      </w:r>
    </w:p>
    <w:p w14:paraId="042C5A07" w14:textId="77777777" w:rsidR="00785A78" w:rsidRPr="007213A1" w:rsidRDefault="00785A78" w:rsidP="00785A78">
      <w:pPr>
        <w:pStyle w:val="Tabla"/>
        <w:tabs>
          <w:tab w:val="clear" w:pos="664"/>
        </w:tabs>
        <w:spacing w:before="0" w:after="0"/>
        <w:ind w:right="0"/>
        <w:rPr>
          <w:rFonts w:ascii="Times New Roman" w:hAnsi="Times New Roman"/>
          <w:color w:val="000000"/>
          <w:sz w:val="20"/>
          <w:szCs w:val="20"/>
        </w:rPr>
      </w:pPr>
    </w:p>
    <w:p w14:paraId="34866090" w14:textId="77777777" w:rsidR="00785A78" w:rsidRPr="007213A1" w:rsidRDefault="00785A78" w:rsidP="00785A78">
      <w:pPr>
        <w:pStyle w:val="Textoindependiente"/>
        <w:widowControl w:val="0"/>
        <w:spacing w:before="0"/>
        <w:ind w:right="0"/>
        <w:rPr>
          <w:b w:val="0"/>
          <w:bCs w:val="0"/>
          <w:color w:val="000000"/>
          <w:lang w:val="es-AR"/>
        </w:rPr>
      </w:pPr>
      <w:r w:rsidRPr="007213A1">
        <w:rPr>
          <w:b w:val="0"/>
          <w:bCs w:val="0"/>
          <w:color w:val="000000"/>
          <w:lang w:val="es-AR"/>
        </w:rPr>
        <w:t>De acuerdo con el Artículo Decimocuarto del Estatuto Social, la duración del mandato de los directores será de tres ejercicios.</w:t>
      </w:r>
    </w:p>
    <w:p w14:paraId="223339A0" w14:textId="77777777" w:rsidR="00785A78" w:rsidRPr="007213A1" w:rsidRDefault="00785A78" w:rsidP="00785A78">
      <w:pPr>
        <w:pStyle w:val="Tabla"/>
        <w:tabs>
          <w:tab w:val="clear" w:pos="664"/>
        </w:tabs>
        <w:spacing w:before="0" w:after="0"/>
        <w:ind w:right="0"/>
        <w:rPr>
          <w:rFonts w:ascii="Times New Roman" w:hAnsi="Times New Roman"/>
          <w:color w:val="000000"/>
          <w:sz w:val="20"/>
          <w:szCs w:val="20"/>
        </w:rPr>
      </w:pPr>
    </w:p>
    <w:p w14:paraId="22366347" w14:textId="77777777" w:rsidR="00785A78" w:rsidRPr="007213A1" w:rsidRDefault="00785A78" w:rsidP="00785A78">
      <w:pPr>
        <w:pStyle w:val="Tabla"/>
        <w:tabs>
          <w:tab w:val="clear" w:pos="664"/>
        </w:tabs>
        <w:spacing w:before="0" w:after="0"/>
        <w:ind w:right="0"/>
        <w:rPr>
          <w:rFonts w:ascii="Times New Roman" w:hAnsi="Times New Roman"/>
          <w:color w:val="000000"/>
          <w:sz w:val="20"/>
          <w:szCs w:val="20"/>
        </w:rPr>
      </w:pPr>
      <w:r w:rsidRPr="007213A1">
        <w:rPr>
          <w:rFonts w:ascii="Times New Roman" w:hAnsi="Times New Roman"/>
          <w:color w:val="000000"/>
          <w:sz w:val="20"/>
          <w:szCs w:val="20"/>
        </w:rPr>
        <w:t>De acuerdo al Estatuto Social, el Directorio está compuesto por el número de miembros que fije la Asamblea, entre un mínimo de cinco (5) y un máximo de siete (7), con mandato por tres (3) ejercicios. La Asamblea puede designar suplentes en igual o menor número de los titulares por el mismo plazo a fin de llenar las vacantes que se produjeren. El Directorio deberá estar integrado por un representante de los tenedores de bonos de participación en los términos regulados por los Arts. 11 y 12 del mismo.</w:t>
      </w:r>
    </w:p>
    <w:p w14:paraId="1B8B5E75" w14:textId="77777777" w:rsidR="00785A78" w:rsidRPr="007213A1" w:rsidRDefault="00785A78" w:rsidP="00785A78">
      <w:pPr>
        <w:pStyle w:val="Tabla"/>
        <w:tabs>
          <w:tab w:val="clear" w:pos="664"/>
        </w:tabs>
        <w:spacing w:before="0" w:after="0"/>
        <w:ind w:right="0"/>
        <w:rPr>
          <w:rFonts w:ascii="Times New Roman" w:hAnsi="Times New Roman"/>
          <w:color w:val="000000"/>
          <w:sz w:val="20"/>
          <w:szCs w:val="20"/>
        </w:rPr>
      </w:pPr>
    </w:p>
    <w:p w14:paraId="4CB362CE" w14:textId="77777777" w:rsidR="00785A78" w:rsidRPr="007213A1" w:rsidRDefault="00785A78" w:rsidP="00785A78">
      <w:pPr>
        <w:pStyle w:val="Tabla"/>
        <w:tabs>
          <w:tab w:val="clear" w:pos="664"/>
        </w:tabs>
        <w:spacing w:before="0" w:after="0"/>
        <w:ind w:right="0"/>
        <w:rPr>
          <w:rFonts w:ascii="Times New Roman" w:hAnsi="Times New Roman"/>
          <w:color w:val="000000"/>
          <w:sz w:val="20"/>
          <w:szCs w:val="20"/>
        </w:rPr>
      </w:pPr>
      <w:r w:rsidRPr="007213A1">
        <w:rPr>
          <w:rFonts w:ascii="Times New Roman" w:hAnsi="Times New Roman"/>
          <w:color w:val="000000"/>
          <w:sz w:val="20"/>
          <w:szCs w:val="20"/>
        </w:rPr>
        <w:t xml:space="preserve">Este régimen de designaciones de miembros del Directorio persigue el objetivo de dar participación al propietario de la tenencia accionaria (PRN), a la entidad fundadora, y a la representación del personal, para que aporten desde sus distintos intereses y puntos de vista a la mejor </w:t>
      </w:r>
      <w:r w:rsidRPr="007213A1">
        <w:rPr>
          <w:rFonts w:ascii="Times New Roman" w:hAnsi="Times New Roman"/>
          <w:i/>
          <w:iCs/>
          <w:color w:val="000000"/>
          <w:sz w:val="20"/>
          <w:szCs w:val="20"/>
        </w:rPr>
        <w:t>performance</w:t>
      </w:r>
      <w:r w:rsidRPr="007213A1">
        <w:rPr>
          <w:rFonts w:ascii="Times New Roman" w:hAnsi="Times New Roman"/>
          <w:color w:val="000000"/>
          <w:sz w:val="20"/>
          <w:szCs w:val="20"/>
        </w:rPr>
        <w:t xml:space="preserve"> de la empresa. </w:t>
      </w:r>
    </w:p>
    <w:p w14:paraId="18E24A70" w14:textId="77777777" w:rsidR="00785A78" w:rsidRPr="007213A1" w:rsidRDefault="00785A78" w:rsidP="00785A78">
      <w:pPr>
        <w:pStyle w:val="Tabla"/>
        <w:tabs>
          <w:tab w:val="clear" w:pos="664"/>
        </w:tabs>
        <w:spacing w:before="0" w:after="0"/>
        <w:ind w:right="0"/>
        <w:rPr>
          <w:rFonts w:ascii="Times New Roman" w:hAnsi="Times New Roman"/>
          <w:color w:val="000000"/>
          <w:sz w:val="20"/>
          <w:szCs w:val="20"/>
        </w:rPr>
      </w:pPr>
    </w:p>
    <w:p w14:paraId="3C4E56BF" w14:textId="77777777" w:rsidR="00785A78" w:rsidRPr="007213A1" w:rsidRDefault="00785A78" w:rsidP="00785A78">
      <w:pPr>
        <w:pStyle w:val="Tabla"/>
        <w:tabs>
          <w:tab w:val="clear" w:pos="664"/>
        </w:tabs>
        <w:spacing w:before="0" w:after="0"/>
        <w:ind w:right="0"/>
        <w:rPr>
          <w:rFonts w:ascii="Times New Roman" w:hAnsi="Times New Roman"/>
          <w:b/>
          <w:bCs/>
          <w:i/>
          <w:iCs/>
          <w:color w:val="000000"/>
          <w:sz w:val="20"/>
          <w:szCs w:val="20"/>
        </w:rPr>
      </w:pPr>
      <w:r w:rsidRPr="007213A1">
        <w:rPr>
          <w:rFonts w:ascii="Times New Roman" w:hAnsi="Times New Roman"/>
          <w:b/>
          <w:bCs/>
          <w:i/>
          <w:iCs/>
          <w:color w:val="000000"/>
          <w:sz w:val="20"/>
          <w:szCs w:val="20"/>
        </w:rPr>
        <w:t>Derechos a participar en las utilidades de la Emisora</w:t>
      </w:r>
    </w:p>
    <w:p w14:paraId="2462AFBC" w14:textId="77777777" w:rsidR="00785A78" w:rsidRPr="007213A1" w:rsidRDefault="00785A78" w:rsidP="00785A78">
      <w:pPr>
        <w:pStyle w:val="Tabla"/>
        <w:tabs>
          <w:tab w:val="clear" w:pos="664"/>
        </w:tabs>
        <w:spacing w:before="0" w:after="0"/>
        <w:ind w:right="0"/>
        <w:rPr>
          <w:rFonts w:ascii="Times New Roman" w:hAnsi="Times New Roman"/>
          <w:b/>
          <w:bCs/>
          <w:i/>
          <w:iCs/>
          <w:color w:val="000000"/>
          <w:sz w:val="20"/>
          <w:szCs w:val="20"/>
        </w:rPr>
      </w:pPr>
    </w:p>
    <w:p w14:paraId="78FC8AAC" w14:textId="77777777" w:rsidR="00785A78" w:rsidRPr="007213A1" w:rsidRDefault="00785A78" w:rsidP="00785A78">
      <w:pPr>
        <w:pStyle w:val="Textodenotaalfinal"/>
        <w:autoSpaceDE/>
        <w:autoSpaceDN/>
        <w:adjustRightInd/>
        <w:jc w:val="both"/>
        <w:rPr>
          <w:rFonts w:ascii="Times New Roman" w:hAnsi="Times New Roman"/>
          <w:i/>
          <w:iCs/>
          <w:color w:val="000000"/>
          <w:lang w:eastAsia="en-US"/>
        </w:rPr>
      </w:pPr>
      <w:r w:rsidRPr="007213A1">
        <w:rPr>
          <w:rFonts w:ascii="Times New Roman" w:hAnsi="Times New Roman"/>
          <w:color w:val="000000"/>
          <w:lang w:eastAsia="en-US"/>
        </w:rPr>
        <w:t>De acuerdo con el Artículo Vigésimo Tercero del Estatuto Social, las ganancias realizadas y líquidas se destinarán para: “</w:t>
      </w:r>
      <w:r w:rsidRPr="007213A1">
        <w:rPr>
          <w:rFonts w:ascii="Times New Roman" w:hAnsi="Times New Roman"/>
          <w:i/>
          <w:iCs/>
          <w:color w:val="000000"/>
          <w:lang w:eastAsia="en-US"/>
        </w:rPr>
        <w:t xml:space="preserve">a) Reserva Legal: cinco por ciento (5%) hasta alcanzar el veinte por ciento (20%) del capital subscripto, b) Hogar de Ancianos "El Descanso de Jesús" (Personería Jurídica Dto. 612) de San Carlos de Bariloche (Río Negro): dentro de las políticas de Responsabilidad Social Empresaria se dispone asignar a dicha institución, una suma que será determinada por el Directorio y revisada periódicamente por el mismo, para adaptarla a la situación económica imperante en cada momento, a pagar en mensualidades, c) Bonos de participación: una suma destinada a los tenedores de bonos del Art. 10 de este Estatuto, d) Remuneración de los Directores y de los miembros de Comisión Fiscalizadora en su caso, e) Fondos de previsión: destinados a Reserva Facultativa, o a cuenta nueva o al destino que determine la Asamblea, que no contraríe el espíritu de capitalización de utilidades que es prioritario de esta Sociedad.” </w:t>
      </w:r>
    </w:p>
    <w:p w14:paraId="0B60DE5A" w14:textId="77777777" w:rsidR="00785A78" w:rsidRPr="007213A1" w:rsidRDefault="00785A78" w:rsidP="00785A78">
      <w:pPr>
        <w:pStyle w:val="Textodenotaalfinal"/>
        <w:autoSpaceDE/>
        <w:autoSpaceDN/>
        <w:adjustRightInd/>
        <w:jc w:val="both"/>
        <w:rPr>
          <w:rFonts w:ascii="Times New Roman" w:hAnsi="Times New Roman"/>
          <w:color w:val="000000"/>
          <w:lang w:eastAsia="en-US"/>
        </w:rPr>
      </w:pPr>
    </w:p>
    <w:p w14:paraId="1E3ECB89" w14:textId="77777777" w:rsidR="00785A78" w:rsidRPr="007213A1" w:rsidRDefault="00785A78" w:rsidP="00785A78">
      <w:pPr>
        <w:pStyle w:val="Textodenotaalfinal"/>
        <w:autoSpaceDE/>
        <w:autoSpaceDN/>
        <w:adjustRightInd/>
        <w:jc w:val="both"/>
        <w:rPr>
          <w:rFonts w:ascii="Times New Roman" w:hAnsi="Times New Roman"/>
          <w:color w:val="000000"/>
          <w:lang w:eastAsia="en-US"/>
        </w:rPr>
      </w:pPr>
      <w:r w:rsidRPr="007213A1">
        <w:rPr>
          <w:rFonts w:ascii="Times New Roman" w:hAnsi="Times New Roman"/>
          <w:color w:val="000000"/>
          <w:lang w:eastAsia="en-US"/>
        </w:rPr>
        <w:t>La participación en los resultados de la Emisora es propuesta a la Asamblea de Accionistas por el Directorio de la Sociedad, los cuales se distribuyen de forma equivalente entre todos los empleados que cumplan con la antigüedad requerida. Cabe destacar que a propuesta de la Gerencia General de INVAP, se distribuye la asignación del monto a todos los empleados en virtud del inciso c) del Estatuto Social.</w:t>
      </w:r>
    </w:p>
    <w:p w14:paraId="6A12FA05" w14:textId="77777777" w:rsidR="00785A78" w:rsidRPr="007213A1" w:rsidRDefault="00785A78" w:rsidP="00785A78">
      <w:pPr>
        <w:pStyle w:val="Textodenotaalfinal"/>
        <w:autoSpaceDE/>
        <w:autoSpaceDN/>
        <w:adjustRightInd/>
        <w:jc w:val="both"/>
        <w:rPr>
          <w:rFonts w:ascii="Times New Roman" w:hAnsi="Times New Roman"/>
          <w:color w:val="000000"/>
          <w:lang w:eastAsia="en-US"/>
        </w:rPr>
      </w:pPr>
    </w:p>
    <w:p w14:paraId="750E74F2" w14:textId="77777777" w:rsidR="00785A78" w:rsidRPr="007213A1" w:rsidRDefault="00785A78" w:rsidP="00785A78">
      <w:pPr>
        <w:pStyle w:val="Textodenotaalfinal"/>
        <w:autoSpaceDE/>
        <w:autoSpaceDN/>
        <w:adjustRightInd/>
        <w:jc w:val="both"/>
        <w:rPr>
          <w:rFonts w:ascii="Times New Roman" w:hAnsi="Times New Roman"/>
          <w:b/>
          <w:bCs/>
          <w:i/>
          <w:iCs/>
          <w:color w:val="000000"/>
          <w:lang w:eastAsia="en-US"/>
        </w:rPr>
      </w:pPr>
      <w:r w:rsidRPr="007213A1">
        <w:rPr>
          <w:rFonts w:ascii="Times New Roman" w:hAnsi="Times New Roman"/>
          <w:b/>
          <w:bCs/>
          <w:i/>
          <w:iCs/>
          <w:color w:val="000000"/>
          <w:lang w:eastAsia="en-US"/>
        </w:rPr>
        <w:t>Asambleas</w:t>
      </w:r>
    </w:p>
    <w:p w14:paraId="46A94DAB" w14:textId="77777777" w:rsidR="00785A78" w:rsidRPr="007213A1" w:rsidRDefault="00785A78" w:rsidP="00785A78">
      <w:pPr>
        <w:pStyle w:val="Textodenotaalfinal"/>
        <w:autoSpaceDE/>
        <w:autoSpaceDN/>
        <w:adjustRightInd/>
        <w:jc w:val="both"/>
        <w:rPr>
          <w:rFonts w:ascii="Times New Roman" w:hAnsi="Times New Roman"/>
          <w:b/>
          <w:bCs/>
          <w:i/>
          <w:iCs/>
          <w:color w:val="000000"/>
          <w:lang w:eastAsia="en-US"/>
        </w:rPr>
      </w:pPr>
    </w:p>
    <w:p w14:paraId="6815665F" w14:textId="77777777" w:rsidR="00785A78" w:rsidRPr="007213A1" w:rsidRDefault="00785A78" w:rsidP="00785A78">
      <w:pPr>
        <w:widowControl w:val="0"/>
        <w:jc w:val="both"/>
        <w:rPr>
          <w:color w:val="000000"/>
          <w:sz w:val="20"/>
          <w:szCs w:val="20"/>
          <w:lang w:val="es-AR"/>
        </w:rPr>
      </w:pPr>
      <w:r w:rsidRPr="007213A1">
        <w:rPr>
          <w:color w:val="000000"/>
          <w:sz w:val="20"/>
          <w:szCs w:val="20"/>
          <w:lang w:val="es-AR"/>
        </w:rPr>
        <w:t xml:space="preserve">De acuerdo con el Artículo Vigésimo Primero del Estatuto Social, toda asamblea deber ser citada conforme lo establece el art. 237 de la </w:t>
      </w:r>
      <w:r>
        <w:rPr>
          <w:color w:val="000000"/>
          <w:sz w:val="20"/>
          <w:szCs w:val="20"/>
          <w:lang w:val="es-AR"/>
        </w:rPr>
        <w:t>LGS</w:t>
      </w:r>
      <w:r w:rsidRPr="007213A1">
        <w:rPr>
          <w:color w:val="000000"/>
          <w:sz w:val="20"/>
          <w:szCs w:val="20"/>
          <w:lang w:val="es-AR"/>
        </w:rPr>
        <w:t>, con excepción de la convocación simultánea.</w:t>
      </w:r>
    </w:p>
    <w:p w14:paraId="18052EC5" w14:textId="77777777" w:rsidR="00785A78" w:rsidRPr="007213A1" w:rsidRDefault="00785A78" w:rsidP="00785A78">
      <w:pPr>
        <w:pStyle w:val="Textpara"/>
        <w:tabs>
          <w:tab w:val="clear" w:pos="9000"/>
        </w:tabs>
        <w:autoSpaceDE/>
        <w:autoSpaceDN/>
        <w:adjustRightInd/>
        <w:spacing w:after="0"/>
        <w:rPr>
          <w:color w:val="000000"/>
          <w:lang w:val="es-AR"/>
        </w:rPr>
      </w:pPr>
    </w:p>
    <w:p w14:paraId="19DFF065" w14:textId="77777777" w:rsidR="00785A78" w:rsidRPr="007213A1" w:rsidRDefault="00785A78" w:rsidP="00785A78">
      <w:pPr>
        <w:widowControl w:val="0"/>
        <w:jc w:val="both"/>
        <w:rPr>
          <w:color w:val="000000"/>
          <w:sz w:val="20"/>
          <w:szCs w:val="20"/>
          <w:lang w:val="es-AR"/>
        </w:rPr>
      </w:pPr>
      <w:r w:rsidRPr="007213A1">
        <w:rPr>
          <w:color w:val="000000"/>
          <w:sz w:val="20"/>
          <w:szCs w:val="20"/>
          <w:lang w:val="es-AR"/>
        </w:rPr>
        <w:t xml:space="preserve">Conforme el art. 237 de la </w:t>
      </w:r>
      <w:r>
        <w:rPr>
          <w:color w:val="000000"/>
          <w:sz w:val="20"/>
          <w:szCs w:val="20"/>
          <w:lang w:val="es-AR"/>
        </w:rPr>
        <w:t>LGS</w:t>
      </w:r>
      <w:r w:rsidRPr="007213A1">
        <w:rPr>
          <w:color w:val="000000"/>
          <w:sz w:val="20"/>
          <w:szCs w:val="20"/>
          <w:lang w:val="es-AR"/>
        </w:rPr>
        <w:t>, “</w:t>
      </w:r>
      <w:r w:rsidRPr="007213A1">
        <w:rPr>
          <w:i/>
          <w:iCs/>
          <w:color w:val="000000"/>
          <w:sz w:val="20"/>
          <w:szCs w:val="20"/>
          <w:lang w:val="es-AR"/>
        </w:rPr>
        <w:t>las asambleas serán convocadas por publicaciones durante 5 días, con 10 de anticipación, por lo menos y no más de 30, en el diario de publicaciones legales. Además, para las sociedades a que se refiere el artículo 299, en uno de los diarios de mayor circulación general de la República. Deberá mencionarse el carácter de la asamblea, fecha, hora y lugar de reunión, orden del día, y los recaudos especiales exigidos por el estatuto para la concurrencia de los accionistas. La asamblea en segunda convocatoria por haber fracasado la primera deberá celebrarse dentro de los 30 días siguientes, y las publicaciones se harán por 3 días con 8 de anticipación como mínimo. El estatuto puede autorizar ambas convocatorias simultáneamente, excepto para las sociedades que hacen oferta pública de sus acciones, en las que esta facultad queda limitada a la asamblea ordinaria. En el supuesto de convocatorias simultáneas, si la asamblea fuere citada para celebrarse el mismo día deberá serlo con un intervalo no inferior a 1 hora de la fijada para la primera. La asamblea podrá celebrarse sin publicación de la convocatoria, cuando se reúnan accionistas que representen la totalidad del capital social y las decisiones que se adopten por unanimidad de las acciones con derecho a voto</w:t>
      </w:r>
      <w:r w:rsidRPr="007213A1">
        <w:rPr>
          <w:color w:val="000000"/>
          <w:sz w:val="20"/>
          <w:szCs w:val="20"/>
          <w:lang w:val="es-AR"/>
        </w:rPr>
        <w:t>”.</w:t>
      </w:r>
    </w:p>
    <w:p w14:paraId="3F160857" w14:textId="77777777" w:rsidR="00785A78" w:rsidRPr="007213A1" w:rsidRDefault="00785A78" w:rsidP="00785A78">
      <w:pPr>
        <w:widowControl w:val="0"/>
        <w:jc w:val="both"/>
        <w:rPr>
          <w:color w:val="000000"/>
          <w:sz w:val="20"/>
          <w:szCs w:val="20"/>
          <w:lang w:val="es-AR"/>
        </w:rPr>
      </w:pPr>
    </w:p>
    <w:p w14:paraId="4B4ACD8B" w14:textId="77777777" w:rsidR="00785A78" w:rsidRPr="007213A1" w:rsidRDefault="00785A78" w:rsidP="00785A78">
      <w:pPr>
        <w:pStyle w:val="Textpara"/>
        <w:tabs>
          <w:tab w:val="clear" w:pos="9000"/>
        </w:tabs>
        <w:autoSpaceDE/>
        <w:autoSpaceDN/>
        <w:adjustRightInd/>
        <w:spacing w:after="0"/>
        <w:rPr>
          <w:color w:val="000000"/>
          <w:lang w:val="es-AR"/>
        </w:rPr>
      </w:pPr>
      <w:r w:rsidRPr="007213A1">
        <w:rPr>
          <w:color w:val="000000"/>
          <w:lang w:val="es-AR"/>
        </w:rPr>
        <w:t xml:space="preserve">Por otro lado, el Artículo Vigésimo Segundo del Estatuto Social, dispone que el quórum y las mayorías son los establecidos por los artículos 243 y 244 de la </w:t>
      </w:r>
      <w:r>
        <w:rPr>
          <w:color w:val="000000"/>
          <w:lang w:val="es-AR"/>
        </w:rPr>
        <w:t>LGS</w:t>
      </w:r>
      <w:r w:rsidRPr="007213A1">
        <w:rPr>
          <w:color w:val="000000"/>
          <w:lang w:val="es-AR"/>
        </w:rPr>
        <w:t>, según la clase de asamblea, convocatoria y materia de que se trate, excepto en cuanto al quórum de la asamblea extraordinaria en segunda convocatoria, a la que se considera constituida cualquiera sea el número de accionistas presentes con derecho a voto.</w:t>
      </w:r>
    </w:p>
    <w:p w14:paraId="0FBC2278" w14:textId="77777777" w:rsidR="00785A78" w:rsidRPr="007213A1" w:rsidRDefault="00785A78" w:rsidP="00785A78">
      <w:pPr>
        <w:widowControl w:val="0"/>
        <w:jc w:val="both"/>
        <w:rPr>
          <w:color w:val="000000"/>
          <w:sz w:val="20"/>
          <w:szCs w:val="20"/>
          <w:lang w:val="es-AR"/>
        </w:rPr>
      </w:pPr>
    </w:p>
    <w:p w14:paraId="3F830852" w14:textId="77777777" w:rsidR="00785A78" w:rsidRPr="007213A1" w:rsidRDefault="00785A78" w:rsidP="00785A78">
      <w:pPr>
        <w:widowControl w:val="0"/>
        <w:tabs>
          <w:tab w:val="left" w:pos="2820"/>
        </w:tabs>
        <w:jc w:val="both"/>
        <w:rPr>
          <w:color w:val="000000"/>
          <w:sz w:val="20"/>
          <w:szCs w:val="20"/>
          <w:lang w:val="es-AR"/>
        </w:rPr>
      </w:pPr>
      <w:r w:rsidRPr="007213A1">
        <w:rPr>
          <w:color w:val="000000"/>
          <w:sz w:val="20"/>
          <w:szCs w:val="20"/>
          <w:lang w:val="es-AR"/>
        </w:rPr>
        <w:t xml:space="preserve">Conforme el art. 243 de la </w:t>
      </w:r>
      <w:r>
        <w:rPr>
          <w:color w:val="000000"/>
          <w:sz w:val="20"/>
          <w:szCs w:val="20"/>
          <w:lang w:val="es-AR"/>
        </w:rPr>
        <w:t>LGS</w:t>
      </w:r>
      <w:r w:rsidRPr="007213A1">
        <w:rPr>
          <w:color w:val="000000"/>
          <w:sz w:val="20"/>
          <w:szCs w:val="20"/>
          <w:lang w:val="es-AR"/>
        </w:rPr>
        <w:t>, “</w:t>
      </w:r>
      <w:r w:rsidRPr="007213A1">
        <w:rPr>
          <w:i/>
          <w:iCs/>
          <w:color w:val="000000"/>
          <w:sz w:val="20"/>
          <w:szCs w:val="20"/>
          <w:lang w:val="es-AR"/>
        </w:rPr>
        <w:t>la constitución de la asamblea ordinaria en primera convocatoria requiere la presencia de accionistas que representen la mayoría de las acciones con derecho a voto. En la segunda convocatoria la asamblea se considerará constituida cualquiera sea el número de esas acciones presentes. Las resoluciones en ambos casos serán tomadas por mayoría absoluta de los votos presentes que puedan emitirse en la respectiva decisión, salvo cuando el estatuto exija mayor número”</w:t>
      </w:r>
      <w:r w:rsidRPr="007213A1">
        <w:rPr>
          <w:color w:val="000000"/>
          <w:sz w:val="20"/>
          <w:szCs w:val="20"/>
          <w:lang w:val="es-AR"/>
        </w:rPr>
        <w:t>.</w:t>
      </w:r>
    </w:p>
    <w:p w14:paraId="20E30A82" w14:textId="77777777" w:rsidR="00785A78" w:rsidRPr="007213A1" w:rsidRDefault="00785A78" w:rsidP="00785A78">
      <w:pPr>
        <w:widowControl w:val="0"/>
        <w:tabs>
          <w:tab w:val="left" w:pos="2820"/>
        </w:tabs>
        <w:jc w:val="both"/>
        <w:rPr>
          <w:color w:val="000000"/>
          <w:sz w:val="20"/>
          <w:szCs w:val="20"/>
          <w:lang w:val="es-AR"/>
        </w:rPr>
      </w:pPr>
    </w:p>
    <w:p w14:paraId="4116D31A" w14:textId="77777777" w:rsidR="00785A78" w:rsidRPr="007213A1" w:rsidRDefault="00785A78" w:rsidP="00785A78">
      <w:pPr>
        <w:widowControl w:val="0"/>
        <w:jc w:val="both"/>
        <w:rPr>
          <w:color w:val="000000"/>
          <w:sz w:val="20"/>
          <w:szCs w:val="20"/>
          <w:lang w:val="es-AR"/>
        </w:rPr>
      </w:pPr>
      <w:r w:rsidRPr="007213A1">
        <w:rPr>
          <w:color w:val="000000"/>
          <w:sz w:val="20"/>
          <w:szCs w:val="20"/>
          <w:lang w:val="es-AR"/>
        </w:rPr>
        <w:t xml:space="preserve">Conforme el art. 244 de la </w:t>
      </w:r>
      <w:r>
        <w:rPr>
          <w:color w:val="000000"/>
          <w:sz w:val="20"/>
          <w:szCs w:val="20"/>
          <w:lang w:val="es-AR"/>
        </w:rPr>
        <w:t>LGS</w:t>
      </w:r>
      <w:r w:rsidRPr="007213A1">
        <w:rPr>
          <w:color w:val="000000"/>
          <w:sz w:val="20"/>
          <w:szCs w:val="20"/>
          <w:lang w:val="es-AR"/>
        </w:rPr>
        <w:t>, “</w:t>
      </w:r>
      <w:r w:rsidRPr="007213A1">
        <w:rPr>
          <w:i/>
          <w:color w:val="000000"/>
          <w:sz w:val="20"/>
          <w:szCs w:val="20"/>
          <w:lang w:val="es-AR"/>
        </w:rPr>
        <w:t>l</w:t>
      </w:r>
      <w:r w:rsidRPr="007213A1">
        <w:rPr>
          <w:i/>
          <w:iCs/>
          <w:color w:val="000000"/>
          <w:sz w:val="20"/>
          <w:szCs w:val="20"/>
          <w:lang w:val="es-AR"/>
        </w:rPr>
        <w:t>a asamblea extraordinaria se reúne en primera convocatoria con la presencia de accionistas que representen el 60% de las acciones con derecho a voto, si el estatuto no exige quórum mayor. En la segunda convocatoria se requiere la concurrencia de accionistas que representen el 30% de las acciones con derecho a voto, salvo que el estatuto fije quórum mayor o menor. Las resoluciones en ambos casos serán tomadas por mayoría absoluta de los votos presentes que puedan emitirse en la respectiva decisión, salvo cuando el estatuto exija mayor número. Cuando se tratare de la transformación, prórroga o reconducción, excepto en las sociedades que hacen oferta pública o cotización de sus acciones; de la disolución anticipada de la sociedad; de la transferencia del domicilio al extranjero, del cambio fundamental del objeto y de la reintegración total o parcial del capital, tanto en la primera cuanto en segunda convocatoria, las resoluciones se adoptarán por el voto favorable de la mayoría de acciones con derecho a voto, sin aplicarse la pluralidad de voto. Esta disposición se aplicará para decidir la fusión y la escisión, salvo respecto de la sociedad incorporante que se regirá por las normas sobre aumento de capital</w:t>
      </w:r>
      <w:r w:rsidRPr="007213A1">
        <w:rPr>
          <w:color w:val="000000"/>
          <w:sz w:val="20"/>
          <w:szCs w:val="20"/>
          <w:lang w:val="es-AR"/>
        </w:rPr>
        <w:t>”.</w:t>
      </w:r>
    </w:p>
    <w:p w14:paraId="23AD56ED" w14:textId="77777777" w:rsidR="00785A78" w:rsidRPr="007213A1" w:rsidRDefault="00785A78" w:rsidP="00785A78">
      <w:pPr>
        <w:pStyle w:val="Textodenotaalfinal"/>
        <w:autoSpaceDE/>
        <w:autoSpaceDN/>
        <w:adjustRightInd/>
        <w:jc w:val="both"/>
        <w:rPr>
          <w:rFonts w:ascii="Times New Roman" w:hAnsi="Times New Roman"/>
          <w:color w:val="000000"/>
          <w:lang w:eastAsia="en-US"/>
        </w:rPr>
      </w:pPr>
    </w:p>
    <w:p w14:paraId="4BEC8AB4" w14:textId="77777777" w:rsidR="00785A78" w:rsidRPr="007213A1" w:rsidRDefault="00785A78" w:rsidP="00785A78">
      <w:pPr>
        <w:pStyle w:val="Text"/>
        <w:widowControl w:val="0"/>
        <w:spacing w:after="0"/>
        <w:ind w:firstLine="0"/>
        <w:jc w:val="both"/>
        <w:rPr>
          <w:color w:val="000000"/>
          <w:sz w:val="20"/>
          <w:szCs w:val="20"/>
          <w:lang w:val="es-AR"/>
        </w:rPr>
      </w:pPr>
      <w:r w:rsidRPr="007213A1">
        <w:rPr>
          <w:color w:val="000000"/>
          <w:sz w:val="20"/>
          <w:szCs w:val="20"/>
          <w:lang w:val="es-AR"/>
        </w:rPr>
        <w:t>Conforme el Articulo Décimo Noveno, un accionista o grupo de accionistas tenedores de al menos el 5% del capital social de INVAP puede solicitar al Directorio o a la Comisión Fiscalizadora que convoquen una asamblea general ordinaria o extraordinaria de accionistas.</w:t>
      </w:r>
    </w:p>
    <w:p w14:paraId="4C91F59B" w14:textId="77777777" w:rsidR="00785A78" w:rsidRPr="00BB3521" w:rsidRDefault="00785A78" w:rsidP="00785A78">
      <w:pPr>
        <w:rPr>
          <w:lang w:val="es-AR"/>
        </w:rPr>
      </w:pPr>
    </w:p>
    <w:p w14:paraId="166B35B3" w14:textId="77777777" w:rsidR="00684BA3" w:rsidRPr="007213A1" w:rsidRDefault="00684BA3" w:rsidP="00684BA3">
      <w:pPr>
        <w:widowControl w:val="0"/>
        <w:suppressLineNumbers/>
        <w:suppressAutoHyphens/>
        <w:jc w:val="both"/>
        <w:rPr>
          <w:b/>
          <w:bCs/>
          <w:iCs/>
          <w:sz w:val="20"/>
          <w:szCs w:val="20"/>
          <w:lang w:val="es-MX" w:eastAsia="es-ES"/>
        </w:rPr>
      </w:pPr>
      <w:r w:rsidRPr="007213A1">
        <w:rPr>
          <w:b/>
          <w:bCs/>
          <w:iCs/>
          <w:sz w:val="20"/>
          <w:szCs w:val="20"/>
          <w:lang w:val="es-MX" w:eastAsia="es-ES"/>
        </w:rPr>
        <w:t>c) Contratos importantes</w:t>
      </w:r>
    </w:p>
    <w:p w14:paraId="29F7D8E3" w14:textId="77777777" w:rsidR="00684BA3" w:rsidRPr="007213A1" w:rsidRDefault="00684BA3" w:rsidP="00684BA3">
      <w:pPr>
        <w:widowControl w:val="0"/>
        <w:suppressLineNumbers/>
        <w:suppressAutoHyphens/>
        <w:jc w:val="both"/>
        <w:rPr>
          <w:b/>
          <w:bCs/>
          <w:iCs/>
          <w:sz w:val="20"/>
          <w:szCs w:val="20"/>
          <w:lang w:val="es-MX" w:eastAsia="es-ES"/>
        </w:rPr>
      </w:pPr>
    </w:p>
    <w:tbl>
      <w:tblPr>
        <w:tblW w:w="6920" w:type="dxa"/>
        <w:tblInd w:w="60" w:type="dxa"/>
        <w:tblCellMar>
          <w:left w:w="70" w:type="dxa"/>
          <w:right w:w="70" w:type="dxa"/>
        </w:tblCellMar>
        <w:tblLook w:val="04A0" w:firstRow="1" w:lastRow="0" w:firstColumn="1" w:lastColumn="0" w:noHBand="0" w:noVBand="1"/>
      </w:tblPr>
      <w:tblGrid>
        <w:gridCol w:w="2582"/>
        <w:gridCol w:w="2609"/>
        <w:gridCol w:w="1729"/>
      </w:tblGrid>
      <w:tr w:rsidR="00785A78" w:rsidRPr="00785A78" w14:paraId="594493D3" w14:textId="77777777" w:rsidTr="00BA304B">
        <w:trPr>
          <w:trHeight w:val="315"/>
        </w:trPr>
        <w:tc>
          <w:tcPr>
            <w:tcW w:w="26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CC190CD" w14:textId="77777777" w:rsidR="00785A78" w:rsidRPr="00A61C89" w:rsidRDefault="00785A78" w:rsidP="00C5653F">
            <w:pPr>
              <w:jc w:val="center"/>
              <w:rPr>
                <w:b/>
                <w:bCs/>
                <w:sz w:val="20"/>
                <w:szCs w:val="20"/>
              </w:rPr>
            </w:pPr>
            <w:r w:rsidRPr="00A61C89">
              <w:rPr>
                <w:b/>
                <w:bCs/>
                <w:sz w:val="20"/>
                <w:szCs w:val="20"/>
              </w:rPr>
              <w:t>Gerencia de Negocios</w:t>
            </w:r>
          </w:p>
        </w:tc>
        <w:tc>
          <w:tcPr>
            <w:tcW w:w="2680" w:type="dxa"/>
            <w:tcBorders>
              <w:top w:val="single" w:sz="8" w:space="0" w:color="auto"/>
              <w:left w:val="nil"/>
              <w:bottom w:val="single" w:sz="4" w:space="0" w:color="auto"/>
              <w:right w:val="single" w:sz="4" w:space="0" w:color="auto"/>
            </w:tcBorders>
            <w:shd w:val="clear" w:color="auto" w:fill="auto"/>
            <w:vAlign w:val="center"/>
            <w:hideMark/>
          </w:tcPr>
          <w:p w14:paraId="28DD09E0" w14:textId="77777777" w:rsidR="00785A78" w:rsidRPr="00A61C89" w:rsidRDefault="00785A78" w:rsidP="00C5653F">
            <w:pPr>
              <w:jc w:val="center"/>
              <w:rPr>
                <w:b/>
                <w:bCs/>
                <w:sz w:val="20"/>
                <w:szCs w:val="20"/>
              </w:rPr>
            </w:pPr>
            <w:r w:rsidRPr="00A61C89">
              <w:rPr>
                <w:b/>
                <w:bCs/>
                <w:sz w:val="20"/>
                <w:szCs w:val="20"/>
              </w:rPr>
              <w:t>Denominación</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14:paraId="42D0A486" w14:textId="77777777" w:rsidR="00785A78" w:rsidRPr="00A61C89" w:rsidRDefault="00785A78" w:rsidP="00C5653F">
            <w:pPr>
              <w:jc w:val="center"/>
              <w:rPr>
                <w:b/>
                <w:bCs/>
                <w:sz w:val="20"/>
                <w:szCs w:val="20"/>
              </w:rPr>
            </w:pPr>
            <w:r w:rsidRPr="00A61C89">
              <w:rPr>
                <w:b/>
                <w:bCs/>
                <w:sz w:val="20"/>
                <w:szCs w:val="20"/>
              </w:rPr>
              <w:t>Local/Exportación</w:t>
            </w:r>
          </w:p>
        </w:tc>
      </w:tr>
      <w:tr w:rsidR="00785A78" w:rsidRPr="00785A78" w14:paraId="1808B698" w14:textId="77777777" w:rsidTr="00BA304B">
        <w:trPr>
          <w:trHeight w:val="315"/>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36E7FC1D" w14:textId="77777777" w:rsidR="00785A78" w:rsidRPr="00A61C89" w:rsidRDefault="00785A78" w:rsidP="00C5653F">
            <w:pPr>
              <w:jc w:val="center"/>
              <w:rPr>
                <w:sz w:val="20"/>
                <w:szCs w:val="20"/>
              </w:rPr>
            </w:pPr>
            <w:r w:rsidRPr="00A61C89">
              <w:rPr>
                <w:sz w:val="20"/>
                <w:szCs w:val="20"/>
              </w:rPr>
              <w:t>Espacial</w:t>
            </w:r>
          </w:p>
        </w:tc>
        <w:tc>
          <w:tcPr>
            <w:tcW w:w="2680" w:type="dxa"/>
            <w:tcBorders>
              <w:top w:val="nil"/>
              <w:left w:val="nil"/>
              <w:bottom w:val="single" w:sz="4" w:space="0" w:color="auto"/>
              <w:right w:val="single" w:sz="4" w:space="0" w:color="auto"/>
            </w:tcBorders>
            <w:shd w:val="clear" w:color="auto" w:fill="auto"/>
            <w:vAlign w:val="center"/>
            <w:hideMark/>
          </w:tcPr>
          <w:p w14:paraId="7CBFC50A" w14:textId="77777777" w:rsidR="00785A78" w:rsidRPr="00A61C89" w:rsidRDefault="00785A78" w:rsidP="00C5653F">
            <w:pPr>
              <w:jc w:val="center"/>
              <w:rPr>
                <w:sz w:val="20"/>
                <w:szCs w:val="20"/>
              </w:rPr>
            </w:pPr>
            <w:r w:rsidRPr="00A61C89">
              <w:rPr>
                <w:sz w:val="20"/>
                <w:szCs w:val="20"/>
              </w:rPr>
              <w:t>Satélites SAOCOM 1, A / B</w:t>
            </w:r>
          </w:p>
        </w:tc>
        <w:tc>
          <w:tcPr>
            <w:tcW w:w="1560" w:type="dxa"/>
            <w:tcBorders>
              <w:top w:val="nil"/>
              <w:left w:val="nil"/>
              <w:bottom w:val="single" w:sz="4" w:space="0" w:color="auto"/>
              <w:right w:val="single" w:sz="8" w:space="0" w:color="auto"/>
            </w:tcBorders>
            <w:shd w:val="clear" w:color="auto" w:fill="auto"/>
            <w:vAlign w:val="center"/>
            <w:hideMark/>
          </w:tcPr>
          <w:p w14:paraId="63F70F09" w14:textId="77777777" w:rsidR="00785A78" w:rsidRPr="00A61C89" w:rsidRDefault="00785A78" w:rsidP="00C5653F">
            <w:pPr>
              <w:jc w:val="center"/>
              <w:rPr>
                <w:sz w:val="20"/>
                <w:szCs w:val="20"/>
              </w:rPr>
            </w:pPr>
            <w:r w:rsidRPr="00A61C89">
              <w:rPr>
                <w:sz w:val="20"/>
                <w:szCs w:val="20"/>
              </w:rPr>
              <w:t>Local</w:t>
            </w:r>
          </w:p>
        </w:tc>
      </w:tr>
      <w:tr w:rsidR="00785A78" w:rsidRPr="00785A78" w14:paraId="5DF244BC" w14:textId="77777777" w:rsidTr="00BA304B">
        <w:trPr>
          <w:trHeight w:val="315"/>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2151B565" w14:textId="77777777" w:rsidR="00785A78" w:rsidRPr="00A61C89" w:rsidRDefault="00785A78" w:rsidP="00C5653F">
            <w:pPr>
              <w:jc w:val="center"/>
              <w:rPr>
                <w:sz w:val="20"/>
                <w:szCs w:val="20"/>
              </w:rPr>
            </w:pPr>
            <w:r w:rsidRPr="00A61C89">
              <w:rPr>
                <w:sz w:val="20"/>
                <w:szCs w:val="20"/>
              </w:rPr>
              <w:t>Espacial</w:t>
            </w:r>
          </w:p>
        </w:tc>
        <w:tc>
          <w:tcPr>
            <w:tcW w:w="2680" w:type="dxa"/>
            <w:tcBorders>
              <w:top w:val="nil"/>
              <w:left w:val="nil"/>
              <w:bottom w:val="single" w:sz="4" w:space="0" w:color="auto"/>
              <w:right w:val="single" w:sz="4" w:space="0" w:color="auto"/>
            </w:tcBorders>
            <w:shd w:val="clear" w:color="auto" w:fill="auto"/>
            <w:vAlign w:val="center"/>
            <w:hideMark/>
          </w:tcPr>
          <w:p w14:paraId="56A8A4CE" w14:textId="77777777" w:rsidR="00785A78" w:rsidRPr="00A61C89" w:rsidRDefault="00785A78" w:rsidP="00C5653F">
            <w:pPr>
              <w:jc w:val="center"/>
              <w:rPr>
                <w:sz w:val="20"/>
                <w:szCs w:val="20"/>
              </w:rPr>
            </w:pPr>
            <w:r w:rsidRPr="00A61C89">
              <w:rPr>
                <w:sz w:val="20"/>
                <w:szCs w:val="20"/>
              </w:rPr>
              <w:t>Proyecto SABIA-MAR</w:t>
            </w:r>
          </w:p>
        </w:tc>
        <w:tc>
          <w:tcPr>
            <w:tcW w:w="1560" w:type="dxa"/>
            <w:tcBorders>
              <w:top w:val="nil"/>
              <w:left w:val="nil"/>
              <w:bottom w:val="single" w:sz="4" w:space="0" w:color="auto"/>
              <w:right w:val="single" w:sz="8" w:space="0" w:color="auto"/>
            </w:tcBorders>
            <w:shd w:val="clear" w:color="auto" w:fill="auto"/>
            <w:vAlign w:val="center"/>
            <w:hideMark/>
          </w:tcPr>
          <w:p w14:paraId="1EC746C2" w14:textId="77777777" w:rsidR="00785A78" w:rsidRPr="00A61C89" w:rsidRDefault="00785A78" w:rsidP="00C5653F">
            <w:pPr>
              <w:jc w:val="center"/>
              <w:rPr>
                <w:sz w:val="20"/>
                <w:szCs w:val="20"/>
              </w:rPr>
            </w:pPr>
            <w:r w:rsidRPr="00A61C89">
              <w:rPr>
                <w:sz w:val="20"/>
                <w:szCs w:val="20"/>
              </w:rPr>
              <w:t>Local</w:t>
            </w:r>
          </w:p>
        </w:tc>
      </w:tr>
      <w:tr w:rsidR="00785A78" w:rsidRPr="00785A78" w14:paraId="6B34578E" w14:textId="77777777" w:rsidTr="00BA304B">
        <w:trPr>
          <w:trHeight w:val="315"/>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3243CC58" w14:textId="77777777" w:rsidR="00785A78" w:rsidRPr="00A61C89" w:rsidRDefault="00785A78" w:rsidP="00C5653F">
            <w:pPr>
              <w:jc w:val="center"/>
              <w:rPr>
                <w:sz w:val="20"/>
                <w:szCs w:val="20"/>
              </w:rPr>
            </w:pPr>
            <w:r w:rsidRPr="00A61C89">
              <w:rPr>
                <w:sz w:val="20"/>
                <w:szCs w:val="20"/>
              </w:rPr>
              <w:t>Espacial</w:t>
            </w:r>
          </w:p>
        </w:tc>
        <w:tc>
          <w:tcPr>
            <w:tcW w:w="2680" w:type="dxa"/>
            <w:tcBorders>
              <w:top w:val="nil"/>
              <w:left w:val="nil"/>
              <w:bottom w:val="single" w:sz="4" w:space="0" w:color="auto"/>
              <w:right w:val="single" w:sz="4" w:space="0" w:color="auto"/>
            </w:tcBorders>
            <w:shd w:val="clear" w:color="auto" w:fill="auto"/>
            <w:vAlign w:val="center"/>
            <w:hideMark/>
          </w:tcPr>
          <w:p w14:paraId="6E0322F5" w14:textId="77777777" w:rsidR="00785A78" w:rsidRPr="00A61C89" w:rsidRDefault="00785A78" w:rsidP="00C5653F">
            <w:pPr>
              <w:jc w:val="center"/>
              <w:rPr>
                <w:sz w:val="20"/>
                <w:szCs w:val="20"/>
              </w:rPr>
            </w:pPr>
            <w:r w:rsidRPr="00A61C89">
              <w:rPr>
                <w:sz w:val="20"/>
                <w:szCs w:val="20"/>
              </w:rPr>
              <w:t>SmallGEO</w:t>
            </w:r>
          </w:p>
        </w:tc>
        <w:tc>
          <w:tcPr>
            <w:tcW w:w="1560" w:type="dxa"/>
            <w:tcBorders>
              <w:top w:val="nil"/>
              <w:left w:val="nil"/>
              <w:bottom w:val="single" w:sz="4" w:space="0" w:color="auto"/>
              <w:right w:val="single" w:sz="8" w:space="0" w:color="auto"/>
            </w:tcBorders>
            <w:shd w:val="clear" w:color="auto" w:fill="auto"/>
            <w:vAlign w:val="center"/>
            <w:hideMark/>
          </w:tcPr>
          <w:p w14:paraId="09610CCA" w14:textId="77777777" w:rsidR="00785A78" w:rsidRPr="00A61C89" w:rsidRDefault="00785A78" w:rsidP="00C5653F">
            <w:pPr>
              <w:jc w:val="center"/>
              <w:rPr>
                <w:sz w:val="20"/>
                <w:szCs w:val="20"/>
              </w:rPr>
            </w:pPr>
            <w:r w:rsidRPr="00A61C89">
              <w:rPr>
                <w:sz w:val="20"/>
                <w:szCs w:val="20"/>
              </w:rPr>
              <w:t>Exportación</w:t>
            </w:r>
          </w:p>
        </w:tc>
      </w:tr>
      <w:tr w:rsidR="00785A78" w:rsidRPr="00785A78" w14:paraId="28DD3760" w14:textId="77777777" w:rsidTr="00BA304B">
        <w:trPr>
          <w:trHeight w:val="315"/>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520FC8F0" w14:textId="77777777" w:rsidR="00785A78" w:rsidRPr="00A61C89" w:rsidRDefault="00785A78" w:rsidP="00C5653F">
            <w:pPr>
              <w:jc w:val="center"/>
              <w:rPr>
                <w:sz w:val="20"/>
                <w:szCs w:val="20"/>
              </w:rPr>
            </w:pPr>
            <w:r w:rsidRPr="00A61C89">
              <w:rPr>
                <w:sz w:val="20"/>
                <w:szCs w:val="20"/>
              </w:rPr>
              <w:t>Gobierno</w:t>
            </w:r>
          </w:p>
        </w:tc>
        <w:tc>
          <w:tcPr>
            <w:tcW w:w="2680" w:type="dxa"/>
            <w:tcBorders>
              <w:top w:val="nil"/>
              <w:left w:val="nil"/>
              <w:bottom w:val="single" w:sz="4" w:space="0" w:color="auto"/>
              <w:right w:val="single" w:sz="4" w:space="0" w:color="auto"/>
            </w:tcBorders>
            <w:shd w:val="clear" w:color="auto" w:fill="auto"/>
            <w:vAlign w:val="center"/>
            <w:hideMark/>
          </w:tcPr>
          <w:p w14:paraId="429C7DD2" w14:textId="77777777" w:rsidR="00785A78" w:rsidRPr="00A61C89" w:rsidRDefault="00785A78" w:rsidP="00C5653F">
            <w:pPr>
              <w:jc w:val="center"/>
              <w:rPr>
                <w:sz w:val="20"/>
                <w:szCs w:val="20"/>
              </w:rPr>
            </w:pPr>
            <w:r w:rsidRPr="00A61C89">
              <w:rPr>
                <w:sz w:val="20"/>
                <w:szCs w:val="20"/>
              </w:rPr>
              <w:t>Serie 6 Radares 3D</w:t>
            </w:r>
          </w:p>
        </w:tc>
        <w:tc>
          <w:tcPr>
            <w:tcW w:w="1560" w:type="dxa"/>
            <w:tcBorders>
              <w:top w:val="nil"/>
              <w:left w:val="nil"/>
              <w:bottom w:val="single" w:sz="4" w:space="0" w:color="auto"/>
              <w:right w:val="single" w:sz="8" w:space="0" w:color="auto"/>
            </w:tcBorders>
            <w:shd w:val="clear" w:color="auto" w:fill="auto"/>
            <w:vAlign w:val="center"/>
            <w:hideMark/>
          </w:tcPr>
          <w:p w14:paraId="0893CAF1" w14:textId="77777777" w:rsidR="00785A78" w:rsidRPr="00A61C89" w:rsidRDefault="00785A78" w:rsidP="00C5653F">
            <w:pPr>
              <w:jc w:val="center"/>
              <w:rPr>
                <w:sz w:val="20"/>
                <w:szCs w:val="20"/>
              </w:rPr>
            </w:pPr>
            <w:r w:rsidRPr="00A61C89">
              <w:rPr>
                <w:sz w:val="20"/>
                <w:szCs w:val="20"/>
              </w:rPr>
              <w:t>Local</w:t>
            </w:r>
          </w:p>
        </w:tc>
      </w:tr>
      <w:tr w:rsidR="00785A78" w:rsidRPr="00785A78" w14:paraId="094393F8" w14:textId="77777777" w:rsidTr="00BA304B">
        <w:trPr>
          <w:trHeight w:val="45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49A21DB7" w14:textId="77777777" w:rsidR="00785A78" w:rsidRPr="00A61C89" w:rsidRDefault="00785A78" w:rsidP="00C5653F">
            <w:pPr>
              <w:jc w:val="center"/>
              <w:rPr>
                <w:sz w:val="20"/>
                <w:szCs w:val="20"/>
              </w:rPr>
            </w:pPr>
            <w:r w:rsidRPr="00A61C89">
              <w:rPr>
                <w:sz w:val="20"/>
                <w:szCs w:val="20"/>
              </w:rPr>
              <w:t>Gobierno</w:t>
            </w:r>
          </w:p>
        </w:tc>
        <w:tc>
          <w:tcPr>
            <w:tcW w:w="2680" w:type="dxa"/>
            <w:tcBorders>
              <w:top w:val="nil"/>
              <w:left w:val="nil"/>
              <w:bottom w:val="single" w:sz="4" w:space="0" w:color="auto"/>
              <w:right w:val="single" w:sz="4" w:space="0" w:color="auto"/>
            </w:tcBorders>
            <w:shd w:val="clear" w:color="auto" w:fill="auto"/>
            <w:vAlign w:val="center"/>
            <w:hideMark/>
          </w:tcPr>
          <w:p w14:paraId="6B5AC607" w14:textId="77777777" w:rsidR="00785A78" w:rsidRPr="00A61C89" w:rsidRDefault="00785A78" w:rsidP="00C5653F">
            <w:pPr>
              <w:jc w:val="center"/>
              <w:rPr>
                <w:sz w:val="20"/>
                <w:szCs w:val="20"/>
                <w:lang w:val="es-ES"/>
              </w:rPr>
            </w:pPr>
            <w:r w:rsidRPr="00A61C89">
              <w:rPr>
                <w:sz w:val="20"/>
                <w:szCs w:val="20"/>
                <w:lang w:val="es-ES"/>
              </w:rPr>
              <w:t>RMAS - Proyecto Serie 10 Radares Meteorológicos</w:t>
            </w:r>
          </w:p>
        </w:tc>
        <w:tc>
          <w:tcPr>
            <w:tcW w:w="1560" w:type="dxa"/>
            <w:tcBorders>
              <w:top w:val="nil"/>
              <w:left w:val="nil"/>
              <w:bottom w:val="single" w:sz="4" w:space="0" w:color="auto"/>
              <w:right w:val="single" w:sz="8" w:space="0" w:color="auto"/>
            </w:tcBorders>
            <w:shd w:val="clear" w:color="auto" w:fill="auto"/>
            <w:vAlign w:val="center"/>
            <w:hideMark/>
          </w:tcPr>
          <w:p w14:paraId="146BDE80" w14:textId="77777777" w:rsidR="00785A78" w:rsidRPr="00A61C89" w:rsidRDefault="00785A78" w:rsidP="00C5653F">
            <w:pPr>
              <w:jc w:val="center"/>
              <w:rPr>
                <w:sz w:val="20"/>
                <w:szCs w:val="20"/>
              </w:rPr>
            </w:pPr>
            <w:r w:rsidRPr="00A61C89">
              <w:rPr>
                <w:sz w:val="20"/>
                <w:szCs w:val="20"/>
              </w:rPr>
              <w:t>Local</w:t>
            </w:r>
          </w:p>
        </w:tc>
      </w:tr>
      <w:tr w:rsidR="00785A78" w:rsidRPr="00785A78" w14:paraId="6CF28E4D" w14:textId="77777777" w:rsidTr="00BA304B">
        <w:trPr>
          <w:trHeight w:val="315"/>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00903ECE" w14:textId="77777777" w:rsidR="00785A78" w:rsidRPr="00A61C89" w:rsidRDefault="00785A78" w:rsidP="00C5653F">
            <w:pPr>
              <w:jc w:val="center"/>
              <w:rPr>
                <w:sz w:val="20"/>
                <w:szCs w:val="20"/>
              </w:rPr>
            </w:pPr>
            <w:r w:rsidRPr="00A61C89">
              <w:rPr>
                <w:sz w:val="20"/>
                <w:szCs w:val="20"/>
              </w:rPr>
              <w:t>Gobierno</w:t>
            </w:r>
          </w:p>
        </w:tc>
        <w:tc>
          <w:tcPr>
            <w:tcW w:w="2680" w:type="dxa"/>
            <w:tcBorders>
              <w:top w:val="nil"/>
              <w:left w:val="nil"/>
              <w:bottom w:val="single" w:sz="4" w:space="0" w:color="auto"/>
              <w:right w:val="single" w:sz="4" w:space="0" w:color="auto"/>
            </w:tcBorders>
            <w:shd w:val="clear" w:color="auto" w:fill="auto"/>
            <w:vAlign w:val="center"/>
            <w:hideMark/>
          </w:tcPr>
          <w:p w14:paraId="38C610AB" w14:textId="77777777" w:rsidR="00785A78" w:rsidRPr="00A61C89" w:rsidRDefault="00785A78" w:rsidP="00C5653F">
            <w:pPr>
              <w:jc w:val="center"/>
              <w:rPr>
                <w:sz w:val="20"/>
                <w:szCs w:val="20"/>
              </w:rPr>
            </w:pPr>
            <w:r w:rsidRPr="00A61C89">
              <w:rPr>
                <w:sz w:val="20"/>
                <w:szCs w:val="20"/>
              </w:rPr>
              <w:t>RSMA-S/A Paraná</w:t>
            </w:r>
          </w:p>
        </w:tc>
        <w:tc>
          <w:tcPr>
            <w:tcW w:w="1560" w:type="dxa"/>
            <w:tcBorders>
              <w:top w:val="nil"/>
              <w:left w:val="nil"/>
              <w:bottom w:val="single" w:sz="4" w:space="0" w:color="auto"/>
              <w:right w:val="single" w:sz="8" w:space="0" w:color="auto"/>
            </w:tcBorders>
            <w:shd w:val="clear" w:color="auto" w:fill="auto"/>
            <w:vAlign w:val="center"/>
            <w:hideMark/>
          </w:tcPr>
          <w:p w14:paraId="217A53EE" w14:textId="77777777" w:rsidR="00785A78" w:rsidRPr="00A61C89" w:rsidRDefault="00785A78" w:rsidP="00C5653F">
            <w:pPr>
              <w:jc w:val="center"/>
              <w:rPr>
                <w:sz w:val="20"/>
                <w:szCs w:val="20"/>
              </w:rPr>
            </w:pPr>
            <w:r w:rsidRPr="00A61C89">
              <w:rPr>
                <w:sz w:val="20"/>
                <w:szCs w:val="20"/>
              </w:rPr>
              <w:t>Local</w:t>
            </w:r>
          </w:p>
        </w:tc>
      </w:tr>
      <w:tr w:rsidR="00785A78" w:rsidRPr="00785A78" w14:paraId="669EF9A6" w14:textId="77777777" w:rsidTr="00BA304B">
        <w:trPr>
          <w:trHeight w:val="315"/>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304A0CB2" w14:textId="77777777" w:rsidR="00785A78" w:rsidRPr="00A61C89" w:rsidRDefault="00785A78" w:rsidP="00C5653F">
            <w:pPr>
              <w:jc w:val="center"/>
              <w:rPr>
                <w:sz w:val="20"/>
                <w:szCs w:val="20"/>
              </w:rPr>
            </w:pPr>
            <w:r w:rsidRPr="00A61C89">
              <w:rPr>
                <w:sz w:val="20"/>
                <w:szCs w:val="20"/>
              </w:rPr>
              <w:t>Gobierno</w:t>
            </w:r>
          </w:p>
        </w:tc>
        <w:tc>
          <w:tcPr>
            <w:tcW w:w="2680" w:type="dxa"/>
            <w:tcBorders>
              <w:top w:val="nil"/>
              <w:left w:val="nil"/>
              <w:bottom w:val="single" w:sz="4" w:space="0" w:color="auto"/>
              <w:right w:val="single" w:sz="4" w:space="0" w:color="auto"/>
            </w:tcBorders>
            <w:shd w:val="clear" w:color="auto" w:fill="auto"/>
            <w:vAlign w:val="center"/>
            <w:hideMark/>
          </w:tcPr>
          <w:p w14:paraId="23D5D1B9" w14:textId="77777777" w:rsidR="00785A78" w:rsidRPr="00A61C89" w:rsidRDefault="00785A78" w:rsidP="00C5653F">
            <w:pPr>
              <w:jc w:val="center"/>
              <w:rPr>
                <w:sz w:val="20"/>
                <w:szCs w:val="20"/>
              </w:rPr>
            </w:pPr>
            <w:r w:rsidRPr="00A61C89">
              <w:rPr>
                <w:sz w:val="20"/>
                <w:szCs w:val="20"/>
              </w:rPr>
              <w:t>PSR+MSSR</w:t>
            </w:r>
          </w:p>
        </w:tc>
        <w:tc>
          <w:tcPr>
            <w:tcW w:w="1560" w:type="dxa"/>
            <w:tcBorders>
              <w:top w:val="nil"/>
              <w:left w:val="nil"/>
              <w:bottom w:val="single" w:sz="4" w:space="0" w:color="auto"/>
              <w:right w:val="single" w:sz="8" w:space="0" w:color="auto"/>
            </w:tcBorders>
            <w:shd w:val="clear" w:color="auto" w:fill="auto"/>
            <w:vAlign w:val="center"/>
            <w:hideMark/>
          </w:tcPr>
          <w:p w14:paraId="5CDB5D81" w14:textId="77777777" w:rsidR="00785A78" w:rsidRPr="00A61C89" w:rsidRDefault="00785A78" w:rsidP="00C5653F">
            <w:pPr>
              <w:jc w:val="center"/>
              <w:rPr>
                <w:sz w:val="20"/>
                <w:szCs w:val="20"/>
              </w:rPr>
            </w:pPr>
            <w:r w:rsidRPr="00A61C89">
              <w:rPr>
                <w:sz w:val="20"/>
                <w:szCs w:val="20"/>
              </w:rPr>
              <w:t>Local</w:t>
            </w:r>
          </w:p>
        </w:tc>
      </w:tr>
      <w:tr w:rsidR="00785A78" w:rsidRPr="00785A78" w14:paraId="3A9EB41E" w14:textId="77777777" w:rsidTr="00BA304B">
        <w:trPr>
          <w:trHeight w:val="315"/>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7BDC42B2" w14:textId="77777777" w:rsidR="00785A78" w:rsidRPr="00A61C89" w:rsidRDefault="00785A78" w:rsidP="00C5653F">
            <w:pPr>
              <w:jc w:val="center"/>
              <w:rPr>
                <w:sz w:val="20"/>
                <w:szCs w:val="20"/>
              </w:rPr>
            </w:pPr>
            <w:r w:rsidRPr="00A61C89">
              <w:rPr>
                <w:sz w:val="20"/>
                <w:szCs w:val="20"/>
              </w:rPr>
              <w:t>Nuclear</w:t>
            </w:r>
          </w:p>
        </w:tc>
        <w:tc>
          <w:tcPr>
            <w:tcW w:w="2680" w:type="dxa"/>
            <w:tcBorders>
              <w:top w:val="nil"/>
              <w:left w:val="nil"/>
              <w:bottom w:val="single" w:sz="4" w:space="0" w:color="auto"/>
              <w:right w:val="single" w:sz="4" w:space="0" w:color="auto"/>
            </w:tcBorders>
            <w:shd w:val="clear" w:color="auto" w:fill="auto"/>
            <w:vAlign w:val="center"/>
            <w:hideMark/>
          </w:tcPr>
          <w:p w14:paraId="4BF7AE5C" w14:textId="77777777" w:rsidR="00785A78" w:rsidRPr="00A61C89" w:rsidRDefault="00785A78" w:rsidP="00C5653F">
            <w:pPr>
              <w:jc w:val="center"/>
              <w:rPr>
                <w:sz w:val="20"/>
                <w:szCs w:val="20"/>
              </w:rPr>
            </w:pPr>
            <w:r w:rsidRPr="00A61C89">
              <w:rPr>
                <w:sz w:val="20"/>
                <w:szCs w:val="20"/>
              </w:rPr>
              <w:t>Reactor RA-10</w:t>
            </w:r>
          </w:p>
        </w:tc>
        <w:tc>
          <w:tcPr>
            <w:tcW w:w="1560" w:type="dxa"/>
            <w:tcBorders>
              <w:top w:val="nil"/>
              <w:left w:val="nil"/>
              <w:bottom w:val="single" w:sz="4" w:space="0" w:color="auto"/>
              <w:right w:val="single" w:sz="8" w:space="0" w:color="auto"/>
            </w:tcBorders>
            <w:shd w:val="clear" w:color="auto" w:fill="auto"/>
            <w:vAlign w:val="center"/>
            <w:hideMark/>
          </w:tcPr>
          <w:p w14:paraId="77E8D776" w14:textId="77777777" w:rsidR="00785A78" w:rsidRPr="00A61C89" w:rsidRDefault="00785A78" w:rsidP="00C5653F">
            <w:pPr>
              <w:jc w:val="center"/>
              <w:rPr>
                <w:sz w:val="20"/>
                <w:szCs w:val="20"/>
              </w:rPr>
            </w:pPr>
            <w:r w:rsidRPr="00A61C89">
              <w:rPr>
                <w:sz w:val="20"/>
                <w:szCs w:val="20"/>
              </w:rPr>
              <w:t>Local</w:t>
            </w:r>
          </w:p>
        </w:tc>
      </w:tr>
      <w:tr w:rsidR="00785A78" w:rsidRPr="00785A78" w14:paraId="4B0C6680" w14:textId="77777777" w:rsidTr="00BA304B">
        <w:trPr>
          <w:trHeight w:val="45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7570AC40" w14:textId="77777777" w:rsidR="00785A78" w:rsidRPr="00A61C89" w:rsidRDefault="00785A78" w:rsidP="00C5653F">
            <w:pPr>
              <w:jc w:val="center"/>
              <w:rPr>
                <w:sz w:val="20"/>
                <w:szCs w:val="20"/>
              </w:rPr>
            </w:pPr>
            <w:r w:rsidRPr="00A61C89">
              <w:rPr>
                <w:sz w:val="20"/>
                <w:szCs w:val="20"/>
              </w:rPr>
              <w:t>Nuclear</w:t>
            </w:r>
          </w:p>
        </w:tc>
        <w:tc>
          <w:tcPr>
            <w:tcW w:w="2680" w:type="dxa"/>
            <w:tcBorders>
              <w:top w:val="nil"/>
              <w:left w:val="nil"/>
              <w:bottom w:val="single" w:sz="4" w:space="0" w:color="auto"/>
              <w:right w:val="single" w:sz="4" w:space="0" w:color="auto"/>
            </w:tcBorders>
            <w:shd w:val="clear" w:color="auto" w:fill="auto"/>
            <w:vAlign w:val="center"/>
            <w:hideMark/>
          </w:tcPr>
          <w:p w14:paraId="7E8D0CC8" w14:textId="3850B22C" w:rsidR="00785A78" w:rsidRPr="00A61C89" w:rsidRDefault="00785A78" w:rsidP="00C5653F">
            <w:pPr>
              <w:jc w:val="center"/>
              <w:rPr>
                <w:sz w:val="20"/>
                <w:szCs w:val="20"/>
                <w:lang w:val="es-ES"/>
              </w:rPr>
            </w:pPr>
            <w:r w:rsidRPr="00A61C89">
              <w:rPr>
                <w:sz w:val="20"/>
                <w:szCs w:val="20"/>
                <w:lang w:val="es-ES"/>
              </w:rPr>
              <w:t>Modernización reactor NUR y Planta de Radioisótopos</w:t>
            </w:r>
          </w:p>
        </w:tc>
        <w:tc>
          <w:tcPr>
            <w:tcW w:w="1560" w:type="dxa"/>
            <w:tcBorders>
              <w:top w:val="nil"/>
              <w:left w:val="nil"/>
              <w:bottom w:val="single" w:sz="4" w:space="0" w:color="auto"/>
              <w:right w:val="single" w:sz="8" w:space="0" w:color="auto"/>
            </w:tcBorders>
            <w:shd w:val="clear" w:color="auto" w:fill="auto"/>
            <w:vAlign w:val="center"/>
            <w:hideMark/>
          </w:tcPr>
          <w:p w14:paraId="0430467A" w14:textId="77777777" w:rsidR="00785A78" w:rsidRPr="00A61C89" w:rsidRDefault="00785A78" w:rsidP="00C5653F">
            <w:pPr>
              <w:jc w:val="center"/>
              <w:rPr>
                <w:sz w:val="20"/>
                <w:szCs w:val="20"/>
              </w:rPr>
            </w:pPr>
            <w:r w:rsidRPr="00A61C89">
              <w:rPr>
                <w:sz w:val="20"/>
                <w:szCs w:val="20"/>
              </w:rPr>
              <w:t>Exportación</w:t>
            </w:r>
          </w:p>
        </w:tc>
      </w:tr>
      <w:tr w:rsidR="00785A78" w:rsidRPr="00785A78" w14:paraId="7FE2BE01" w14:textId="77777777" w:rsidTr="00BA304B">
        <w:trPr>
          <w:trHeight w:val="315"/>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35C50E79" w14:textId="77777777" w:rsidR="00785A78" w:rsidRPr="00A61C89" w:rsidRDefault="00785A78" w:rsidP="00C5653F">
            <w:pPr>
              <w:jc w:val="center"/>
              <w:rPr>
                <w:sz w:val="20"/>
                <w:szCs w:val="20"/>
              </w:rPr>
            </w:pPr>
            <w:r w:rsidRPr="00A61C89">
              <w:rPr>
                <w:sz w:val="20"/>
                <w:szCs w:val="20"/>
              </w:rPr>
              <w:t>Nuclear</w:t>
            </w:r>
          </w:p>
        </w:tc>
        <w:tc>
          <w:tcPr>
            <w:tcW w:w="2680" w:type="dxa"/>
            <w:tcBorders>
              <w:top w:val="nil"/>
              <w:left w:val="nil"/>
              <w:bottom w:val="single" w:sz="4" w:space="0" w:color="auto"/>
              <w:right w:val="single" w:sz="4" w:space="0" w:color="auto"/>
            </w:tcBorders>
            <w:shd w:val="clear" w:color="auto" w:fill="auto"/>
            <w:vAlign w:val="center"/>
            <w:hideMark/>
          </w:tcPr>
          <w:p w14:paraId="63C906DB" w14:textId="77777777" w:rsidR="00785A78" w:rsidRPr="00A61C89" w:rsidRDefault="00785A78" w:rsidP="00C5653F">
            <w:pPr>
              <w:jc w:val="center"/>
              <w:rPr>
                <w:sz w:val="20"/>
                <w:szCs w:val="20"/>
              </w:rPr>
            </w:pPr>
            <w:r w:rsidRPr="00A61C89">
              <w:rPr>
                <w:sz w:val="20"/>
                <w:szCs w:val="20"/>
              </w:rPr>
              <w:t>Reactor LPRR</w:t>
            </w:r>
          </w:p>
        </w:tc>
        <w:tc>
          <w:tcPr>
            <w:tcW w:w="1560" w:type="dxa"/>
            <w:tcBorders>
              <w:top w:val="nil"/>
              <w:left w:val="nil"/>
              <w:bottom w:val="single" w:sz="4" w:space="0" w:color="auto"/>
              <w:right w:val="single" w:sz="8" w:space="0" w:color="auto"/>
            </w:tcBorders>
            <w:shd w:val="clear" w:color="auto" w:fill="auto"/>
            <w:vAlign w:val="center"/>
            <w:hideMark/>
          </w:tcPr>
          <w:p w14:paraId="3218E3AA" w14:textId="77777777" w:rsidR="00785A78" w:rsidRPr="00A61C89" w:rsidRDefault="00785A78" w:rsidP="00C5653F">
            <w:pPr>
              <w:jc w:val="center"/>
              <w:rPr>
                <w:sz w:val="20"/>
                <w:szCs w:val="20"/>
              </w:rPr>
            </w:pPr>
            <w:r w:rsidRPr="00A61C89">
              <w:rPr>
                <w:sz w:val="20"/>
                <w:szCs w:val="20"/>
              </w:rPr>
              <w:t>Exportación</w:t>
            </w:r>
          </w:p>
        </w:tc>
      </w:tr>
      <w:tr w:rsidR="00785A78" w:rsidRPr="00785A78" w14:paraId="429EC28C" w14:textId="77777777" w:rsidTr="00BA304B">
        <w:trPr>
          <w:trHeight w:val="315"/>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38A036FB" w14:textId="77777777" w:rsidR="00785A78" w:rsidRPr="00A61C89" w:rsidRDefault="00785A78" w:rsidP="00C5653F">
            <w:pPr>
              <w:jc w:val="center"/>
              <w:rPr>
                <w:sz w:val="20"/>
                <w:szCs w:val="20"/>
              </w:rPr>
            </w:pPr>
            <w:r w:rsidRPr="00A61C89">
              <w:rPr>
                <w:sz w:val="20"/>
                <w:szCs w:val="20"/>
              </w:rPr>
              <w:t>Nuclear</w:t>
            </w:r>
          </w:p>
        </w:tc>
        <w:tc>
          <w:tcPr>
            <w:tcW w:w="2680" w:type="dxa"/>
            <w:tcBorders>
              <w:top w:val="nil"/>
              <w:left w:val="nil"/>
              <w:bottom w:val="single" w:sz="4" w:space="0" w:color="auto"/>
              <w:right w:val="single" w:sz="4" w:space="0" w:color="auto"/>
            </w:tcBorders>
            <w:shd w:val="clear" w:color="auto" w:fill="auto"/>
            <w:vAlign w:val="center"/>
            <w:hideMark/>
          </w:tcPr>
          <w:p w14:paraId="756A1685" w14:textId="77777777" w:rsidR="00785A78" w:rsidRPr="00A61C89" w:rsidRDefault="00785A78" w:rsidP="00C5653F">
            <w:pPr>
              <w:jc w:val="center"/>
              <w:rPr>
                <w:sz w:val="20"/>
                <w:szCs w:val="20"/>
                <w:lang w:val="es-ES"/>
              </w:rPr>
            </w:pPr>
            <w:r w:rsidRPr="00A61C89">
              <w:rPr>
                <w:sz w:val="20"/>
                <w:szCs w:val="20"/>
                <w:lang w:val="es-ES"/>
              </w:rPr>
              <w:t>Planta de Radioisótopos en INDIA</w:t>
            </w:r>
          </w:p>
        </w:tc>
        <w:tc>
          <w:tcPr>
            <w:tcW w:w="1560" w:type="dxa"/>
            <w:tcBorders>
              <w:top w:val="nil"/>
              <w:left w:val="nil"/>
              <w:bottom w:val="single" w:sz="4" w:space="0" w:color="auto"/>
              <w:right w:val="single" w:sz="8" w:space="0" w:color="auto"/>
            </w:tcBorders>
            <w:shd w:val="clear" w:color="auto" w:fill="auto"/>
            <w:vAlign w:val="center"/>
            <w:hideMark/>
          </w:tcPr>
          <w:p w14:paraId="01EED645" w14:textId="77777777" w:rsidR="00785A78" w:rsidRPr="00A61C89" w:rsidRDefault="00785A78" w:rsidP="00C5653F">
            <w:pPr>
              <w:jc w:val="center"/>
              <w:rPr>
                <w:sz w:val="20"/>
                <w:szCs w:val="20"/>
              </w:rPr>
            </w:pPr>
            <w:r w:rsidRPr="00A61C89">
              <w:rPr>
                <w:sz w:val="20"/>
                <w:szCs w:val="20"/>
              </w:rPr>
              <w:t>Exportación</w:t>
            </w:r>
          </w:p>
        </w:tc>
      </w:tr>
      <w:tr w:rsidR="00785A78" w:rsidRPr="00785A78" w14:paraId="71B3A417" w14:textId="77777777" w:rsidTr="00BA304B">
        <w:trPr>
          <w:trHeight w:val="315"/>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5F9A5884" w14:textId="77777777" w:rsidR="00785A78" w:rsidRPr="00A61C89" w:rsidRDefault="00785A78" w:rsidP="00C5653F">
            <w:pPr>
              <w:jc w:val="center"/>
              <w:rPr>
                <w:sz w:val="20"/>
                <w:szCs w:val="20"/>
              </w:rPr>
            </w:pPr>
            <w:r w:rsidRPr="00A61C89">
              <w:rPr>
                <w:sz w:val="20"/>
                <w:szCs w:val="20"/>
              </w:rPr>
              <w:t>Nuclear</w:t>
            </w:r>
          </w:p>
        </w:tc>
        <w:tc>
          <w:tcPr>
            <w:tcW w:w="2680" w:type="dxa"/>
            <w:tcBorders>
              <w:top w:val="nil"/>
              <w:left w:val="nil"/>
              <w:bottom w:val="single" w:sz="4" w:space="0" w:color="auto"/>
              <w:right w:val="single" w:sz="4" w:space="0" w:color="auto"/>
            </w:tcBorders>
            <w:shd w:val="clear" w:color="auto" w:fill="auto"/>
            <w:vAlign w:val="center"/>
            <w:hideMark/>
          </w:tcPr>
          <w:p w14:paraId="3F42A0C3" w14:textId="77777777" w:rsidR="00785A78" w:rsidRPr="00A61C89" w:rsidRDefault="00785A78" w:rsidP="00C5653F">
            <w:pPr>
              <w:jc w:val="center"/>
              <w:rPr>
                <w:sz w:val="20"/>
                <w:szCs w:val="20"/>
              </w:rPr>
            </w:pPr>
            <w:r w:rsidRPr="00A61C89">
              <w:rPr>
                <w:sz w:val="20"/>
                <w:szCs w:val="20"/>
              </w:rPr>
              <w:t>Convenio ALFA</w:t>
            </w:r>
          </w:p>
        </w:tc>
        <w:tc>
          <w:tcPr>
            <w:tcW w:w="1560" w:type="dxa"/>
            <w:tcBorders>
              <w:top w:val="nil"/>
              <w:left w:val="nil"/>
              <w:bottom w:val="single" w:sz="4" w:space="0" w:color="auto"/>
              <w:right w:val="single" w:sz="8" w:space="0" w:color="auto"/>
            </w:tcBorders>
            <w:shd w:val="clear" w:color="auto" w:fill="auto"/>
            <w:vAlign w:val="center"/>
            <w:hideMark/>
          </w:tcPr>
          <w:p w14:paraId="7A1E2663" w14:textId="77777777" w:rsidR="00785A78" w:rsidRPr="00A61C89" w:rsidRDefault="00785A78" w:rsidP="00C5653F">
            <w:pPr>
              <w:jc w:val="center"/>
              <w:rPr>
                <w:sz w:val="20"/>
                <w:szCs w:val="20"/>
              </w:rPr>
            </w:pPr>
            <w:r w:rsidRPr="00A61C89">
              <w:rPr>
                <w:sz w:val="20"/>
                <w:szCs w:val="20"/>
              </w:rPr>
              <w:t>Local</w:t>
            </w:r>
          </w:p>
        </w:tc>
      </w:tr>
      <w:tr w:rsidR="00785A78" w:rsidRPr="00785A78" w14:paraId="4C28D5BB" w14:textId="77777777" w:rsidTr="00BA304B">
        <w:trPr>
          <w:trHeight w:val="45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13AAF793" w14:textId="77777777" w:rsidR="00785A78" w:rsidRPr="00A61C89" w:rsidRDefault="00785A78" w:rsidP="00C5653F">
            <w:pPr>
              <w:jc w:val="center"/>
              <w:rPr>
                <w:sz w:val="20"/>
                <w:szCs w:val="20"/>
              </w:rPr>
            </w:pPr>
            <w:r w:rsidRPr="00A61C89">
              <w:rPr>
                <w:sz w:val="20"/>
                <w:szCs w:val="20"/>
              </w:rPr>
              <w:t>Nuclear</w:t>
            </w:r>
          </w:p>
        </w:tc>
        <w:tc>
          <w:tcPr>
            <w:tcW w:w="2680" w:type="dxa"/>
            <w:tcBorders>
              <w:top w:val="nil"/>
              <w:left w:val="nil"/>
              <w:bottom w:val="single" w:sz="4" w:space="0" w:color="auto"/>
              <w:right w:val="single" w:sz="4" w:space="0" w:color="auto"/>
            </w:tcBorders>
            <w:shd w:val="clear" w:color="auto" w:fill="auto"/>
            <w:vAlign w:val="center"/>
            <w:hideMark/>
          </w:tcPr>
          <w:p w14:paraId="20E88790" w14:textId="77777777" w:rsidR="00785A78" w:rsidRPr="00A61C89" w:rsidRDefault="00785A78" w:rsidP="00C5653F">
            <w:pPr>
              <w:jc w:val="center"/>
              <w:rPr>
                <w:sz w:val="20"/>
                <w:szCs w:val="20"/>
                <w:lang w:val="es-ES"/>
              </w:rPr>
            </w:pPr>
            <w:r w:rsidRPr="00A61C89">
              <w:rPr>
                <w:sz w:val="20"/>
                <w:szCs w:val="20"/>
                <w:lang w:val="es-ES"/>
              </w:rPr>
              <w:t>Diseño y obtención del permiso de Construcción del reactor PALLAS</w:t>
            </w:r>
          </w:p>
        </w:tc>
        <w:tc>
          <w:tcPr>
            <w:tcW w:w="1560" w:type="dxa"/>
            <w:tcBorders>
              <w:top w:val="nil"/>
              <w:left w:val="nil"/>
              <w:bottom w:val="single" w:sz="4" w:space="0" w:color="auto"/>
              <w:right w:val="single" w:sz="8" w:space="0" w:color="auto"/>
            </w:tcBorders>
            <w:shd w:val="clear" w:color="auto" w:fill="auto"/>
            <w:vAlign w:val="center"/>
            <w:hideMark/>
          </w:tcPr>
          <w:p w14:paraId="13A56BE4" w14:textId="77777777" w:rsidR="00785A78" w:rsidRPr="00A61C89" w:rsidRDefault="00785A78" w:rsidP="00C5653F">
            <w:pPr>
              <w:jc w:val="center"/>
              <w:rPr>
                <w:sz w:val="20"/>
                <w:szCs w:val="20"/>
              </w:rPr>
            </w:pPr>
            <w:r w:rsidRPr="00A61C89">
              <w:rPr>
                <w:sz w:val="20"/>
                <w:szCs w:val="20"/>
              </w:rPr>
              <w:t>Exportación</w:t>
            </w:r>
          </w:p>
        </w:tc>
      </w:tr>
      <w:tr w:rsidR="00785A78" w:rsidRPr="00785A78" w14:paraId="43537FAC" w14:textId="77777777" w:rsidTr="00BA304B">
        <w:trPr>
          <w:trHeight w:val="315"/>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559C40D9" w14:textId="77777777" w:rsidR="00785A78" w:rsidRPr="00A61C89" w:rsidRDefault="00785A78" w:rsidP="00C5653F">
            <w:pPr>
              <w:jc w:val="center"/>
              <w:rPr>
                <w:sz w:val="20"/>
                <w:szCs w:val="20"/>
              </w:rPr>
            </w:pPr>
            <w:r w:rsidRPr="00A61C89">
              <w:rPr>
                <w:sz w:val="20"/>
                <w:szCs w:val="20"/>
              </w:rPr>
              <w:t>Nuclear</w:t>
            </w:r>
          </w:p>
        </w:tc>
        <w:tc>
          <w:tcPr>
            <w:tcW w:w="2680" w:type="dxa"/>
            <w:tcBorders>
              <w:top w:val="nil"/>
              <w:left w:val="nil"/>
              <w:bottom w:val="single" w:sz="4" w:space="0" w:color="auto"/>
              <w:right w:val="single" w:sz="4" w:space="0" w:color="auto"/>
            </w:tcBorders>
            <w:shd w:val="clear" w:color="auto" w:fill="auto"/>
            <w:vAlign w:val="center"/>
            <w:hideMark/>
          </w:tcPr>
          <w:p w14:paraId="66709D78" w14:textId="77777777" w:rsidR="00785A78" w:rsidRPr="00A61C89" w:rsidRDefault="00785A78" w:rsidP="00C5653F">
            <w:pPr>
              <w:jc w:val="center"/>
              <w:rPr>
                <w:sz w:val="20"/>
                <w:szCs w:val="20"/>
              </w:rPr>
            </w:pPr>
            <w:r w:rsidRPr="00A61C89">
              <w:rPr>
                <w:sz w:val="20"/>
                <w:szCs w:val="20"/>
              </w:rPr>
              <w:t>Reactor Multiproposito Brasilero</w:t>
            </w:r>
          </w:p>
        </w:tc>
        <w:tc>
          <w:tcPr>
            <w:tcW w:w="1560" w:type="dxa"/>
            <w:tcBorders>
              <w:top w:val="nil"/>
              <w:left w:val="nil"/>
              <w:bottom w:val="single" w:sz="4" w:space="0" w:color="auto"/>
              <w:right w:val="single" w:sz="8" w:space="0" w:color="auto"/>
            </w:tcBorders>
            <w:shd w:val="clear" w:color="auto" w:fill="auto"/>
            <w:vAlign w:val="center"/>
            <w:hideMark/>
          </w:tcPr>
          <w:p w14:paraId="0956003B" w14:textId="77777777" w:rsidR="00785A78" w:rsidRPr="00A61C89" w:rsidRDefault="00785A78" w:rsidP="00C5653F">
            <w:pPr>
              <w:jc w:val="center"/>
              <w:rPr>
                <w:sz w:val="20"/>
                <w:szCs w:val="20"/>
              </w:rPr>
            </w:pPr>
            <w:r w:rsidRPr="00A61C89">
              <w:rPr>
                <w:sz w:val="20"/>
                <w:szCs w:val="20"/>
              </w:rPr>
              <w:t>Exportación</w:t>
            </w:r>
          </w:p>
        </w:tc>
      </w:tr>
      <w:tr w:rsidR="00785A78" w:rsidRPr="00785A78" w14:paraId="7BD12483" w14:textId="77777777" w:rsidTr="00BA304B">
        <w:trPr>
          <w:trHeight w:val="315"/>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7555B1B6" w14:textId="77777777" w:rsidR="00785A78" w:rsidRPr="00A61C89" w:rsidRDefault="00785A78" w:rsidP="00C5653F">
            <w:pPr>
              <w:jc w:val="center"/>
              <w:rPr>
                <w:sz w:val="20"/>
                <w:szCs w:val="20"/>
              </w:rPr>
            </w:pPr>
            <w:r w:rsidRPr="00A61C89">
              <w:rPr>
                <w:sz w:val="20"/>
                <w:szCs w:val="20"/>
              </w:rPr>
              <w:t>SIT</w:t>
            </w:r>
          </w:p>
        </w:tc>
        <w:tc>
          <w:tcPr>
            <w:tcW w:w="2680" w:type="dxa"/>
            <w:tcBorders>
              <w:top w:val="nil"/>
              <w:left w:val="nil"/>
              <w:bottom w:val="single" w:sz="4" w:space="0" w:color="auto"/>
              <w:right w:val="single" w:sz="4" w:space="0" w:color="auto"/>
            </w:tcBorders>
            <w:shd w:val="clear" w:color="auto" w:fill="auto"/>
            <w:vAlign w:val="center"/>
            <w:hideMark/>
          </w:tcPr>
          <w:p w14:paraId="738F9737" w14:textId="77777777" w:rsidR="00785A78" w:rsidRPr="00A61C89" w:rsidRDefault="00785A78" w:rsidP="00C5653F">
            <w:pPr>
              <w:jc w:val="center"/>
              <w:rPr>
                <w:sz w:val="20"/>
                <w:szCs w:val="20"/>
              </w:rPr>
            </w:pPr>
            <w:r w:rsidRPr="00A61C89">
              <w:rPr>
                <w:sz w:val="20"/>
                <w:szCs w:val="20"/>
              </w:rPr>
              <w:t>Centro de Radioterapia RG</w:t>
            </w:r>
          </w:p>
        </w:tc>
        <w:tc>
          <w:tcPr>
            <w:tcW w:w="1560" w:type="dxa"/>
            <w:tcBorders>
              <w:top w:val="nil"/>
              <w:left w:val="nil"/>
              <w:bottom w:val="single" w:sz="4" w:space="0" w:color="auto"/>
              <w:right w:val="single" w:sz="8" w:space="0" w:color="auto"/>
            </w:tcBorders>
            <w:shd w:val="clear" w:color="auto" w:fill="auto"/>
            <w:vAlign w:val="center"/>
            <w:hideMark/>
          </w:tcPr>
          <w:p w14:paraId="66A8FBCF" w14:textId="77777777" w:rsidR="00785A78" w:rsidRPr="00A61C89" w:rsidRDefault="00785A78" w:rsidP="00C5653F">
            <w:pPr>
              <w:jc w:val="center"/>
              <w:rPr>
                <w:sz w:val="20"/>
                <w:szCs w:val="20"/>
              </w:rPr>
            </w:pPr>
            <w:r w:rsidRPr="00A61C89">
              <w:rPr>
                <w:sz w:val="20"/>
                <w:szCs w:val="20"/>
              </w:rPr>
              <w:t>Local</w:t>
            </w:r>
          </w:p>
        </w:tc>
      </w:tr>
      <w:tr w:rsidR="00785A78" w:rsidRPr="00785A78" w14:paraId="29F00158" w14:textId="77777777" w:rsidTr="00BA304B">
        <w:trPr>
          <w:trHeight w:val="315"/>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2172C082" w14:textId="77777777" w:rsidR="00785A78" w:rsidRPr="00A61C89" w:rsidRDefault="00785A78" w:rsidP="00C5653F">
            <w:pPr>
              <w:jc w:val="center"/>
              <w:rPr>
                <w:sz w:val="20"/>
                <w:szCs w:val="20"/>
              </w:rPr>
            </w:pPr>
            <w:r w:rsidRPr="00A61C89">
              <w:rPr>
                <w:sz w:val="20"/>
                <w:szCs w:val="20"/>
              </w:rPr>
              <w:t>SIT</w:t>
            </w:r>
          </w:p>
        </w:tc>
        <w:tc>
          <w:tcPr>
            <w:tcW w:w="2680" w:type="dxa"/>
            <w:tcBorders>
              <w:top w:val="nil"/>
              <w:left w:val="nil"/>
              <w:bottom w:val="single" w:sz="4" w:space="0" w:color="auto"/>
              <w:right w:val="single" w:sz="4" w:space="0" w:color="auto"/>
            </w:tcBorders>
            <w:shd w:val="clear" w:color="auto" w:fill="auto"/>
            <w:vAlign w:val="center"/>
            <w:hideMark/>
          </w:tcPr>
          <w:p w14:paraId="4A500C13" w14:textId="77777777" w:rsidR="00785A78" w:rsidRPr="00A61C89" w:rsidRDefault="00785A78" w:rsidP="00C5653F">
            <w:pPr>
              <w:jc w:val="center"/>
              <w:rPr>
                <w:sz w:val="20"/>
                <w:szCs w:val="20"/>
              </w:rPr>
            </w:pPr>
            <w:r w:rsidRPr="00A61C89">
              <w:rPr>
                <w:sz w:val="20"/>
                <w:szCs w:val="20"/>
              </w:rPr>
              <w:t>Centro de Radioterapia BRC</w:t>
            </w:r>
          </w:p>
        </w:tc>
        <w:tc>
          <w:tcPr>
            <w:tcW w:w="1560" w:type="dxa"/>
            <w:tcBorders>
              <w:top w:val="nil"/>
              <w:left w:val="nil"/>
              <w:bottom w:val="single" w:sz="4" w:space="0" w:color="auto"/>
              <w:right w:val="single" w:sz="8" w:space="0" w:color="auto"/>
            </w:tcBorders>
            <w:shd w:val="clear" w:color="auto" w:fill="auto"/>
            <w:vAlign w:val="center"/>
            <w:hideMark/>
          </w:tcPr>
          <w:p w14:paraId="7BEC0E5D" w14:textId="77777777" w:rsidR="00785A78" w:rsidRPr="00A61C89" w:rsidRDefault="00785A78" w:rsidP="00C5653F">
            <w:pPr>
              <w:jc w:val="center"/>
              <w:rPr>
                <w:sz w:val="20"/>
                <w:szCs w:val="20"/>
              </w:rPr>
            </w:pPr>
            <w:r w:rsidRPr="00A61C89">
              <w:rPr>
                <w:sz w:val="20"/>
                <w:szCs w:val="20"/>
              </w:rPr>
              <w:t>Local</w:t>
            </w:r>
          </w:p>
        </w:tc>
      </w:tr>
      <w:tr w:rsidR="00785A78" w:rsidRPr="00785A78" w14:paraId="4E2A2493" w14:textId="77777777" w:rsidTr="00BA304B">
        <w:trPr>
          <w:trHeight w:val="315"/>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777054AC" w14:textId="77777777" w:rsidR="00785A78" w:rsidRPr="00A61C89" w:rsidRDefault="00785A78" w:rsidP="00C5653F">
            <w:pPr>
              <w:jc w:val="center"/>
              <w:rPr>
                <w:sz w:val="20"/>
                <w:szCs w:val="20"/>
              </w:rPr>
            </w:pPr>
            <w:r w:rsidRPr="00A61C89">
              <w:rPr>
                <w:sz w:val="20"/>
                <w:szCs w:val="20"/>
              </w:rPr>
              <w:t>SIT</w:t>
            </w:r>
          </w:p>
        </w:tc>
        <w:tc>
          <w:tcPr>
            <w:tcW w:w="2680" w:type="dxa"/>
            <w:tcBorders>
              <w:top w:val="nil"/>
              <w:left w:val="nil"/>
              <w:bottom w:val="single" w:sz="4" w:space="0" w:color="auto"/>
              <w:right w:val="single" w:sz="4" w:space="0" w:color="auto"/>
            </w:tcBorders>
            <w:shd w:val="clear" w:color="auto" w:fill="auto"/>
            <w:vAlign w:val="center"/>
            <w:hideMark/>
          </w:tcPr>
          <w:p w14:paraId="2B6D442B" w14:textId="77777777" w:rsidR="00785A78" w:rsidRPr="00A61C89" w:rsidRDefault="00785A78" w:rsidP="00C5653F">
            <w:pPr>
              <w:jc w:val="center"/>
              <w:rPr>
                <w:sz w:val="20"/>
                <w:szCs w:val="20"/>
              </w:rPr>
            </w:pPr>
            <w:r w:rsidRPr="00A61C89">
              <w:rPr>
                <w:sz w:val="20"/>
                <w:szCs w:val="20"/>
              </w:rPr>
              <w:t>Centro de Radioterapia CABA</w:t>
            </w:r>
          </w:p>
        </w:tc>
        <w:tc>
          <w:tcPr>
            <w:tcW w:w="1560" w:type="dxa"/>
            <w:tcBorders>
              <w:top w:val="nil"/>
              <w:left w:val="nil"/>
              <w:bottom w:val="single" w:sz="4" w:space="0" w:color="auto"/>
              <w:right w:val="single" w:sz="8" w:space="0" w:color="auto"/>
            </w:tcBorders>
            <w:shd w:val="clear" w:color="auto" w:fill="auto"/>
            <w:vAlign w:val="center"/>
            <w:hideMark/>
          </w:tcPr>
          <w:p w14:paraId="19DCFEDD" w14:textId="77777777" w:rsidR="00785A78" w:rsidRPr="00A61C89" w:rsidRDefault="00785A78" w:rsidP="00C5653F">
            <w:pPr>
              <w:jc w:val="center"/>
              <w:rPr>
                <w:sz w:val="20"/>
                <w:szCs w:val="20"/>
              </w:rPr>
            </w:pPr>
            <w:r w:rsidRPr="00A61C89">
              <w:rPr>
                <w:sz w:val="20"/>
                <w:szCs w:val="20"/>
              </w:rPr>
              <w:t>Local</w:t>
            </w:r>
          </w:p>
        </w:tc>
      </w:tr>
      <w:tr w:rsidR="00785A78" w:rsidRPr="00785A78" w14:paraId="6F910611" w14:textId="77777777" w:rsidTr="00BA304B">
        <w:trPr>
          <w:trHeight w:val="45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41C9EF66" w14:textId="77777777" w:rsidR="00785A78" w:rsidRPr="00A61C89" w:rsidRDefault="00785A78" w:rsidP="00C5653F">
            <w:pPr>
              <w:jc w:val="center"/>
              <w:rPr>
                <w:sz w:val="20"/>
                <w:szCs w:val="20"/>
              </w:rPr>
            </w:pPr>
            <w:r w:rsidRPr="00A61C89">
              <w:rPr>
                <w:sz w:val="20"/>
                <w:szCs w:val="20"/>
              </w:rPr>
              <w:t>SIT</w:t>
            </w:r>
          </w:p>
        </w:tc>
        <w:tc>
          <w:tcPr>
            <w:tcW w:w="2680" w:type="dxa"/>
            <w:tcBorders>
              <w:top w:val="nil"/>
              <w:left w:val="nil"/>
              <w:bottom w:val="single" w:sz="4" w:space="0" w:color="auto"/>
              <w:right w:val="single" w:sz="4" w:space="0" w:color="auto"/>
            </w:tcBorders>
            <w:shd w:val="clear" w:color="auto" w:fill="auto"/>
            <w:vAlign w:val="center"/>
            <w:hideMark/>
          </w:tcPr>
          <w:p w14:paraId="7AF1E748" w14:textId="77777777" w:rsidR="00785A78" w:rsidRPr="00A61C89" w:rsidRDefault="00785A78" w:rsidP="00C5653F">
            <w:pPr>
              <w:jc w:val="center"/>
              <w:rPr>
                <w:sz w:val="20"/>
                <w:szCs w:val="20"/>
                <w:lang w:val="es-ES"/>
              </w:rPr>
            </w:pPr>
            <w:r w:rsidRPr="00A61C89">
              <w:rPr>
                <w:sz w:val="20"/>
                <w:szCs w:val="20"/>
                <w:lang w:val="es-ES"/>
              </w:rPr>
              <w:t>Centro de Radioterapia Comodoro Rivadavia</w:t>
            </w:r>
          </w:p>
        </w:tc>
        <w:tc>
          <w:tcPr>
            <w:tcW w:w="1560" w:type="dxa"/>
            <w:tcBorders>
              <w:top w:val="nil"/>
              <w:left w:val="nil"/>
              <w:bottom w:val="single" w:sz="4" w:space="0" w:color="auto"/>
              <w:right w:val="single" w:sz="8" w:space="0" w:color="auto"/>
            </w:tcBorders>
            <w:shd w:val="clear" w:color="auto" w:fill="auto"/>
            <w:vAlign w:val="center"/>
            <w:hideMark/>
          </w:tcPr>
          <w:p w14:paraId="2D429D15" w14:textId="77777777" w:rsidR="00785A78" w:rsidRPr="00A61C89" w:rsidRDefault="00785A78" w:rsidP="00C5653F">
            <w:pPr>
              <w:jc w:val="center"/>
              <w:rPr>
                <w:sz w:val="20"/>
                <w:szCs w:val="20"/>
              </w:rPr>
            </w:pPr>
            <w:r w:rsidRPr="00A61C89">
              <w:rPr>
                <w:sz w:val="20"/>
                <w:szCs w:val="20"/>
              </w:rPr>
              <w:t>Local</w:t>
            </w:r>
          </w:p>
        </w:tc>
      </w:tr>
      <w:tr w:rsidR="00785A78" w:rsidRPr="00785A78" w14:paraId="239668A4" w14:textId="77777777" w:rsidTr="00BA304B">
        <w:trPr>
          <w:trHeight w:val="45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29A2B968" w14:textId="77777777" w:rsidR="00785A78" w:rsidRPr="00A61C89" w:rsidRDefault="00785A78" w:rsidP="00C5653F">
            <w:pPr>
              <w:jc w:val="center"/>
              <w:rPr>
                <w:sz w:val="20"/>
                <w:szCs w:val="20"/>
              </w:rPr>
            </w:pPr>
            <w:r w:rsidRPr="00A61C89">
              <w:rPr>
                <w:sz w:val="20"/>
                <w:szCs w:val="20"/>
              </w:rPr>
              <w:t>SIT</w:t>
            </w:r>
          </w:p>
        </w:tc>
        <w:tc>
          <w:tcPr>
            <w:tcW w:w="2680" w:type="dxa"/>
            <w:tcBorders>
              <w:top w:val="nil"/>
              <w:left w:val="nil"/>
              <w:bottom w:val="single" w:sz="4" w:space="0" w:color="auto"/>
              <w:right w:val="single" w:sz="4" w:space="0" w:color="auto"/>
            </w:tcBorders>
            <w:shd w:val="clear" w:color="auto" w:fill="auto"/>
            <w:vAlign w:val="center"/>
            <w:hideMark/>
          </w:tcPr>
          <w:p w14:paraId="62AF8EBD" w14:textId="0AD0098B" w:rsidR="00785A78" w:rsidRPr="00A61C89" w:rsidRDefault="00785A78" w:rsidP="00C5653F">
            <w:pPr>
              <w:jc w:val="center"/>
              <w:rPr>
                <w:sz w:val="20"/>
                <w:szCs w:val="20"/>
                <w:lang w:val="es-ES"/>
              </w:rPr>
            </w:pPr>
            <w:r w:rsidRPr="00A61C89">
              <w:rPr>
                <w:sz w:val="20"/>
                <w:szCs w:val="20"/>
                <w:lang w:val="es-ES"/>
              </w:rPr>
              <w:t xml:space="preserve"> Centros de Medicina Nuclear y Radiofarmacia (CMNyR) - Bolivia</w:t>
            </w:r>
          </w:p>
        </w:tc>
        <w:tc>
          <w:tcPr>
            <w:tcW w:w="1560" w:type="dxa"/>
            <w:tcBorders>
              <w:top w:val="nil"/>
              <w:left w:val="nil"/>
              <w:bottom w:val="single" w:sz="4" w:space="0" w:color="auto"/>
              <w:right w:val="single" w:sz="8" w:space="0" w:color="auto"/>
            </w:tcBorders>
            <w:shd w:val="clear" w:color="auto" w:fill="auto"/>
            <w:vAlign w:val="center"/>
            <w:hideMark/>
          </w:tcPr>
          <w:p w14:paraId="0403DF33" w14:textId="77777777" w:rsidR="00785A78" w:rsidRPr="00A61C89" w:rsidRDefault="00785A78" w:rsidP="00C5653F">
            <w:pPr>
              <w:jc w:val="center"/>
              <w:rPr>
                <w:sz w:val="20"/>
                <w:szCs w:val="20"/>
              </w:rPr>
            </w:pPr>
            <w:r w:rsidRPr="00A61C89">
              <w:rPr>
                <w:sz w:val="20"/>
                <w:szCs w:val="20"/>
              </w:rPr>
              <w:t>Exportación</w:t>
            </w:r>
          </w:p>
        </w:tc>
      </w:tr>
      <w:tr w:rsidR="00785A78" w:rsidRPr="00785A78" w14:paraId="5BAB1EAC" w14:textId="77777777" w:rsidTr="00BA304B">
        <w:trPr>
          <w:trHeight w:val="465"/>
        </w:trPr>
        <w:tc>
          <w:tcPr>
            <w:tcW w:w="2680" w:type="dxa"/>
            <w:tcBorders>
              <w:top w:val="nil"/>
              <w:left w:val="single" w:sz="8" w:space="0" w:color="auto"/>
              <w:bottom w:val="single" w:sz="8" w:space="0" w:color="auto"/>
              <w:right w:val="single" w:sz="4" w:space="0" w:color="auto"/>
            </w:tcBorders>
            <w:shd w:val="clear" w:color="auto" w:fill="auto"/>
            <w:vAlign w:val="center"/>
            <w:hideMark/>
          </w:tcPr>
          <w:p w14:paraId="5C392F7F" w14:textId="77777777" w:rsidR="00785A78" w:rsidRPr="00A61C89" w:rsidRDefault="00785A78" w:rsidP="00C5653F">
            <w:pPr>
              <w:jc w:val="center"/>
              <w:rPr>
                <w:sz w:val="20"/>
                <w:szCs w:val="20"/>
              </w:rPr>
            </w:pPr>
            <w:r w:rsidRPr="00A61C89">
              <w:rPr>
                <w:sz w:val="20"/>
                <w:szCs w:val="20"/>
              </w:rPr>
              <w:t>SIT</w:t>
            </w:r>
          </w:p>
        </w:tc>
        <w:tc>
          <w:tcPr>
            <w:tcW w:w="2680" w:type="dxa"/>
            <w:tcBorders>
              <w:top w:val="nil"/>
              <w:left w:val="nil"/>
              <w:bottom w:val="single" w:sz="8" w:space="0" w:color="auto"/>
              <w:right w:val="single" w:sz="4" w:space="0" w:color="auto"/>
            </w:tcBorders>
            <w:shd w:val="clear" w:color="auto" w:fill="auto"/>
            <w:vAlign w:val="center"/>
            <w:hideMark/>
          </w:tcPr>
          <w:p w14:paraId="18E005C3" w14:textId="77777777" w:rsidR="00785A78" w:rsidRPr="00A61C89" w:rsidRDefault="00785A78" w:rsidP="00C5653F">
            <w:pPr>
              <w:jc w:val="center"/>
              <w:rPr>
                <w:sz w:val="20"/>
                <w:szCs w:val="20"/>
                <w:lang w:val="es-ES"/>
              </w:rPr>
            </w:pPr>
            <w:r w:rsidRPr="00A61C89">
              <w:rPr>
                <w:sz w:val="20"/>
                <w:szCs w:val="20"/>
                <w:lang w:val="es-ES"/>
              </w:rPr>
              <w:t>Mantenimiento de Centros de Radioterapia de Venezuela</w:t>
            </w:r>
          </w:p>
        </w:tc>
        <w:tc>
          <w:tcPr>
            <w:tcW w:w="1560" w:type="dxa"/>
            <w:tcBorders>
              <w:top w:val="nil"/>
              <w:left w:val="nil"/>
              <w:bottom w:val="single" w:sz="8" w:space="0" w:color="auto"/>
              <w:right w:val="single" w:sz="8" w:space="0" w:color="auto"/>
            </w:tcBorders>
            <w:shd w:val="clear" w:color="auto" w:fill="auto"/>
            <w:vAlign w:val="center"/>
            <w:hideMark/>
          </w:tcPr>
          <w:p w14:paraId="6549CF85" w14:textId="77777777" w:rsidR="00785A78" w:rsidRPr="00A61C89" w:rsidRDefault="00785A78" w:rsidP="00C5653F">
            <w:pPr>
              <w:jc w:val="center"/>
              <w:rPr>
                <w:sz w:val="20"/>
                <w:szCs w:val="20"/>
              </w:rPr>
            </w:pPr>
            <w:r w:rsidRPr="00A61C89">
              <w:rPr>
                <w:sz w:val="20"/>
                <w:szCs w:val="20"/>
              </w:rPr>
              <w:t>Exportación</w:t>
            </w:r>
          </w:p>
        </w:tc>
      </w:tr>
    </w:tbl>
    <w:p w14:paraId="05B964CC" w14:textId="77777777" w:rsidR="00684BA3" w:rsidRPr="007213A1" w:rsidRDefault="00684BA3" w:rsidP="00684BA3">
      <w:pPr>
        <w:widowControl w:val="0"/>
        <w:suppressLineNumbers/>
        <w:suppressAutoHyphens/>
        <w:jc w:val="both"/>
        <w:rPr>
          <w:iCs/>
          <w:sz w:val="20"/>
          <w:szCs w:val="20"/>
          <w:lang w:val="es-MX" w:eastAsia="es-ES"/>
        </w:rPr>
      </w:pPr>
    </w:p>
    <w:p w14:paraId="170180A3" w14:textId="77777777" w:rsidR="005D498A" w:rsidRPr="005D498A" w:rsidRDefault="005D498A" w:rsidP="005D498A">
      <w:pPr>
        <w:widowControl w:val="0"/>
        <w:suppressLineNumbers/>
        <w:suppressAutoHyphens/>
        <w:jc w:val="both"/>
        <w:rPr>
          <w:b/>
          <w:bCs/>
          <w:iCs/>
          <w:sz w:val="20"/>
          <w:szCs w:val="20"/>
          <w:lang w:val="es-MX" w:eastAsia="es-ES"/>
        </w:rPr>
      </w:pPr>
      <w:r w:rsidRPr="005D498A">
        <w:rPr>
          <w:b/>
          <w:bCs/>
          <w:iCs/>
          <w:sz w:val="20"/>
          <w:szCs w:val="20"/>
          <w:lang w:val="es-MX" w:eastAsia="es-ES"/>
        </w:rPr>
        <w:t>d) Controles de cambio</w:t>
      </w:r>
    </w:p>
    <w:p w14:paraId="2FB0AE07" w14:textId="77777777" w:rsidR="005D498A" w:rsidRPr="005D498A" w:rsidRDefault="005D498A" w:rsidP="005D498A">
      <w:pPr>
        <w:widowControl w:val="0"/>
        <w:suppressLineNumbers/>
        <w:suppressAutoHyphens/>
        <w:jc w:val="both"/>
        <w:rPr>
          <w:b/>
          <w:bCs/>
          <w:iCs/>
          <w:sz w:val="20"/>
          <w:szCs w:val="20"/>
          <w:lang w:val="es-MX" w:eastAsia="es-ES"/>
        </w:rPr>
      </w:pPr>
    </w:p>
    <w:p w14:paraId="281120F4" w14:textId="77777777" w:rsidR="005D498A" w:rsidRPr="005D498A" w:rsidRDefault="005D498A" w:rsidP="005D498A">
      <w:pPr>
        <w:spacing w:before="120"/>
        <w:jc w:val="both"/>
        <w:rPr>
          <w:sz w:val="20"/>
          <w:szCs w:val="20"/>
          <w:lang w:val="es-AR" w:eastAsia="es-ES"/>
        </w:rPr>
      </w:pPr>
      <w:r w:rsidRPr="005D498A">
        <w:rPr>
          <w:sz w:val="20"/>
          <w:szCs w:val="20"/>
          <w:lang w:val="es-ES" w:eastAsia="es-ES"/>
        </w:rPr>
        <w:t xml:space="preserve">En enero de 2002, con la sanción de la Ley N° 25.561 de Emergencia se declaró la emergencia pública en materia social, económica, administrativa, financiera y cambiaria, y se facultó al </w:t>
      </w:r>
      <w:r w:rsidRPr="005D498A">
        <w:rPr>
          <w:sz w:val="20"/>
          <w:szCs w:val="20"/>
          <w:lang w:val="es-AR" w:eastAsia="es-ES"/>
        </w:rPr>
        <w:t>Poder Ejecutivo Nacional (“</w:t>
      </w:r>
      <w:r w:rsidRPr="005D498A">
        <w:rPr>
          <w:sz w:val="20"/>
          <w:szCs w:val="20"/>
          <w:u w:val="single"/>
          <w:lang w:val="es-AR" w:eastAsia="es-ES"/>
        </w:rPr>
        <w:t>PEN</w:t>
      </w:r>
      <w:r w:rsidRPr="005D498A">
        <w:rPr>
          <w:sz w:val="20"/>
          <w:szCs w:val="20"/>
          <w:lang w:val="es-AR" w:eastAsia="es-ES"/>
        </w:rPr>
        <w:t>”) para establecer el sistema que determinará la relación de cambio entre el peso y las divisas extranjeras, y dictar regulaciones cambiarias</w:t>
      </w:r>
      <w:r w:rsidRPr="005D498A">
        <w:rPr>
          <w:sz w:val="20"/>
          <w:szCs w:val="20"/>
          <w:lang w:val="es-ES" w:eastAsia="es-ES"/>
        </w:rPr>
        <w:t xml:space="preserve">. En tal contexto, el 8 de febrero de 2002 a través del Decreto N° 260/02, el PEN estableció (i) el MULC, a través del cual deben cursarse todas las operaciones de cambio en divisas extranjeras, y (ii) que las operaciones de cambio en divisas extranjeras deben ser realizadas al tipo de cambio libremente pactado entre las partes contratantes y sujetarse a los requisitos y a la reglamentación que establezca el BCRA (la cual, en sus aspectos principales, se detalla más </w:t>
      </w:r>
      <w:r w:rsidRPr="005D498A">
        <w:rPr>
          <w:sz w:val="20"/>
          <w:szCs w:val="20"/>
          <w:lang w:val="es-AR" w:eastAsia="es-ES"/>
        </w:rPr>
        <w:t>abajo).</w:t>
      </w:r>
    </w:p>
    <w:p w14:paraId="342A0563" w14:textId="77777777" w:rsidR="005D498A" w:rsidRPr="005D498A" w:rsidRDefault="005D498A" w:rsidP="005D498A">
      <w:pPr>
        <w:widowControl w:val="0"/>
        <w:autoSpaceDE w:val="0"/>
        <w:autoSpaceDN w:val="0"/>
        <w:adjustRightInd w:val="0"/>
        <w:spacing w:before="120"/>
        <w:jc w:val="both"/>
        <w:rPr>
          <w:sz w:val="20"/>
          <w:szCs w:val="20"/>
          <w:lang w:val="es-AR" w:eastAsia="es-ES"/>
        </w:rPr>
      </w:pPr>
      <w:r w:rsidRPr="005D498A">
        <w:rPr>
          <w:sz w:val="20"/>
          <w:szCs w:val="20"/>
          <w:lang w:val="es-AR" w:eastAsia="es-ES"/>
        </w:rPr>
        <w:t xml:space="preserve">Desde fines del 2015, con el cambio de Gobierno, se han introducido significantes modificaciones al marco regulatorio cambiario, flexibilizando el régimen cambiario y facilitando el ingreso al MULC, que eliminaron algunas de las restricciones que imperaban, a la vez que redefinieron aspectos importantes del esquema aplicable a algunos tipos de operaciones en el MULC. </w:t>
      </w:r>
    </w:p>
    <w:p w14:paraId="4B1D6B26" w14:textId="77777777" w:rsidR="005D498A" w:rsidRPr="005D498A" w:rsidRDefault="005D498A" w:rsidP="005D498A">
      <w:pPr>
        <w:widowControl w:val="0"/>
        <w:autoSpaceDE w:val="0"/>
        <w:autoSpaceDN w:val="0"/>
        <w:adjustRightInd w:val="0"/>
        <w:spacing w:before="120"/>
        <w:jc w:val="both"/>
        <w:rPr>
          <w:i/>
          <w:sz w:val="20"/>
          <w:szCs w:val="20"/>
          <w:lang w:val="es-AR" w:eastAsia="es-ES"/>
        </w:rPr>
      </w:pPr>
      <w:r w:rsidRPr="005D498A">
        <w:rPr>
          <w:sz w:val="20"/>
          <w:szCs w:val="20"/>
          <w:lang w:val="es-AR" w:eastAsia="es-ES"/>
        </w:rPr>
        <w:t>A partir de la entrada en vigencia de la Comunicación “A”6244 (</w:t>
      </w:r>
      <w:r w:rsidRPr="005D498A">
        <w:rPr>
          <w:sz w:val="20"/>
          <w:szCs w:val="20"/>
          <w:lang w:val="es-ES" w:eastAsia="es-ES"/>
        </w:rPr>
        <w:t>posteriormente modificada por la Comunicación “A” 6312)</w:t>
      </w:r>
      <w:r w:rsidRPr="005D498A">
        <w:rPr>
          <w:sz w:val="20"/>
          <w:szCs w:val="20"/>
          <w:lang w:val="es-AR" w:eastAsia="es-ES"/>
        </w:rPr>
        <w:t xml:space="preserve">, el 1 de julio de 2017, se definió la liberación del MULC, </w:t>
      </w:r>
      <w:r w:rsidRPr="005D498A">
        <w:rPr>
          <w:iCs/>
          <w:sz w:val="20"/>
          <w:szCs w:val="20"/>
          <w:lang w:val="es-AR" w:eastAsia="es-ES"/>
        </w:rPr>
        <w:t>actualmente redefinido como Mercado Libre de Cambios (“</w:t>
      </w:r>
      <w:r w:rsidRPr="005D498A">
        <w:rPr>
          <w:iCs/>
          <w:sz w:val="20"/>
          <w:szCs w:val="20"/>
          <w:u w:val="single"/>
          <w:lang w:val="es-AR" w:eastAsia="es-ES"/>
        </w:rPr>
        <w:t>MLC</w:t>
      </w:r>
      <w:r w:rsidRPr="005D498A">
        <w:rPr>
          <w:iCs/>
          <w:sz w:val="20"/>
          <w:szCs w:val="20"/>
          <w:lang w:val="es-AR" w:eastAsia="es-ES"/>
        </w:rPr>
        <w:t>”)</w:t>
      </w:r>
      <w:r w:rsidRPr="005D498A">
        <w:rPr>
          <w:sz w:val="20"/>
          <w:szCs w:val="20"/>
          <w:lang w:val="es-AR" w:eastAsia="es-ES"/>
        </w:rPr>
        <w:t xml:space="preserve">, dejándose sin efecto todas las normas que reglamentaban la operatoria cambiaria, la posición general de cambios, así como aquellas atinentes al ingreso de divisas de operaciones de exportaciones de bienes y los seguimientos asociados a dicho ingreso –entre otras–, las que pasaron a regirse por esta nueva Comunicación, y por las regulaciones modificatorias y complementarias que se dicten con posterioridad. </w:t>
      </w:r>
    </w:p>
    <w:p w14:paraId="42A475E2" w14:textId="77777777" w:rsidR="005D498A" w:rsidRPr="005D498A" w:rsidRDefault="005D498A" w:rsidP="005D498A">
      <w:pPr>
        <w:spacing w:before="120"/>
        <w:jc w:val="both"/>
        <w:rPr>
          <w:sz w:val="20"/>
          <w:szCs w:val="20"/>
          <w:lang w:val="es-ES" w:eastAsia="es-ES"/>
        </w:rPr>
      </w:pPr>
      <w:r w:rsidRPr="005D498A">
        <w:rPr>
          <w:i/>
          <w:sz w:val="20"/>
          <w:szCs w:val="20"/>
          <w:lang w:val="es-AR" w:eastAsia="es-ES"/>
        </w:rPr>
        <w:t xml:space="preserve">Decreto Nº 616/05 </w:t>
      </w:r>
    </w:p>
    <w:p w14:paraId="3A4B3A37" w14:textId="4C613863" w:rsidR="005D498A" w:rsidRPr="005D498A" w:rsidRDefault="005D498A" w:rsidP="005D498A">
      <w:pPr>
        <w:spacing w:before="120"/>
        <w:jc w:val="both"/>
        <w:rPr>
          <w:sz w:val="20"/>
          <w:szCs w:val="20"/>
          <w:lang w:val="es-ES" w:eastAsia="es-ES"/>
        </w:rPr>
      </w:pPr>
      <w:r w:rsidRPr="005D498A">
        <w:rPr>
          <w:sz w:val="20"/>
          <w:szCs w:val="20"/>
          <w:lang w:val="es-ES" w:eastAsia="es-ES"/>
        </w:rPr>
        <w:t xml:space="preserve">El Decreto Nº 616/05 dictado por el PEN el 9 de junio de 2005, estableció que (a) todo ingreso de fondos al mercado local de cambios originado en el endeudamiento con el exterior de personas </w:t>
      </w:r>
      <w:r w:rsidR="00450196">
        <w:rPr>
          <w:sz w:val="20"/>
          <w:szCs w:val="20"/>
          <w:lang w:val="es-ES" w:eastAsia="es-ES"/>
        </w:rPr>
        <w:t>humanas</w:t>
      </w:r>
      <w:r w:rsidR="00450196" w:rsidRPr="005D498A">
        <w:rPr>
          <w:sz w:val="20"/>
          <w:szCs w:val="20"/>
          <w:lang w:val="es-ES" w:eastAsia="es-ES"/>
        </w:rPr>
        <w:t xml:space="preserve"> </w:t>
      </w:r>
      <w:r w:rsidRPr="005D498A">
        <w:rPr>
          <w:sz w:val="20"/>
          <w:szCs w:val="20"/>
          <w:lang w:val="es-ES" w:eastAsia="es-ES"/>
        </w:rPr>
        <w:t>o jurídicas pertenecientes al sector privado, excluyendo los referidos al financiamiento del comercio exterior y a las emisiones primarias de valores negociables de deuda que cuenten con oferta pública y listado en mercados; (b) todo ingreso de fondos de no residentes cursados por el mercado local de cambios destinados a: tenencias de moneda local, adquisición de activos o pasivos financieros de todo tipo del sector privado financiero o no financiero (excluyendo la inversión extranjera directa (es decir, inversiones en inmuebles o que representen al menos un 10% del capital social o votos de una empresa local) y las emisiones primarias de valores negociables de deuda y de acciones que cuenten con oferta pública y listado en mercados, e inversiones en valores emitidos por el sector público que sean adquiridos en mercados secundarios; debían cumplir los siguientes requisitos: (a) los fondos ingresados sólo podían ser transferidos fuera del mercado local de cambios al vencimiento de un plazo de 365 días corridos, a contar desde la fecha de ingreso de los mismos al país (el “</w:t>
      </w:r>
      <w:r w:rsidRPr="005D498A">
        <w:rPr>
          <w:sz w:val="20"/>
          <w:szCs w:val="20"/>
          <w:u w:val="single"/>
          <w:lang w:val="es-ES" w:eastAsia="es-ES"/>
        </w:rPr>
        <w:t>Plazo Mínimo de Permanencia</w:t>
      </w:r>
      <w:r w:rsidRPr="005D498A">
        <w:rPr>
          <w:sz w:val="20"/>
          <w:szCs w:val="20"/>
          <w:lang w:val="es-ES" w:eastAsia="es-ES"/>
        </w:rPr>
        <w:t>”); (b) el resultado de la negociación de cambios de los fondos ingresados debía acreditarse en una cuenta del sistema bancario local; (c) debía constituirse un depósito nominativo, no transferible y no remunerado, por el 30% del monto involucrado en la operación correspondiente, durante un plazo de 365 días corridos, de acuerdo a las condiciones que se establecieron en la reglamentación (el “</w:t>
      </w:r>
      <w:r w:rsidRPr="005D498A">
        <w:rPr>
          <w:sz w:val="20"/>
          <w:szCs w:val="20"/>
          <w:u w:val="single"/>
          <w:lang w:val="es-ES" w:eastAsia="es-ES"/>
        </w:rPr>
        <w:t>Depósito</w:t>
      </w:r>
      <w:r w:rsidRPr="005D498A">
        <w:rPr>
          <w:sz w:val="20"/>
          <w:szCs w:val="20"/>
          <w:lang w:val="es-ES" w:eastAsia="es-ES"/>
        </w:rPr>
        <w:t>”); y (d) el Depósito debía ser constituido en dólares en las entidades financieras del país, no devengando intereses ni beneficios de ningún tipo, ni pudiendo ser utilizado como garantía de operaciones de crédito de ningún tipo. Cabe aclarar que existían diversas excepciones a los requisitos del Decreto Nro. 616/2005.</w:t>
      </w:r>
    </w:p>
    <w:p w14:paraId="73052505" w14:textId="77777777" w:rsidR="005D498A" w:rsidRPr="005D498A" w:rsidRDefault="005D498A" w:rsidP="005D498A">
      <w:pPr>
        <w:spacing w:before="120"/>
        <w:jc w:val="both"/>
        <w:rPr>
          <w:sz w:val="20"/>
          <w:szCs w:val="20"/>
          <w:lang w:val="es-ES" w:eastAsia="es-ES"/>
        </w:rPr>
      </w:pPr>
      <w:r w:rsidRPr="005D498A">
        <w:rPr>
          <w:sz w:val="20"/>
          <w:szCs w:val="20"/>
          <w:lang w:val="es-ES" w:eastAsia="es-ES"/>
        </w:rPr>
        <w:t>En virtud de las facultades delegadas por el Artículo 5° de dicho Decreto se facultó al Ministerio de Economía y Producción, actual Ministerio de Hacienda a modificar, en caso de producirse cambios en las condiciones macroeconómicas, (i) el Plazo Mínimo de Permanencia, y (ii) el porcentaje correspondiente al Depósito.</w:t>
      </w:r>
    </w:p>
    <w:p w14:paraId="276A373D" w14:textId="77777777" w:rsidR="005D498A" w:rsidRPr="005D498A" w:rsidRDefault="005D498A" w:rsidP="005D498A">
      <w:pPr>
        <w:spacing w:before="120"/>
        <w:jc w:val="both"/>
        <w:rPr>
          <w:sz w:val="20"/>
          <w:szCs w:val="20"/>
          <w:lang w:val="es-ES" w:eastAsia="es-ES"/>
        </w:rPr>
      </w:pPr>
      <w:r w:rsidRPr="005D498A">
        <w:rPr>
          <w:sz w:val="20"/>
          <w:szCs w:val="20"/>
          <w:lang w:val="es-ES" w:eastAsia="es-ES"/>
        </w:rPr>
        <w:t>En este sentido, a través de la Resolución Nro. 3/2015 de fecha 18 de diciembre de 2015 y la Resolución Nro. 1/2017, el Ministerio de Hacienda redujo de 30% a 0% la alícuota aplicable al referido Depósito y, de manera complementaria, redujo de 365 a 0 días el Plazo Mínimo de Permanencia.</w:t>
      </w:r>
    </w:p>
    <w:p w14:paraId="30D5F3E8" w14:textId="77777777" w:rsidR="005D498A" w:rsidRPr="005D498A" w:rsidRDefault="005D498A" w:rsidP="005D498A">
      <w:pPr>
        <w:spacing w:before="120"/>
        <w:jc w:val="both"/>
        <w:rPr>
          <w:b/>
          <w:sz w:val="20"/>
          <w:szCs w:val="20"/>
          <w:lang w:val="es-ES" w:eastAsia="es-ES"/>
        </w:rPr>
      </w:pPr>
      <w:r w:rsidRPr="005D498A">
        <w:rPr>
          <w:sz w:val="20"/>
          <w:szCs w:val="20"/>
          <w:lang w:val="es-ES" w:eastAsia="es-ES"/>
        </w:rPr>
        <w:t>A continuación, se detallan los aspectos más relevantes de la normativa del BCRA a los fines del presente, incluyendo las recientes modificaciones introducidas por la Comunicación “A” 6.770 y concordantes.</w:t>
      </w:r>
    </w:p>
    <w:p w14:paraId="1AFACF78" w14:textId="77777777" w:rsidR="005D498A" w:rsidRPr="005D498A" w:rsidRDefault="005D498A" w:rsidP="005D498A">
      <w:pPr>
        <w:widowControl w:val="0"/>
        <w:autoSpaceDE w:val="0"/>
        <w:autoSpaceDN w:val="0"/>
        <w:adjustRightInd w:val="0"/>
        <w:spacing w:before="100" w:beforeAutospacing="1" w:after="100" w:afterAutospacing="1"/>
        <w:jc w:val="both"/>
        <w:rPr>
          <w:rFonts w:eastAsia="Calibri"/>
          <w:i/>
          <w:sz w:val="20"/>
          <w:szCs w:val="20"/>
          <w:lang w:val="es-MX"/>
        </w:rPr>
      </w:pPr>
      <w:r w:rsidRPr="005D498A">
        <w:rPr>
          <w:rFonts w:eastAsia="Calibri"/>
          <w:i/>
          <w:sz w:val="20"/>
          <w:szCs w:val="20"/>
          <w:lang w:val="es-MX"/>
        </w:rPr>
        <w:t>Nueva normativa cambiaria</w:t>
      </w:r>
    </w:p>
    <w:p w14:paraId="22F5ED50"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Recientemente, con fecha 1° de septiembre el Decreto de Necesidad y Urgencia N° 609 (“</w:t>
      </w:r>
      <w:r w:rsidRPr="005D498A">
        <w:rPr>
          <w:rFonts w:eastAsia="Calibri"/>
          <w:sz w:val="20"/>
          <w:szCs w:val="20"/>
          <w:u w:val="single"/>
          <w:lang w:val="es-MX"/>
        </w:rPr>
        <w:t>DNU</w:t>
      </w:r>
      <w:r w:rsidRPr="005D498A">
        <w:rPr>
          <w:rFonts w:eastAsia="Calibri"/>
          <w:sz w:val="20"/>
          <w:szCs w:val="20"/>
          <w:lang w:val="es-MX"/>
        </w:rPr>
        <w:t>”) publicado en el Boletín Oficial estableció en principio hasta el 31 de diciembre de 2019, el contravalor de la exportación de bienes y servicios deberá ingresarse al país en divisas y/o negociarse en el mercado de cambios en las condiciones y plazos que establezca el BCRA oportunamente.</w:t>
      </w:r>
    </w:p>
    <w:p w14:paraId="4F9DCAD0" w14:textId="48BD034F"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En ese marco, el BCRA emitió la Comunicación “A” 6770 (actualmente comprendida en el Texto Ordenado de “Exterior y Cambios” cuya última comunicación incorporada es la “A” 6844) por la cual se dispusieron restricciones al acceso al mercado de cambios para la compra de moneda extranjera y metales preciosos amonedados y las transferencias al exterior así como medidas que eviten prácticas y operaciones tendientes a eludir, a través de títulos públicos u otros instrumentos, lo dispuesto en dichas medidas.</w:t>
      </w:r>
    </w:p>
    <w:p w14:paraId="737A629A" w14:textId="1634C345"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A continuación, se detallan los aspectos más relevantes de la nueva normativa del BCRA conforme el Texto Ordenado de “Exterior y Cambios” y comunicaciones complementarias y concordantes, relativos al ingreso y egreso de fondos de la Argentina:</w:t>
      </w:r>
    </w:p>
    <w:p w14:paraId="3925B45E" w14:textId="77777777"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 xml:space="preserve">Cobro de Exportaciones </w:t>
      </w:r>
    </w:p>
    <w:p w14:paraId="76854EE4"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El contravalor en divisas de exportaciones de bienes oficializadas a partir del 2 de septiembre de 2019 hasta alcanzar el valor facturado según la condición de venta pactada deberá ingresarse al país y liquidarse en el mercado de cambios en conformidad con determinados plazos dispuestos en la normativa, a computar desde la fecha del cumplido de embarque otorgado por la Aduana. Sin perjuicio de ello, independientemente de los plazos máximos dispuestos, los cobros de exportaciones deberán ser ingresados y liquidados en el mercado local de cambios dentro de los 5 días hábiles de la fecha de cobro. En igual sentido, existe la obligación de ingresar y liquidar en el mercado local de cambios dentro de 5 días hábiles de haber percibido divisas respecto de una exportación de servicios. Se define la exportación de servicios como la provisión de un servicio por parte de un residente a un “no residente”, independientemente de la economía en la cual se preste dicho servicio.</w:t>
      </w:r>
    </w:p>
    <w:p w14:paraId="73306B60"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El exportador deberá seleccionar una entidad para que realice el “Seguimiento de las negociaciones de divisas por exportaciones de bienes”. La obligación de ingreso y liquidación de divisas de un permiso de embarque se considerará cumplida cuando la entidad haya certificado tal situación por los mecanismos establecidos a tal efecto.</w:t>
      </w:r>
    </w:p>
    <w:p w14:paraId="2394271B" w14:textId="77777777"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Cancelación de anticipos y préstamos de prefinanciación de exportaciones.</w:t>
      </w:r>
    </w:p>
    <w:p w14:paraId="05ACF993"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Se admite la aplicación de cobros de exportaciones a la cancelación de anticipos y préstamos de prefinanciación de exportaciones en determinados supuestos como la (i) Prefinanciaciones y financiaciones otorgadas o garantizadas por entidades financieras locales; (ii) Prefinanciaciones, anticipos y financiaciones ingresadas y liquidadas en el mercado local de cambios y declaradas en el relevamiento de activos y pasivos externos; (iii) Préstamos financieros con contratos vigentes al 31 de agosto de 2019 cuyas condiciones prevean la atención de los servicios mediante la aplicación en el exterior del flujo de fondos de exportaciones; (iv) Financiaciones de entidades financieras a importadores del exterior.</w:t>
      </w:r>
    </w:p>
    <w:p w14:paraId="57EF29CF"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Aquellas aplicaciones de cobro de exportaciones que no se encuentren detalladas en los puntos (i), a (iv) precedentes, requerirán la conformidad previa del BCRA.</w:t>
      </w:r>
    </w:p>
    <w:p w14:paraId="0D23C6E4" w14:textId="77777777"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Constitución de Activos Externos – Garantías y Operaciones de Derivados</w:t>
      </w:r>
    </w:p>
    <w:p w14:paraId="3091C064"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Se establece la conformidad previa del BCRA para el acceso al mercado de cambios por parte de personas jurídicas, gobiernos locales, Fondos Comunes de Inversión, Fideicomisos y otras universalidades constituidas en el país, para la constitución de activos externos y para la constitución de todo tipo de garantías vinculadas a la concertación de operaciones de derivados.</w:t>
      </w:r>
    </w:p>
    <w:p w14:paraId="628E9292"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Se aclara que las entidades podrán dar acceso al mercado local de cambios para realizar pagos de principal o intereses a los fideicomisos constituidos en el país por un residente, para garantizar la atención de los servicios de capital e intereses de su obligación, en la medida que verifique que el deudor hubiese tenido acceso para realizar el pago a su nombre por cumplimentar las disposiciones normativas aplicables.</w:t>
      </w:r>
    </w:p>
    <w:p w14:paraId="1299C781"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Al respecto, la Comunicación “A” 6814 aclara que se permite constituir garantías localmente para los contratos de endeudamiento financiero con el exterior contraídos tanto con anterioridad como con posterioridad al 31 de agosto de 2019; que, por el contrario, sólo se permite constituir garantías en el exterior para los contratos de endeudamiento financiero con el exterior contraídos con anterioridad al 31 de agosto de 2019.</w:t>
      </w:r>
    </w:p>
    <w:p w14:paraId="308758E3"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La Comunicación “A” 6815 dispone la conformidad previa del BCRA para el acceso al mercado de cambios por parte de Personas Humanas residentes para la constitución de activos externos ayuda familiar y para la operatoria de derivados cuando supere el equivalente de US$ 200 mensuales en el conjunto de las entidades autorizadas a operar en cambios y en el conjunto de los conceptos señalados precedentemente, reduciéndose dicho monto a US$ 100 en caso de que la operación sea efectuada en efectivo.</w:t>
      </w:r>
    </w:p>
    <w:p w14:paraId="5369B8B5"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La Comunicación “A” 6804 establece como requisito de acceso al mercado de cambios para la compra de moneda extranjera en los términos arriba mencionados, que la persona humana no haya excedido en el mes calendario anterior el límite de US$ 200. A estos efectos, el Banco Central informará periódicamente a las entidades autorizadas a operar en cambios el número de clave de identificación tributaria de las personas humanas que ya han alcanzado en ese mes calendario los límites previstos o que los hayan excedido en el mes calendario anterior. Las entidades autorizadas a operar en cambios no podrán dar acceso al mercado de cambios para la compra de moneda extranjera en el marco de las operaciones contempladas en el mencionado punto a quienes se encuentren incluidos en ese listado.</w:t>
      </w:r>
    </w:p>
    <w:p w14:paraId="19DFD318"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Toda solicitud de rectificación o actualización de la información incluida en el listado informado deberá ser cursada a la Superintendencia de Entidades Financieras y Cambiarias a través de una entidad autorizada a operar en cambios mediante una nota suscripta por el interesado, explicando los motivos por los cuales entiende que es inadecuada su inclusión. Junto con esa presentación deberá acompañar todos los elementos demostrativos de las circunstancias invocadas.</w:t>
      </w:r>
    </w:p>
    <w:p w14:paraId="3AB2034E"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 xml:space="preserve">Se establece como requisito para el acceso al mercado de cambios para la compra de moneda extranjera por parte de personas humanas residentes dentro de los limites mensuales establecidos en los párrafos precedentes, la presentación de una declaración jurada por parte del cliente respecto a que los fondos comprados no serán destinados a la compra en el mercado secundario de títulos valores dentro de los 5 (cinco) días hábiles a partir de la fecha de liquidación de dicha operación de cambio. </w:t>
      </w:r>
    </w:p>
    <w:p w14:paraId="5A359B08"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Por otro lado, se aclara que la conformidad previa para el acceso al mercado de cambios por parte de personas jurídicas para la formación de activos externos y para la constitución de todo tipo de garantías vinculadas a la concertación de operaciones de derivados, no alcanza a las entidades autorizadas a operar en cambios, cuyas tenencias en moneda extranjera se rigen por las normas específicas aplicables.</w:t>
      </w:r>
    </w:p>
    <w:p w14:paraId="558957A0"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Asimismo, se aclara que el requisito de conformidad previa establecido para las personas jurídicas, gobiernos locales, universalidades, FCI, fideicomisos y para las personas humanas para la constitución de todo tipo de garantías vinculadas a la concertación de operaciones de derivados, abarca a la totalidad de la operatoria de derivados. pago de primas, constitución de garantías y cancelaciones que correspondan de operaciones de futuros, forwards, opciones y otros derivados.</w:t>
      </w:r>
    </w:p>
    <w:p w14:paraId="10F3672D"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Al respecto, la Comunicación “A” 6814 establece que se permite el acceso al mercado de cambios para el pago de primas, constitución de garantías y cancelaciones que correspondan a operaciones de contratos de cobertura de tasa de interés por las obligaciones de residentes con el exterior declaradas y validadas, en caso de corresponder, en el Relevamiento de Activos y Pasivos Externos, en tanto no se cubran riesgos superiores a los pasivos externos que efectivamente registre el deudor en la tasa de interés cuyo riesgo se está cubriendo con su celebración.</w:t>
      </w:r>
    </w:p>
    <w:p w14:paraId="64C9D8DA"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Se establece que el cliente que acceda al mercado de cambios usando este mecanismo deberá nominar a una entidad autorizada a operar en cambios para que realice el seguimiento de la operación y firmar una declaración jurada en la que se compromete a ingresar y liquidar los fondos que resulten a favor del cliente local como resultado de dicha operación, o como resultado de la liberación de los fondos de las garantías constituidas, dentro de los 5 días hábiles siguientes.</w:t>
      </w:r>
    </w:p>
    <w:p w14:paraId="2E91032E"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 xml:space="preserve">Por otro lado, el artículo 1° de la Resolución General N° 808 de fecha 12 de septiembre de 2019 y en virtud de lo establecido en el punto 1.10 de la Comunicación “A” 6780, a efectos de cursar toda operación de compra de valores negociables en dólares (especie D) por un monto de hasta US$ 200 por parte de personas humanas, los Agentes de Liquidación y Compensación deberán contar previamente con una declaración jurada del titular que manifieste que los fondos en dólares no provienen de una operación de MULC realizada en los últimos 5 (cinco) días hábiles. Asimismo, las operaciones de compra de valores negociables en dólares (especie D) sólo podrán ser cursadas para ser liquidadas en el plazo de contado de 48 horas. Los valores negociables acreditados por dicha compra no podrán ser transferidos para cubrir la liquidación de una operación de venta en pesos hasta haber transcurrido. </w:t>
      </w:r>
    </w:p>
    <w:p w14:paraId="0C33C957"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La Comunicación “A” 6799 del Banco Central estableció que, con vigencia a partir del 1 de octubre de 2019, cuando las personas humanas adquieran títulos valores mediante liquidación en moneda extranjera, los mismos deberán permanecer en la cartera del comprador por un período no menor a 5 (cinco) días hábiles a contar desde la fecha de liquidación de la operación, antes de ser vendidos o transferidos a otras entidades depositarias. Se aclara que este plazo mínimo de tenencia no será de aplicación cuando la venta de los títulos valores sea contra la misma jurisdicción de liquidación que la compra.</w:t>
      </w:r>
    </w:p>
    <w:p w14:paraId="39BFC8FA"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Asimismo, se estableció que las personas humanas que transfieran divisas desde sus cuentas locales en moneda extranjera a cuentas bancarias propias en el exterior deben presentar una declaración jurada de que no han efectuado venta de títulos valores con liquidación local en moneda extranjera en los últimos 5 (cinco) días hábiles.</w:t>
      </w:r>
    </w:p>
    <w:p w14:paraId="0D8DE568"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Por último, la mencionada norma aclaró que la transferencia de divisas de las personas humanas desde sus cuentas locales en moneda extranjera a cuentas bancarias propias en el exterior se puede efectuar sin restricciones, pero estableció que para transferir divisas al exterior para la formación de activos externos, el acceso de las personas humanas residentes al mercado de cambio, debe tener como destino cuentas bancarias de su titularidad en el exterior.</w:t>
      </w:r>
    </w:p>
    <w:p w14:paraId="17A67E4E"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En relación a los retiros de efectivo en el exterior con tarjetas de débitos locales que se realicen a partir del 28 de octubre de 2019, la comunicación “A” 6815 dispone que sólo podrán ser efectuadas con débito en cuentas locales del cliente en moneda extranjera.</w:t>
      </w:r>
    </w:p>
    <w:p w14:paraId="694840AA"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En relación a las ventas de cambio, la Comunicación “A” 6815 dispone que las entidades autorizadas a operar en cambios deberán remitir al BCRA, al cierre de cada jornada y con una antelación de 2 días hábiles, la información sobre dichas ventas a realizarse por solicitud de clientes u operaciones propias de la entidad que impliquen un acceso al mercado de cambio por un monto diario que sea igual o superior al equivalente a US$ 2 millones, para cada uno de los 3 días hábiles contados a partir del primer día informado.</w:t>
      </w:r>
    </w:p>
    <w:p w14:paraId="13E59ACB"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En este sentido, a partir del 28.10.19 inclusive y hasta que esté implementado el Régimen Informativo correspondiente, las operaciones deben ser remitidas a la casilla anticipooperaciones@bcra.gob.ar, con el siguiente detalle: entidad que informa, CUIT y nombre del cliente (incluido las operaciones propias de las entidades), fecha de la operación, código de concepto y monto equivalente en dólares estadounidenses.</w:t>
      </w:r>
    </w:p>
    <w:p w14:paraId="6A7019D6" w14:textId="77777777" w:rsidR="005D498A" w:rsidRPr="005D498A" w:rsidRDefault="005D498A" w:rsidP="005D498A">
      <w:pPr>
        <w:autoSpaceDE w:val="0"/>
        <w:autoSpaceDN w:val="0"/>
        <w:adjustRightInd w:val="0"/>
        <w:jc w:val="both"/>
        <w:rPr>
          <w:rFonts w:eastAsia="Calibri"/>
          <w:sz w:val="20"/>
          <w:szCs w:val="20"/>
          <w:lang w:val="es-MX"/>
        </w:rPr>
      </w:pPr>
      <w:r w:rsidRPr="005D498A">
        <w:rPr>
          <w:rFonts w:eastAsia="Calibri"/>
          <w:sz w:val="20"/>
          <w:szCs w:val="20"/>
          <w:lang w:val="es-MX"/>
        </w:rPr>
        <w:t>De esta manera, los clientes de las entidades autorizadas deberán informar a las mismas con la antelación necesaria para que las entidades puedan dar cumplimiento al requisito mencionado en los párrafos anteriores, para que éstas puedan dar curso a la operación de cambio.</w:t>
      </w:r>
    </w:p>
    <w:p w14:paraId="699C1A81" w14:textId="77777777"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No Residentes</w:t>
      </w:r>
    </w:p>
    <w:p w14:paraId="24B1B90E"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La comunicación “A” 6815 dispone que se establece la conformidad previa del BCRA para el acceso al mercado de cambios por parte de no residentes para la compra de moneda extranjera por montos superiores al equivalente a US$ 100 mensuales en el conjunto de entidades autorizadas a operar en cambios.</w:t>
      </w:r>
    </w:p>
    <w:p w14:paraId="51152108"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Se exceptúan del límite del párrafo precedente las operaciones de: (a) Organismos internacionales e instituciones que cumplan funciones de agencias oficiales de crédito a la exportación, (b) Representaciones diplomáticas y consulares y personal diplomático acreditado en el país por transferencias que efectúen en ejercicio de sus funciones, (c) Representaciones en el país de Tribunales, Autoridades u Oficinas, Misiones Especiales, Comisiones u Órganos Bilaterales establecidos por Tratados o Convenios Internacionales, en los cuales la República Argentina es parte, en la medida que las transferencias se realicen en ejercicio de sus funciones, y (d) las transferencias al exterior a nombre de personas humanas que sean beneficiarias de jubilaciones y/o pensiones abonadas por la Administración Nacional de la Seguridad Social (ANSES), por hasta el monto abonado por dicho organismo en el mes calendario y en la medida que la transferencia se efectúe a una cuenta bancaria de titularidad del beneficiario en su país de residencia registrado</w:t>
      </w:r>
    </w:p>
    <w:p w14:paraId="32A10CAB"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La Comunicación “A” 6776 aclara que las restricciones para el acceso al mercado de cambios por parte de no residentes establecidas por la Comunicación “A” 6770 solamente aplica para la compra de moneda extranjera.</w:t>
      </w:r>
    </w:p>
    <w:p w14:paraId="676FD103" w14:textId="0133F22E"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Liquidación de Endeudamiento con el Exterior - Obligación y requisitos para el acceso</w:t>
      </w:r>
    </w:p>
    <w:p w14:paraId="47B25893"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Se establece la obligación de ingreso y liquidación en el mercado local de cambios de nuevas deudas de carácter financiero con el exterior que se desembolsen a partir del 1 de septiembre de 2019 y la obligación de demostrar el cumplimiento de este requisito para el acceso al mercado de cambios para la atención de los servicios de capital e intereses de las mismas.</w:t>
      </w:r>
    </w:p>
    <w:p w14:paraId="1FFCDC3E"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Se aclara que en el caso de las entidades autorizadas a operar en cambios, lo previsto en la Comunicación “A” 6770 acerca de la obligación de ingreso y liquidación en el mercado local de cambios de nuevas deudas de carácter financiero con el exterior, se considerará cumplido con el ingreso de los fondos a la Posición General de Cambios.</w:t>
      </w:r>
    </w:p>
    <w:p w14:paraId="4299EC06" w14:textId="77777777"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Prohibición del acceso para pago de deudas entre residentes – (excepciones)</w:t>
      </w:r>
    </w:p>
    <w:p w14:paraId="2600702F"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Se prohíbe el acceso al mercado de cambios para el pago de deudas y otras obligaciones en moneda extranjera entre residentes, concertadas a partir del 1 de septiembre de 2019. Para las obligaciones en moneda extranjera entre residentes instrumentadas mediante registros o escrituras públicos al 30.08.19, se podrá acceder a su vencimiento.</w:t>
      </w:r>
    </w:p>
    <w:p w14:paraId="79DC71EB"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Se aclara que la prohibición del acceso al mercado de cambios para el pago de deudas y otras obligaciones en moneda extranjera entre residentes, no alcanza a los pagos de los clientes de las financiaciones en moneda extranjera otorgadas por entidades financieras locales, incluyendo los pagos por los consumos en moneda extranjera efectuados mediante tarjetas de crédito.</w:t>
      </w:r>
    </w:p>
    <w:p w14:paraId="190B4314"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Se podrá acceder al mercado de cambios para el pago, a su vencimiento de nuevas emisiones de títulos de deuda que se realicen con el objeto de refinanciar deudas que tuviesen acceso en virtud de lo dispuesto en este punto y conlleven un incremento de la vida promedio de las obligaciones.</w:t>
      </w:r>
    </w:p>
    <w:p w14:paraId="60190FBC" w14:textId="40DE8675"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 xml:space="preserve">Por otro lado, conforme lo dispuesto en la Comunicación “A” 6838, se ha dispuesto que se permite el acceso al mercado de cambios a fin de que un emisor de títulos de deuda con oferta pública pueda acceder al mercado de cambios para pagar sus servicios, </w:t>
      </w:r>
      <w:r w:rsidR="00C85B80" w:rsidRPr="005D498A">
        <w:rPr>
          <w:rFonts w:eastAsia="Calibri"/>
          <w:sz w:val="20"/>
          <w:szCs w:val="20"/>
          <w:lang w:val="es-MX"/>
        </w:rPr>
        <w:t>aun</w:t>
      </w:r>
      <w:r w:rsidRPr="005D498A">
        <w:rPr>
          <w:rFonts w:eastAsia="Calibri"/>
          <w:sz w:val="20"/>
          <w:szCs w:val="20"/>
          <w:lang w:val="es-MX"/>
        </w:rPr>
        <w:t xml:space="preserve"> cuando estas emisiones no sean internacionales, “[…] </w:t>
      </w:r>
      <w:r w:rsidRPr="005D498A">
        <w:rPr>
          <w:rFonts w:eastAsia="Calibri"/>
          <w:i/>
          <w:sz w:val="20"/>
          <w:szCs w:val="20"/>
          <w:lang w:val="es-MX"/>
        </w:rPr>
        <w:t>en la medida que sean suscriptos en moneda extranjera y la totalidad de los fondos obtenidos liquidados en el mercado de cambios</w:t>
      </w:r>
      <w:r w:rsidRPr="005D498A">
        <w:rPr>
          <w:rFonts w:eastAsia="Calibri"/>
          <w:sz w:val="20"/>
          <w:szCs w:val="20"/>
          <w:lang w:val="es-MX"/>
        </w:rPr>
        <w:t>”.</w:t>
      </w:r>
    </w:p>
    <w:p w14:paraId="3C7D855A" w14:textId="77777777"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Conformidad previa acceso para pago de utilidades y dividendos</w:t>
      </w:r>
    </w:p>
    <w:p w14:paraId="3671904F"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Se establece el requisito de conformidad previa del BCRA para el acceso al mercado de cambios para el giro de utilidades y dividendos.</w:t>
      </w:r>
    </w:p>
    <w:p w14:paraId="3DB9EC88" w14:textId="77777777"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Conformidad previa para precancelar deudas financieras</w:t>
      </w:r>
    </w:p>
    <w:p w14:paraId="20B40256"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Se requerirá la conformidad previa del BCRA para el acceso al mercado local de cambios para la precancelación con más de 3 días hábiles antes al vencimiento de servicios de capital e intereses de deudas financieras con el exterior.</w:t>
      </w:r>
    </w:p>
    <w:p w14:paraId="34CA6A6B"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Al respecto, la Comunicación “A” 6814 y concordantes establecen que no se requerirá conformidad previa del BCRA, en la medida que se verifiquen la totalidad de las siguientes condiciones: (i) La precancelación sea efectuada en manera simultánea con los fondos liquidados de un nuevo endeudamiento de carácter financiero desembolsado a partir del 17 de octubre; (ii) La vida promedio del nuevo endeudamiento sea mayor a la vida promedio remanente de la deuda que se precancela; (iii) El vencimiento del primer servicio de capital del nuevo endeudamiento no sea anterior al próximo vencimiento futuro previsto del servicio de capital de la deuda que se cancela; (iv) El monto del primer servicio de capital del nuevo endeudamiento no sea mayor al monto del próximo servicio de capital futuro previsto de la deuda que se cancela.</w:t>
      </w:r>
    </w:p>
    <w:p w14:paraId="54616828" w14:textId="77777777"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Conformidad previa para respecto de deuda por importaciones</w:t>
      </w:r>
    </w:p>
    <w:p w14:paraId="37E5A5D7"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Se establece el requisito de conformidad previa del BCRA para el acceso al mercado de cambios para la precancelación de deuda por importaciones de bienes y servicios.</w:t>
      </w:r>
    </w:p>
    <w:p w14:paraId="001804BF" w14:textId="77777777" w:rsidR="005D498A" w:rsidRPr="00512442" w:rsidRDefault="005D498A" w:rsidP="005D498A">
      <w:pPr>
        <w:spacing w:before="120" w:after="60"/>
        <w:jc w:val="both"/>
        <w:rPr>
          <w:rFonts w:eastAsia="Calibri"/>
          <w:sz w:val="20"/>
          <w:lang w:val="es-AR"/>
        </w:rPr>
      </w:pPr>
      <w:r w:rsidRPr="005D498A">
        <w:rPr>
          <w:rFonts w:eastAsia="Calibri"/>
          <w:sz w:val="20"/>
          <w:szCs w:val="20"/>
          <w:lang w:val="es-MX"/>
        </w:rPr>
        <w:t>Así también, se establece el requisito de conformidad previa del BCRA para el acceso al mercado de cambios para pagos de deudas vencidas o a la vista por importaciones de bienes con empresas vinculadas del exterior cuando supere el equivalente a US$ 2 millones mensuales por cliente residente. Se aclara que se consideran “deudas vencidas y a la vista de importaciones de bienes” a todas aquellas pendientes al 31.08.19, tanto aquéllas cuyo vencimiento hubiera operado con anterioridad a dicha fecha, como las que no tuvieran una fecha de vencimiento estipulada. Respecto a la definición de vinculación, el Texto Ordenado de Exterior y Cambios efectúa un reenvío a lo dispuesto en el punto 1.2.2 del Texto Ordenado de “Grandes exposiciones al riesgo de crédito”.</w:t>
      </w:r>
    </w:p>
    <w:p w14:paraId="347ACC7C" w14:textId="77777777"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Conformidad previa para pagos de servicios con empresas vinculadas del exterior (con excepciones)</w:t>
      </w:r>
    </w:p>
    <w:p w14:paraId="66037442"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Se establece el requisito de conformidad previa del BCRA para el acceso al mercado de cambios para el pago de servicios con empresas vinculadas del exterior, excepto para las emisoras de tarjetas por los giros por turismo y viajes.</w:t>
      </w:r>
    </w:p>
    <w:p w14:paraId="2D8FECD5"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Asimismo se establece que están exceptuados del requisito de conformidad previa del BCRA para el acceso al mercado de cambios para el pago de servicios con empresas vinculadas del exterior, aquellos agentes locales que recauden en el país los fondos correspondientes a servicios prestados por no residentes a residentes y las entidades por los gastos que abonen a entidades del exterior por su operatoria habitual.</w:t>
      </w:r>
    </w:p>
    <w:p w14:paraId="057D6D97"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La Comunicación “A” 6780 aclara que no se aplica el requisito de conformidad previa para dar curso a transferencias al exterior en concepto de pagos de primas de reaseguros en el exterior. En estos casos, la transferencia al exterior debe ser realizada a nombre del beneficiario del exterior admitido por la Superintendencia de Seguros de la Nación.</w:t>
      </w:r>
    </w:p>
    <w:p w14:paraId="37E1F4E6" w14:textId="77777777"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Operaciones de canje y arbitraje</w:t>
      </w:r>
    </w:p>
    <w:p w14:paraId="727CFA7C"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Las operaciones de canje y arbitraje podrán realizarse con clientes sin la conformidad previa del BCRA en la medida que de instrumentarse como operaciones individuales pasando por pesos puedan realizarse sin dicha conformidad de acuerdo con las normas de la presente.</w:t>
      </w:r>
    </w:p>
    <w:p w14:paraId="3FA26C92"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Se aclara que: (i) la transferencia de divisas de las personas humanas desde sus cuentas locales en moneda extranjera a cuentas propias en el exterior se puede efectuar sin restricciones; (ii) los canjes y arbitrajes que impliquen ingresos de divisas por operaciones no alcanzadas por la obligación de liquidación en el mercado de cambios pueden ser realizadas sin restricciones.</w:t>
      </w:r>
    </w:p>
    <w:p w14:paraId="552BEAE3"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La Comunicación “A” 6780 aclara lo dispuesto en el punto 15 de la Comunicación “A” 6770 estableciendo que las operaciones de canje y arbitraje podrán realizarse con clientes sin la conformidad previa del BCRA en la medida que de instrumentarse como operaciones individuales pasando por pesos, puedan realizarse sin dicha conformidad, también resulta de aplicación a las centrales locales de depósito colectivo de valores por los fondos percibidos en moneda extranjera por los servicios de capital y renta de títulos en moneda extranjera abonados en el país.</w:t>
      </w:r>
    </w:p>
    <w:p w14:paraId="10DEFC1B" w14:textId="673A7B8C"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Operación de títulos en el mercado secundario</w:t>
      </w:r>
      <w:r>
        <w:rPr>
          <w:rFonts w:eastAsia="Calibri"/>
          <w:i/>
          <w:sz w:val="20"/>
          <w:szCs w:val="20"/>
          <w:lang w:val="es-MX"/>
        </w:rPr>
        <w:t xml:space="preserve"> </w:t>
      </w:r>
      <w:r w:rsidRPr="005D498A">
        <w:rPr>
          <w:rFonts w:eastAsia="Calibri"/>
          <w:i/>
          <w:sz w:val="20"/>
          <w:szCs w:val="20"/>
          <w:lang w:val="es-MX"/>
        </w:rPr>
        <w:t>por entidades autorizadas</w:t>
      </w:r>
    </w:p>
    <w:p w14:paraId="557A5207"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Las entidades autorizadas a operar en cambios no podrán comprar con liquidación en moneda extranjera títulos valores en el mercado secundario ni utilizar tenencias de su posición general de cambios para pagos a proveedores locales.</w:t>
      </w:r>
    </w:p>
    <w:p w14:paraId="50A9B58D" w14:textId="77777777"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Casas y agencias de cambio – Tenencia de moneda extranjera</w:t>
      </w:r>
    </w:p>
    <w:p w14:paraId="19A6C85A"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Las Casas y Agencias de Cambio no podrán incrementar, sin conformidad previa del BCRA, sus tenencias en moneda extranjera respecto al promedio de sus tenencias de agosto de 2019 o el stock al cierre del día anterior a la entrada en vigencia de la presente, el máximo de los dos.</w:t>
      </w:r>
    </w:p>
    <w:p w14:paraId="2E60EE47"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 xml:space="preserve">Se dispone que las autorizaciones otorgadas a casas y agencias de cambio antes del 01.09.19 que no inicien actividades antes del 30.09.19, caducarán a partir de esta última fecha, procediéndose a darlas de baja del registro correspondiente. </w:t>
      </w:r>
    </w:p>
    <w:p w14:paraId="57A1DB81"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Asimismo, se dispone que las casas y agencias de cambios inscriptas antes del 01.09.19 y que no hubieran operado hasta esa fecha, a los efectos de determinar la posibilidad de incrementar sin conformidad previa del BCRA sus tenencias en moneda extranjera respecto del promedio de sus tenencias de agosto de 2019, o el stock al cierre del día anterior a la entrada en vigencia de la Comunicación “A” 6770, el máximo de los dos, deberán considerar las tenencias de moneda extranjera registradas al inicio del día en que comiencen su operatoria.</w:t>
      </w:r>
    </w:p>
    <w:p w14:paraId="776EC92A" w14:textId="77777777"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Boletos de compra y venta de Cambio</w:t>
      </w:r>
    </w:p>
    <w:p w14:paraId="70284046"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Por cada operación de cambio, se debe realizar un boleto de compra o venta de cambio, según corresponda. En el boleto de cambio debe constar el carácter de declaración jurada del ordenante de la operación de cambio sobre todos los datos contenidos en el mismo, incluyendo el concepto de la operación y el cumplimiento de los límites y requisitos establecidos en la Comunicación “A” 6770. La entidad interviniente deberá constatar la razonabilidad de la operación y el cumplimiento de los límites.</w:t>
      </w:r>
    </w:p>
    <w:p w14:paraId="5336AC8C" w14:textId="2A23D3CB"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En los boletos de compra y de venta de moneda extranjera, debe constar la firma del cliente que realiza la operación de cambio, quien debe presentar documento de identificación admitido para operar con entidades financieras de acuerdo al punto 5.4.1</w:t>
      </w:r>
      <w:r w:rsidR="00F72F31">
        <w:rPr>
          <w:rFonts w:eastAsia="Calibri"/>
          <w:sz w:val="20"/>
          <w:szCs w:val="20"/>
          <w:lang w:val="es-MX"/>
        </w:rPr>
        <w:t xml:space="preserve"> </w:t>
      </w:r>
      <w:r w:rsidRPr="005D498A">
        <w:rPr>
          <w:rFonts w:eastAsia="Calibri"/>
          <w:sz w:val="20"/>
          <w:szCs w:val="20"/>
          <w:lang w:val="es-MX"/>
        </w:rPr>
        <w:t>del Texto Ordenado de “Exterior y Cambios”.</w:t>
      </w:r>
    </w:p>
    <w:p w14:paraId="73865F15" w14:textId="3B80EE4F"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En el caso de operaciones por canales electrónicos y/o firma electrónica o digital, se aplica el punto 5.4.2 del referido Texto Ordenado.</w:t>
      </w:r>
    </w:p>
    <w:p w14:paraId="04FA9BDF"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Requisitos previos para el acceso para pago de deudas financieras o comerciales y para pago anticipado de importaciones</w:t>
      </w:r>
    </w:p>
    <w:p w14:paraId="1D3A7B94" w14:textId="5C432530"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En el caso de acceso al mercado local de cambios para el pago de deudas financieras o comerciales con el exterior de acuerdo a las normas establecidas en la Comunicación “A” 6770 deberá demostrarse, en caso de corresponder, que la operación se encuentra declarada en la última presentación vencida del Relevamiento de activos y pasivos externos. En el caso de pagos anticipados de importaciones, la Comunicación “A” 6815 establece que deberá presentarse la documentación respaldatoria por la cual se deberá demostrar el registro de ingreso aduanero de los bienes dentro de los 90 días corridos desde su acceso al mercado de cambios en el caso de los pagos anticipados de importaciones a proveedores no vinculados con el importador y la conformidad previa del BCRA para los pagos anticipados de importaciones a proveedores vinculados con el importador.</w:t>
      </w:r>
    </w:p>
    <w:p w14:paraId="67A38DC4" w14:textId="77777777"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Entidades Autorizadas</w:t>
      </w:r>
    </w:p>
    <w:p w14:paraId="08829077"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Las distintas presentaciones que realicen los clientes por operaciones a cursar en el mercado de cambios deberán indefectiblemente cursarse a través de una entidad que esté autorizada a cursar el tipo de operación contenida en la consulta o pedido de conformidad.</w:t>
      </w:r>
    </w:p>
    <w:p w14:paraId="13ECED2A" w14:textId="77777777"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Financiaciones en moneda extranjera otorgadas por entidades financieras locales.</w:t>
      </w:r>
    </w:p>
    <w:p w14:paraId="03532620" w14:textId="77777777" w:rsidR="005D498A" w:rsidRPr="005D498A" w:rsidRDefault="005D498A" w:rsidP="005D498A">
      <w:pPr>
        <w:spacing w:before="120" w:after="60"/>
        <w:jc w:val="both"/>
        <w:rPr>
          <w:rFonts w:eastAsia="Calibri"/>
          <w:sz w:val="20"/>
          <w:szCs w:val="20"/>
          <w:lang w:val="es-MX"/>
        </w:rPr>
      </w:pPr>
      <w:r w:rsidRPr="005D498A">
        <w:rPr>
          <w:rFonts w:eastAsia="Calibri"/>
          <w:sz w:val="20"/>
          <w:szCs w:val="20"/>
          <w:lang w:val="es-MX"/>
        </w:rPr>
        <w:t>Se establece que las financiaciones que otorguen las entidades financieras en moneda extranjera a clientes del sector privado no financiero deben ser liquidadas en el mercado local de cambios al momento de su desembolso.</w:t>
      </w:r>
    </w:p>
    <w:p w14:paraId="27EA4024" w14:textId="77777777" w:rsidR="005D498A" w:rsidRPr="005D498A" w:rsidRDefault="005D498A" w:rsidP="005D498A">
      <w:pPr>
        <w:spacing w:before="120" w:after="60"/>
        <w:jc w:val="both"/>
        <w:rPr>
          <w:rFonts w:eastAsia="Calibri"/>
          <w:i/>
          <w:sz w:val="20"/>
          <w:szCs w:val="20"/>
          <w:lang w:val="es-MX"/>
        </w:rPr>
      </w:pPr>
      <w:r w:rsidRPr="005D498A">
        <w:rPr>
          <w:rFonts w:eastAsia="Calibri"/>
          <w:i/>
          <w:sz w:val="20"/>
          <w:szCs w:val="20"/>
          <w:lang w:val="es-MX"/>
        </w:rPr>
        <w:t>Enajenación de activos por parte de residentes</w:t>
      </w:r>
    </w:p>
    <w:p w14:paraId="60AB667E"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 xml:space="preserve">Se dispone que la percepción por parte de residentes de montos en moneda extranjera por la enajenación de “activos no financieros no producidos” deberá ingresarse y liquidarse en el mercado de cambios dentro de los 5 días hábiles de la fecha de percepción de los fondos en el país o en el exterior o de su acreditación en cuentas del exterior. </w:t>
      </w:r>
    </w:p>
    <w:p w14:paraId="2A87D035" w14:textId="77777777" w:rsidR="005D498A" w:rsidRPr="005D498A" w:rsidRDefault="005D498A" w:rsidP="005D498A">
      <w:pPr>
        <w:jc w:val="both"/>
        <w:rPr>
          <w:rFonts w:eastAsia="Calibri"/>
          <w:sz w:val="20"/>
          <w:szCs w:val="20"/>
          <w:lang w:val="es-MX"/>
        </w:rPr>
      </w:pPr>
    </w:p>
    <w:p w14:paraId="374B5254"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La Comunicación “A” 6814 y concordantes disponen que no resultará exigible la liquidación en el mercado local de cambios de las divisas en moneda extranjera que reciban los residentes por exportaciones de bienes y servicios, por la enajenación de activos no financieros no producidos, ni como condición para su repago en los casos de endeudamientos con el exterior ni de emisiones de residentes de títulos de deuda con registro público en el país, en la medida que se cumplan la totalidad de las siguientes condiciones:</w:t>
      </w:r>
    </w:p>
    <w:p w14:paraId="5FA22885" w14:textId="77777777" w:rsidR="005D498A" w:rsidRPr="005D498A" w:rsidRDefault="005D498A" w:rsidP="005D498A">
      <w:pPr>
        <w:jc w:val="both"/>
        <w:rPr>
          <w:rFonts w:eastAsia="Calibri"/>
          <w:sz w:val="20"/>
          <w:szCs w:val="20"/>
          <w:lang w:val="es-MX"/>
        </w:rPr>
      </w:pPr>
    </w:p>
    <w:p w14:paraId="6AF96582"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a) Los fondos ingresen al país para su acreditación en cuentas en moneda extranjera de titularidad del cliente en entidades financieras locales.</w:t>
      </w:r>
    </w:p>
    <w:p w14:paraId="7CB81B58"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 xml:space="preserve"> </w:t>
      </w:r>
    </w:p>
    <w:p w14:paraId="3DFDE732"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b) El ingreso se efectúe dentro del plazo para la liquidación de los fondos en el mercado de cambios que pueda ser aplicable a la operación.</w:t>
      </w:r>
    </w:p>
    <w:p w14:paraId="509B361D"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 xml:space="preserve"> </w:t>
      </w:r>
    </w:p>
    <w:p w14:paraId="6D77E547"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c) Los fondos en moneda extranjera se apliquen de manera simultánea a operaciones por las cuales la normativa cambiaria vigente permite el acceso al mercado local de cambios contra moneda local, considerando los límites previstos para cada concepto involucrado.</w:t>
      </w:r>
    </w:p>
    <w:p w14:paraId="2BA3C077"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 xml:space="preserve"> </w:t>
      </w:r>
    </w:p>
    <w:p w14:paraId="441B6FD2"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Si el ingreso correspondiese a nueva deuda financiera con el exterior y el destino fuese la precancelación de deuda local en moneda extranjera con una entidad financiera, la nueva deuda con el exterior deberá tener una vida promedio mayor a la que se precancela con la entidad local.</w:t>
      </w:r>
    </w:p>
    <w:p w14:paraId="6B9D95EA"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 xml:space="preserve"> </w:t>
      </w:r>
    </w:p>
    <w:p w14:paraId="178D2EEB"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d) La utilización de este mecanismo resulte neutro en materia fiscal.</w:t>
      </w:r>
    </w:p>
    <w:p w14:paraId="1E4D990F"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 xml:space="preserve"> </w:t>
      </w:r>
    </w:p>
    <w:p w14:paraId="21F583F5"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A los efectos del registro de estas operaciones se deberán confeccionar dos boletos sin movimiento de pesos, por los conceptos de compra y venta que correspondan, computándose el monto por el cual se utiliza este mecanismo a los efectos de los límites mensuales que pudieran ser aplicables según el caso.</w:t>
      </w:r>
    </w:p>
    <w:p w14:paraId="62D4079F"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 xml:space="preserve"> </w:t>
      </w:r>
    </w:p>
    <w:p w14:paraId="7B3552BF"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En todos los casos se debe contar con una declaración jurada del cliente en la que deja constancia de tener conocimiento de que los fondos que se aplican bajo esta modalidad serán computados a los efectos del cálculo de los límites que normativamente correspondan al concepto de venta de cambio que corresponda y que no los excede.</w:t>
      </w:r>
    </w:p>
    <w:p w14:paraId="47B4707B"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 xml:space="preserve"> </w:t>
      </w:r>
    </w:p>
    <w:p w14:paraId="704C0BB4" w14:textId="77777777" w:rsidR="005D498A" w:rsidRPr="005D498A" w:rsidRDefault="005D498A" w:rsidP="005D498A">
      <w:pPr>
        <w:jc w:val="both"/>
        <w:rPr>
          <w:rFonts w:eastAsia="Calibri"/>
          <w:sz w:val="20"/>
          <w:szCs w:val="20"/>
          <w:lang w:val="es-MX"/>
        </w:rPr>
      </w:pPr>
      <w:r w:rsidRPr="005D498A">
        <w:rPr>
          <w:rFonts w:eastAsia="Calibri"/>
          <w:sz w:val="20"/>
          <w:szCs w:val="20"/>
          <w:lang w:val="es-MX"/>
        </w:rPr>
        <w:t>La entidad interviniente deberá evaluar la razonabilidad y los requisitos normativos de la operatoria.</w:t>
      </w:r>
    </w:p>
    <w:p w14:paraId="3069DD3F" w14:textId="77777777" w:rsidR="005D498A" w:rsidRPr="005D498A" w:rsidRDefault="005D498A" w:rsidP="005D498A">
      <w:pPr>
        <w:widowControl w:val="0"/>
        <w:autoSpaceDE w:val="0"/>
        <w:autoSpaceDN w:val="0"/>
        <w:adjustRightInd w:val="0"/>
        <w:spacing w:before="120"/>
        <w:jc w:val="both"/>
        <w:rPr>
          <w:b/>
          <w:sz w:val="20"/>
          <w:szCs w:val="20"/>
          <w:lang w:val="es-ES" w:eastAsia="es-ES"/>
        </w:rPr>
      </w:pPr>
    </w:p>
    <w:p w14:paraId="6859803E" w14:textId="77777777" w:rsidR="005D498A" w:rsidRPr="005D498A" w:rsidRDefault="005D498A" w:rsidP="005D498A">
      <w:pPr>
        <w:widowControl w:val="0"/>
        <w:autoSpaceDE w:val="0"/>
        <w:autoSpaceDN w:val="0"/>
        <w:adjustRightInd w:val="0"/>
        <w:spacing w:before="120"/>
        <w:jc w:val="both"/>
        <w:rPr>
          <w:b/>
          <w:sz w:val="20"/>
          <w:szCs w:val="20"/>
          <w:lang w:val="es-ES" w:eastAsia="es-ES"/>
        </w:rPr>
      </w:pPr>
      <w:r w:rsidRPr="005D498A" w:rsidDel="009B0C75">
        <w:rPr>
          <w:sz w:val="20"/>
          <w:szCs w:val="20"/>
          <w:lang w:val="es-ES" w:eastAsia="es-ES"/>
        </w:rPr>
        <w:t xml:space="preserve"> </w:t>
      </w:r>
      <w:r w:rsidRPr="005D498A">
        <w:rPr>
          <w:b/>
          <w:sz w:val="20"/>
          <w:szCs w:val="20"/>
          <w:lang w:val="es-ES" w:eastAsia="es-ES"/>
        </w:rPr>
        <w:t xml:space="preserve">(vi) Régimen Penal Cambiario. </w:t>
      </w:r>
    </w:p>
    <w:p w14:paraId="4C99B9DE" w14:textId="77777777" w:rsidR="005D498A" w:rsidRPr="005D498A" w:rsidRDefault="005D498A" w:rsidP="005D498A">
      <w:pPr>
        <w:widowControl w:val="0"/>
        <w:autoSpaceDE w:val="0"/>
        <w:autoSpaceDN w:val="0"/>
        <w:adjustRightInd w:val="0"/>
        <w:spacing w:before="120"/>
        <w:jc w:val="both"/>
        <w:rPr>
          <w:sz w:val="20"/>
          <w:szCs w:val="20"/>
          <w:lang w:val="es-ES" w:eastAsia="es-ES"/>
        </w:rPr>
      </w:pPr>
      <w:r w:rsidRPr="005D498A">
        <w:rPr>
          <w:sz w:val="20"/>
          <w:szCs w:val="20"/>
          <w:lang w:val="es-ES" w:eastAsia="es-ES"/>
        </w:rPr>
        <w:t>Las operaciones cambiarias sólo pueden ser efectuadas a través de las entidades autorizadas a tales efectos por el BCRA. Asimismo, dicha regulación establece que las operaciones que no se ajusten a lo dispuesto por la normativa aplicable, estarán sujetas al Régimen Penal Cambiario, que prevé sanciones tales como la imposición de multas de hasta diez veces el monto de la operación en infracción, y penas de prisión. El Régimen Penal Cambiario se encuentra delineado normativamente por la Ley 19.359 y por las disposiciones del BCRA que regulan el mercado de cambios.</w:t>
      </w:r>
    </w:p>
    <w:p w14:paraId="407C5057" w14:textId="77777777" w:rsidR="005D498A" w:rsidRPr="005D498A" w:rsidRDefault="005D498A" w:rsidP="005D498A">
      <w:pPr>
        <w:spacing w:before="120" w:after="120"/>
        <w:jc w:val="both"/>
        <w:rPr>
          <w:sz w:val="20"/>
          <w:szCs w:val="20"/>
          <w:lang w:val="es-AR" w:eastAsia="es-ES"/>
        </w:rPr>
      </w:pPr>
      <w:r w:rsidRPr="005D498A">
        <w:rPr>
          <w:sz w:val="20"/>
          <w:szCs w:val="20"/>
          <w:lang w:val="es-ES" w:eastAsia="es-ES"/>
        </w:rPr>
        <w:t xml:space="preserve">Para un mayor detalle sobre la normativa cambiaria, se sugiere a los inversores consultar con sus asesores legales y dar una lectura completa a la normativa mencionada junto con sus reglamentaciones y normas complementarias, a cuyo efecto los interesados podrán consultar las mismas en el sitio web del Ministerio de Hacienda </w:t>
      </w:r>
      <w:r w:rsidRPr="005D498A">
        <w:rPr>
          <w:sz w:val="20"/>
          <w:szCs w:val="20"/>
          <w:u w:val="single"/>
          <w:lang w:val="es-ES" w:eastAsia="es-ES"/>
        </w:rPr>
        <w:t>(</w:t>
      </w:r>
      <w:hyperlink r:id="rId15" w:history="1">
        <w:r w:rsidRPr="005D498A">
          <w:rPr>
            <w:color w:val="0000FF"/>
            <w:sz w:val="20"/>
            <w:szCs w:val="20"/>
            <w:u w:val="single"/>
            <w:lang w:val="es-AR" w:eastAsia="es-ES"/>
          </w:rPr>
          <w:t>http://www.minhacienda.gob.ar/</w:t>
        </w:r>
      </w:hyperlink>
      <w:r w:rsidRPr="005D498A">
        <w:rPr>
          <w:sz w:val="20"/>
          <w:szCs w:val="20"/>
          <w:lang w:val="es-ES" w:eastAsia="es-ES"/>
        </w:rPr>
        <w:t xml:space="preserve"> o </w:t>
      </w:r>
      <w:hyperlink r:id="rId16" w:history="1">
        <w:r w:rsidRPr="005D498A">
          <w:rPr>
            <w:color w:val="0000FF"/>
            <w:sz w:val="20"/>
            <w:szCs w:val="20"/>
            <w:u w:val="single"/>
            <w:lang w:val="es-AR" w:eastAsia="es-ES"/>
          </w:rPr>
          <w:t>http://www.</w:t>
        </w:r>
        <w:r w:rsidRPr="005D498A">
          <w:rPr>
            <w:color w:val="0000FF"/>
            <w:sz w:val="20"/>
            <w:szCs w:val="20"/>
            <w:u w:val="single"/>
            <w:lang w:val="es-ES" w:eastAsia="es-ES"/>
          </w:rPr>
          <w:t>infoleg</w:t>
        </w:r>
        <w:r w:rsidRPr="005D498A">
          <w:rPr>
            <w:color w:val="0000FF"/>
            <w:sz w:val="20"/>
            <w:szCs w:val="20"/>
            <w:u w:val="single"/>
            <w:lang w:val="es-AR" w:eastAsia="es-ES"/>
          </w:rPr>
          <w:t>.gov.ar</w:t>
        </w:r>
      </w:hyperlink>
      <w:r w:rsidRPr="005D498A">
        <w:rPr>
          <w:sz w:val="20"/>
          <w:szCs w:val="20"/>
          <w:lang w:val="es-ES" w:eastAsia="es-ES"/>
        </w:rPr>
        <w:t>), o el sitio web del BCRA (</w:t>
      </w:r>
      <w:hyperlink r:id="rId17" w:history="1">
        <w:r w:rsidRPr="005D498A">
          <w:rPr>
            <w:color w:val="0000FF"/>
            <w:sz w:val="20"/>
            <w:szCs w:val="20"/>
            <w:u w:val="single"/>
            <w:lang w:val="es-AR" w:eastAsia="es-ES"/>
          </w:rPr>
          <w:t>http://www.bcra.gov.ar</w:t>
        </w:r>
      </w:hyperlink>
      <w:r w:rsidRPr="005D498A">
        <w:rPr>
          <w:sz w:val="20"/>
          <w:szCs w:val="20"/>
          <w:lang w:val="es-ES" w:eastAsia="es-ES"/>
        </w:rPr>
        <w:t>), según corresponda.</w:t>
      </w:r>
    </w:p>
    <w:p w14:paraId="13F177AE" w14:textId="77777777" w:rsidR="00684BA3" w:rsidRPr="007213A1" w:rsidRDefault="00684BA3" w:rsidP="00684BA3">
      <w:pPr>
        <w:widowControl w:val="0"/>
        <w:suppressLineNumbers/>
        <w:suppressAutoHyphens/>
        <w:jc w:val="both"/>
        <w:rPr>
          <w:b/>
          <w:bCs/>
          <w:iCs/>
          <w:sz w:val="20"/>
          <w:szCs w:val="20"/>
          <w:lang w:val="es-AR" w:eastAsia="es-ES"/>
        </w:rPr>
      </w:pPr>
    </w:p>
    <w:p w14:paraId="30654E5E" w14:textId="77777777" w:rsidR="00122AA9" w:rsidRPr="00122AA9" w:rsidRDefault="00122AA9" w:rsidP="00122AA9">
      <w:pPr>
        <w:widowControl w:val="0"/>
        <w:suppressLineNumbers/>
        <w:suppressAutoHyphens/>
        <w:jc w:val="both"/>
        <w:rPr>
          <w:b/>
          <w:bCs/>
          <w:iCs/>
          <w:sz w:val="20"/>
          <w:szCs w:val="20"/>
          <w:lang w:val="es-MX" w:eastAsia="es-ES"/>
        </w:rPr>
      </w:pPr>
      <w:r w:rsidRPr="00122AA9">
        <w:rPr>
          <w:b/>
          <w:bCs/>
          <w:iCs/>
          <w:sz w:val="20"/>
          <w:szCs w:val="20"/>
          <w:lang w:val="es-MX" w:eastAsia="es-ES"/>
        </w:rPr>
        <w:t>e) Carga Tributaria</w:t>
      </w:r>
    </w:p>
    <w:p w14:paraId="397C35BB" w14:textId="77777777" w:rsidR="00122AA9" w:rsidRPr="00122AA9" w:rsidRDefault="00122AA9" w:rsidP="00122AA9">
      <w:pPr>
        <w:widowControl w:val="0"/>
        <w:suppressLineNumbers/>
        <w:suppressAutoHyphens/>
        <w:jc w:val="both"/>
        <w:rPr>
          <w:b/>
          <w:bCs/>
          <w:iCs/>
          <w:sz w:val="20"/>
          <w:szCs w:val="20"/>
          <w:lang w:val="es-AR" w:eastAsia="es-ES"/>
        </w:rPr>
      </w:pPr>
    </w:p>
    <w:p w14:paraId="6D2608A5" w14:textId="77777777" w:rsidR="00122AA9" w:rsidRPr="00122AA9" w:rsidRDefault="00122AA9" w:rsidP="00122AA9">
      <w:pPr>
        <w:jc w:val="both"/>
        <w:rPr>
          <w:b/>
          <w:bCs/>
          <w:i/>
          <w:sz w:val="20"/>
          <w:szCs w:val="20"/>
          <w:lang w:val="es-AR"/>
        </w:rPr>
      </w:pPr>
      <w:r w:rsidRPr="00122AA9">
        <w:rPr>
          <w:b/>
          <w:bCs/>
          <w:i/>
          <w:sz w:val="20"/>
          <w:szCs w:val="20"/>
          <w:lang w:val="es-AR"/>
        </w:rPr>
        <w:t>Generalidades</w:t>
      </w:r>
    </w:p>
    <w:p w14:paraId="6726873E" w14:textId="77777777" w:rsidR="00122AA9" w:rsidRPr="00122AA9" w:rsidRDefault="00122AA9" w:rsidP="00122AA9">
      <w:pPr>
        <w:jc w:val="both"/>
        <w:rPr>
          <w:bCs/>
          <w:sz w:val="20"/>
          <w:szCs w:val="20"/>
          <w:lang w:val="es-AR"/>
        </w:rPr>
      </w:pPr>
    </w:p>
    <w:p w14:paraId="4C1F458A"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El</w:t>
      </w:r>
      <w:r w:rsidRPr="00122AA9">
        <w:rPr>
          <w:rFonts w:eastAsia="Calibri"/>
          <w:sz w:val="20"/>
          <w:lang w:val="es-AR"/>
        </w:rPr>
        <w:t xml:space="preserve"> siguiente es un resumen </w:t>
      </w:r>
      <w:r w:rsidRPr="00122AA9">
        <w:rPr>
          <w:rFonts w:eastAsia="Calibri"/>
          <w:sz w:val="20"/>
          <w:szCs w:val="20"/>
          <w:lang w:val="es-AR"/>
        </w:rPr>
        <w:t xml:space="preserve">general </w:t>
      </w:r>
      <w:r w:rsidRPr="00122AA9">
        <w:rPr>
          <w:rFonts w:eastAsia="Calibri"/>
          <w:sz w:val="20"/>
          <w:lang w:val="es-AR"/>
        </w:rPr>
        <w:t xml:space="preserve">de ciertas </w:t>
      </w:r>
      <w:r w:rsidRPr="00122AA9">
        <w:rPr>
          <w:rFonts w:eastAsia="Calibri"/>
          <w:sz w:val="20"/>
          <w:szCs w:val="20"/>
          <w:lang w:val="es-AR"/>
        </w:rPr>
        <w:t xml:space="preserve">cuestiones sobre el régimen impositivo argentino como resultado de la tenencia y disposición de obligaciones negociables. Dicho resumen no es un análisis completo ni </w:t>
      </w:r>
      <w:r w:rsidRPr="00122AA9">
        <w:rPr>
          <w:rFonts w:eastAsia="Calibri"/>
          <w:sz w:val="20"/>
          <w:lang w:val="es-AR"/>
        </w:rPr>
        <w:t xml:space="preserve">una </w:t>
      </w:r>
      <w:r w:rsidRPr="00122AA9">
        <w:rPr>
          <w:rFonts w:eastAsia="Calibri"/>
          <w:sz w:val="20"/>
          <w:szCs w:val="20"/>
          <w:lang w:val="es-AR"/>
        </w:rPr>
        <w:t xml:space="preserve">enumeración de la totalidad de las </w:t>
      </w:r>
      <w:r w:rsidRPr="00122AA9">
        <w:rPr>
          <w:rFonts w:eastAsia="Calibri"/>
          <w:sz w:val="20"/>
          <w:lang w:val="es-AR"/>
        </w:rPr>
        <w:t>regulaciones</w:t>
      </w:r>
      <w:r w:rsidRPr="00122AA9">
        <w:rPr>
          <w:rFonts w:eastAsia="Calibri"/>
          <w:sz w:val="20"/>
          <w:szCs w:val="20"/>
          <w:lang w:val="es-AR"/>
        </w:rPr>
        <w:t>, cuestiones o consecuencias fiscales posibles que puedan resultar de interés para un tenedor de obligaciones negociables y se realiza a título meramente informativo. Si bien se entiende que el presente resumen es una interpretación razonable de las leyes y reglamentaciones</w:t>
      </w:r>
      <w:r w:rsidRPr="00122AA9">
        <w:rPr>
          <w:rFonts w:eastAsia="Calibri"/>
          <w:sz w:val="20"/>
          <w:lang w:val="es-AR"/>
        </w:rPr>
        <w:t xml:space="preserve"> </w:t>
      </w:r>
      <w:r w:rsidRPr="00122AA9">
        <w:rPr>
          <w:rFonts w:eastAsia="Calibri"/>
          <w:sz w:val="20"/>
          <w:szCs w:val="20"/>
          <w:lang w:val="es-AR"/>
        </w:rPr>
        <w:t>vigentes</w:t>
      </w:r>
      <w:r w:rsidRPr="00122AA9">
        <w:rPr>
          <w:rFonts w:eastAsia="Calibri"/>
          <w:sz w:val="20"/>
          <w:lang w:val="es-AR"/>
        </w:rPr>
        <w:t xml:space="preserve"> a la fecha de este Prospecto</w:t>
      </w:r>
      <w:r w:rsidRPr="00122AA9">
        <w:rPr>
          <w:rFonts w:eastAsia="Calibri"/>
          <w:sz w:val="20"/>
          <w:szCs w:val="20"/>
          <w:lang w:val="es-AR"/>
        </w:rPr>
        <w:t>,</w:t>
      </w:r>
      <w:r w:rsidRPr="00122AA9">
        <w:rPr>
          <w:rFonts w:eastAsia="Calibri"/>
          <w:sz w:val="20"/>
          <w:lang w:val="es-AR"/>
        </w:rPr>
        <w:t xml:space="preserve"> no </w:t>
      </w:r>
      <w:r w:rsidRPr="00122AA9">
        <w:rPr>
          <w:rFonts w:eastAsia="Calibri"/>
          <w:sz w:val="20"/>
          <w:szCs w:val="20"/>
          <w:lang w:val="es-AR"/>
        </w:rPr>
        <w:t>puede asegurarse que los tribunales o autoridades</w:t>
      </w:r>
      <w:r w:rsidRPr="00122AA9">
        <w:rPr>
          <w:rFonts w:eastAsia="Calibri"/>
          <w:sz w:val="20"/>
          <w:lang w:val="es-AR"/>
        </w:rPr>
        <w:t xml:space="preserve"> impositivas </w:t>
      </w:r>
      <w:r w:rsidRPr="00122AA9">
        <w:rPr>
          <w:rFonts w:eastAsia="Calibri"/>
          <w:sz w:val="20"/>
          <w:szCs w:val="20"/>
          <w:lang w:val="es-AR"/>
        </w:rPr>
        <w:t>estarán de acuerdo con la presente</w:t>
      </w:r>
      <w:r w:rsidRPr="00122AA9">
        <w:rPr>
          <w:rFonts w:eastAsia="Calibri"/>
          <w:sz w:val="20"/>
          <w:lang w:val="es-AR"/>
        </w:rPr>
        <w:t xml:space="preserve"> interpretación </w:t>
      </w:r>
      <w:r w:rsidRPr="00122AA9">
        <w:rPr>
          <w:rFonts w:eastAsia="Calibri"/>
          <w:sz w:val="20"/>
          <w:szCs w:val="20"/>
          <w:lang w:val="es-AR"/>
        </w:rPr>
        <w:t xml:space="preserve">o que no ocurrirán cambios en dicha </w:t>
      </w:r>
      <w:r w:rsidRPr="00122AA9">
        <w:rPr>
          <w:rFonts w:eastAsia="Calibri"/>
          <w:sz w:val="20"/>
          <w:lang w:val="es-AR"/>
        </w:rPr>
        <w:t>legislación</w:t>
      </w:r>
      <w:r w:rsidRPr="00122AA9">
        <w:rPr>
          <w:rFonts w:eastAsia="Calibri"/>
          <w:sz w:val="20"/>
          <w:szCs w:val="20"/>
          <w:lang w:val="es-AR"/>
        </w:rPr>
        <w:t>. Este resumen está basado en las leyes impositivas de la República Argentina según se hallan en vigencia</w:t>
      </w:r>
      <w:r w:rsidRPr="00122AA9">
        <w:rPr>
          <w:rFonts w:eastAsia="Calibri"/>
          <w:sz w:val="20"/>
          <w:lang w:val="es-AR"/>
        </w:rPr>
        <w:t xml:space="preserve"> a la fecha de este Prospecto, </w:t>
      </w:r>
      <w:r w:rsidRPr="00122AA9">
        <w:rPr>
          <w:rFonts w:eastAsia="Calibri"/>
          <w:sz w:val="20"/>
          <w:szCs w:val="20"/>
          <w:lang w:val="es-AR"/>
        </w:rPr>
        <w:t xml:space="preserve">y está sujeto a cualquier modificación en </w:t>
      </w:r>
      <w:r w:rsidRPr="00122AA9">
        <w:rPr>
          <w:rFonts w:eastAsia="Calibri"/>
          <w:sz w:val="20"/>
          <w:lang w:val="es-AR"/>
        </w:rPr>
        <w:t>las leyes</w:t>
      </w:r>
      <w:r w:rsidRPr="00122AA9">
        <w:rPr>
          <w:rFonts w:eastAsia="Calibri"/>
          <w:sz w:val="20"/>
          <w:szCs w:val="20"/>
          <w:lang w:val="es-AR"/>
        </w:rPr>
        <w:t xml:space="preserve"> de la República Argentina que pueda entrar en vigencia después de dicha fecha. Se aconseja a los</w:t>
      </w:r>
      <w:r w:rsidRPr="00122AA9">
        <w:rPr>
          <w:rFonts w:eastAsia="Calibri"/>
          <w:sz w:val="20"/>
          <w:lang w:val="es-AR"/>
        </w:rPr>
        <w:t xml:space="preserve"> compradores potenciales de las Obligaciones Negociables consultar a sus </w:t>
      </w:r>
      <w:r w:rsidRPr="00122AA9">
        <w:rPr>
          <w:rFonts w:eastAsia="Calibri"/>
          <w:sz w:val="20"/>
          <w:szCs w:val="20"/>
          <w:lang w:val="es-AR"/>
        </w:rPr>
        <w:t xml:space="preserve">propios </w:t>
      </w:r>
      <w:r w:rsidRPr="00122AA9">
        <w:rPr>
          <w:rFonts w:eastAsia="Calibri"/>
          <w:sz w:val="20"/>
          <w:lang w:val="es-AR"/>
        </w:rPr>
        <w:t xml:space="preserve">asesores impositivos </w:t>
      </w:r>
      <w:r w:rsidRPr="00122AA9">
        <w:rPr>
          <w:rFonts w:eastAsia="Calibri"/>
          <w:sz w:val="20"/>
          <w:szCs w:val="20"/>
          <w:lang w:val="es-AR"/>
        </w:rPr>
        <w:t>sobre</w:t>
      </w:r>
      <w:r w:rsidRPr="00122AA9">
        <w:rPr>
          <w:rFonts w:eastAsia="Calibri"/>
          <w:sz w:val="20"/>
          <w:lang w:val="es-AR"/>
        </w:rPr>
        <w:t xml:space="preserve"> las consecuencias derivadas de </w:t>
      </w:r>
      <w:r w:rsidRPr="00122AA9">
        <w:rPr>
          <w:rFonts w:eastAsia="Calibri"/>
          <w:sz w:val="20"/>
          <w:szCs w:val="20"/>
          <w:lang w:val="es-AR"/>
        </w:rPr>
        <w:t xml:space="preserve">una inversión en </w:t>
      </w:r>
      <w:r w:rsidRPr="00122AA9">
        <w:rPr>
          <w:rFonts w:eastAsia="Calibri"/>
          <w:sz w:val="20"/>
          <w:lang w:val="es-AR"/>
        </w:rPr>
        <w:t xml:space="preserve">las Obligaciones Negociables </w:t>
      </w:r>
      <w:r w:rsidRPr="00122AA9">
        <w:rPr>
          <w:rFonts w:eastAsia="Calibri"/>
          <w:sz w:val="20"/>
          <w:szCs w:val="20"/>
          <w:lang w:val="es-AR"/>
        </w:rPr>
        <w:t xml:space="preserve">conforme a las leyes impositivas </w:t>
      </w:r>
      <w:r w:rsidRPr="00122AA9">
        <w:rPr>
          <w:rFonts w:eastAsia="Calibri"/>
          <w:sz w:val="20"/>
          <w:lang w:val="es-AR"/>
        </w:rPr>
        <w:t xml:space="preserve">de su </w:t>
      </w:r>
      <w:bookmarkStart w:id="74" w:name="_DV_C46"/>
      <w:bookmarkStart w:id="75" w:name="_Toc475704127"/>
      <w:r w:rsidRPr="00122AA9">
        <w:rPr>
          <w:rFonts w:eastAsia="Calibri"/>
          <w:sz w:val="20"/>
          <w:szCs w:val="20"/>
          <w:lang w:val="es-AR"/>
        </w:rPr>
        <w:t xml:space="preserve">país de residencia (incluyendo la República Argentina), entre ellas, sin carácter taxativo, las consecuencias derivadas del cobro de intereses y la </w:t>
      </w:r>
      <w:bookmarkStart w:id="76" w:name="_DV_C48"/>
      <w:bookmarkEnd w:id="74"/>
      <w:r w:rsidRPr="00122AA9">
        <w:rPr>
          <w:rFonts w:eastAsia="Calibri"/>
          <w:sz w:val="20"/>
          <w:szCs w:val="20"/>
          <w:lang w:val="es-AR"/>
        </w:rPr>
        <w:t xml:space="preserve">venta, rescate o cualquier forma de </w:t>
      </w:r>
      <w:bookmarkEnd w:id="75"/>
      <w:r w:rsidRPr="00122AA9">
        <w:rPr>
          <w:rFonts w:eastAsia="Calibri"/>
          <w:sz w:val="20"/>
          <w:szCs w:val="20"/>
          <w:lang w:val="es-AR"/>
        </w:rPr>
        <w:t xml:space="preserve">enajenación de las Obligaciones Negociables. </w:t>
      </w:r>
      <w:bookmarkEnd w:id="76"/>
    </w:p>
    <w:p w14:paraId="66BBAE2D" w14:textId="77777777" w:rsidR="00122AA9" w:rsidRPr="00122AA9" w:rsidRDefault="00122AA9" w:rsidP="00122AA9">
      <w:pPr>
        <w:jc w:val="both"/>
        <w:rPr>
          <w:rFonts w:eastAsia="Calibri"/>
          <w:b/>
          <w:i/>
          <w:sz w:val="20"/>
          <w:lang w:val="es-AR"/>
        </w:rPr>
      </w:pPr>
    </w:p>
    <w:p w14:paraId="4915D588" w14:textId="77777777" w:rsidR="00122AA9" w:rsidRPr="00122AA9" w:rsidRDefault="00122AA9" w:rsidP="00122AA9">
      <w:pPr>
        <w:autoSpaceDE w:val="0"/>
        <w:autoSpaceDN w:val="0"/>
        <w:jc w:val="both"/>
        <w:rPr>
          <w:rFonts w:eastAsia="Calibri"/>
          <w:b/>
          <w:bCs/>
          <w:i/>
          <w:iCs/>
          <w:sz w:val="20"/>
          <w:szCs w:val="20"/>
          <w:lang w:val="es-AR" w:eastAsia="es-ES"/>
        </w:rPr>
      </w:pPr>
      <w:r w:rsidRPr="00122AA9">
        <w:rPr>
          <w:rFonts w:eastAsia="Calibri"/>
          <w:b/>
          <w:bCs/>
          <w:i/>
          <w:iCs/>
          <w:sz w:val="20"/>
          <w:szCs w:val="20"/>
          <w:lang w:val="es-AR" w:eastAsia="es-ES"/>
        </w:rPr>
        <w:t>Impuesto a las Ganancias</w:t>
      </w:r>
    </w:p>
    <w:p w14:paraId="65AD8C6F" w14:textId="77777777" w:rsidR="00122AA9" w:rsidRPr="00122AA9" w:rsidRDefault="00122AA9" w:rsidP="00122AA9">
      <w:pPr>
        <w:jc w:val="both"/>
        <w:rPr>
          <w:rFonts w:eastAsia="Calibri"/>
          <w:sz w:val="20"/>
          <w:szCs w:val="20"/>
          <w:lang w:val="es-AR"/>
        </w:rPr>
      </w:pPr>
    </w:p>
    <w:p w14:paraId="4DF169D9" w14:textId="77777777" w:rsidR="00122AA9" w:rsidRPr="00512442" w:rsidRDefault="00122AA9" w:rsidP="00122AA9">
      <w:pPr>
        <w:jc w:val="both"/>
        <w:rPr>
          <w:rFonts w:eastAsia="Calibri"/>
          <w:sz w:val="20"/>
          <w:u w:val="single"/>
          <w:lang w:val="es-AR"/>
        </w:rPr>
      </w:pPr>
      <w:bookmarkStart w:id="77" w:name="_Hlk521588637"/>
      <w:r w:rsidRPr="00512442">
        <w:rPr>
          <w:rFonts w:eastAsia="Calibri"/>
          <w:sz w:val="20"/>
          <w:u w:val="single"/>
          <w:lang w:val="es-AR"/>
        </w:rPr>
        <w:t>Pago de intereses</w:t>
      </w:r>
    </w:p>
    <w:p w14:paraId="41767669" w14:textId="77777777" w:rsidR="00122AA9" w:rsidRPr="00122AA9" w:rsidRDefault="00122AA9" w:rsidP="00122AA9">
      <w:pPr>
        <w:jc w:val="both"/>
        <w:rPr>
          <w:rFonts w:eastAsia="Calibri"/>
          <w:sz w:val="20"/>
          <w:szCs w:val="20"/>
          <w:lang w:val="es-AR"/>
        </w:rPr>
      </w:pPr>
    </w:p>
    <w:p w14:paraId="78A9660B" w14:textId="018B1379" w:rsidR="00122AA9" w:rsidRPr="00122AA9" w:rsidRDefault="00122AA9" w:rsidP="00122AA9">
      <w:pPr>
        <w:spacing w:after="120" w:line="276" w:lineRule="auto"/>
        <w:jc w:val="both"/>
        <w:rPr>
          <w:rFonts w:eastAsia="MS Mincho"/>
          <w:sz w:val="20"/>
          <w:lang w:val="es-AR"/>
        </w:rPr>
      </w:pPr>
      <w:r w:rsidRPr="00122AA9">
        <w:rPr>
          <w:rFonts w:eastAsia="MS Mincho"/>
          <w:sz w:val="20"/>
          <w:lang w:val="es-AR"/>
        </w:rPr>
        <w:t>Los pagos de intereses sobre las Obligaciones Negociables estarán exentos del impuesto a las ganancias argentino (“</w:t>
      </w:r>
      <w:r w:rsidRPr="00122AA9">
        <w:rPr>
          <w:rFonts w:eastAsia="MS Mincho"/>
          <w:sz w:val="20"/>
          <w:u w:val="single"/>
          <w:lang w:val="es-AR"/>
        </w:rPr>
        <w:t>Impuesto a las Ganancias</w:t>
      </w:r>
      <w:r w:rsidRPr="00122AA9">
        <w:rPr>
          <w:rFonts w:eastAsia="MS Mincho"/>
          <w:sz w:val="20"/>
          <w:lang w:val="es-AR"/>
        </w:rPr>
        <w:t>”), de conformidad con el artículo 26(h) de la Ley de Impuesto a las Ganancias (t.o. por Decreto N°824/2019) y por remisión al artículo 36 bis, inciso 4 de la Ley de Obligaciones Negociables N°23576 -cuya vigencia fue restablecida por la Ley N°27541 (B.O. 28/12/2019)-, en la medida que se emitan en cumplimiento de lo dispuesto en dicha ley y satisfagan los requisitos de exención allí dispuestos. De conformidad con el Artículo 36 bis de la Ley N°23576, los intereses pagados sobre obligaciones negociables estarán exentos del impuesto a las ganancias en la medida que se cumplan los siguientes requisitos y condiciones (en adelante las “</w:t>
      </w:r>
      <w:r w:rsidRPr="00122AA9">
        <w:rPr>
          <w:rFonts w:eastAsia="MS Mincho"/>
          <w:sz w:val="20"/>
          <w:u w:val="single"/>
          <w:lang w:val="es-AR"/>
        </w:rPr>
        <w:t>Condiciones del Artículo 36</w:t>
      </w:r>
      <w:r w:rsidRPr="00122AA9">
        <w:rPr>
          <w:rFonts w:eastAsia="MS Mincho"/>
          <w:sz w:val="20"/>
          <w:lang w:val="es-AR"/>
        </w:rPr>
        <w:t>”):</w:t>
      </w:r>
    </w:p>
    <w:p w14:paraId="15BCB447" w14:textId="77777777" w:rsidR="00122AA9" w:rsidRPr="00122AA9" w:rsidRDefault="00122AA9" w:rsidP="00122AA9">
      <w:pPr>
        <w:spacing w:after="120" w:line="276" w:lineRule="auto"/>
        <w:ind w:left="708"/>
        <w:jc w:val="both"/>
        <w:rPr>
          <w:rFonts w:eastAsia="MS Mincho"/>
          <w:sz w:val="20"/>
          <w:lang w:val="es-AR"/>
        </w:rPr>
      </w:pPr>
      <w:r w:rsidRPr="00122AA9">
        <w:rPr>
          <w:rFonts w:eastAsia="MS Mincho"/>
          <w:sz w:val="20"/>
          <w:lang w:val="es-AR"/>
        </w:rPr>
        <w:t>(1) Se trate de emisiones de obligaciones negociables que sean colocadas por oferta pública, contando para ello con la respectiva autorización de la Comisión Nacional de Valores.</w:t>
      </w:r>
    </w:p>
    <w:p w14:paraId="035CBA13" w14:textId="77777777" w:rsidR="00122AA9" w:rsidRPr="00122AA9" w:rsidRDefault="00122AA9" w:rsidP="00122AA9">
      <w:pPr>
        <w:spacing w:after="120" w:line="276" w:lineRule="auto"/>
        <w:ind w:left="708"/>
        <w:jc w:val="both"/>
        <w:rPr>
          <w:rFonts w:eastAsia="MS Mincho"/>
          <w:sz w:val="20"/>
          <w:lang w:val="es-AR"/>
        </w:rPr>
      </w:pPr>
      <w:r w:rsidRPr="00122AA9">
        <w:rPr>
          <w:rFonts w:eastAsia="MS Mincho"/>
          <w:sz w:val="20"/>
          <w:lang w:val="es-AR"/>
        </w:rPr>
        <w:t>(2) La emisora garantice la aplicación de los fondos a obtener mediante la colocación de las obligaciones negociables, a inversiones en activos físicos y bienes de capital situados en el país, adquisición de fondos de comercio situados en el país, integración de capital de trabajo en el país o refinanciación de pasivos, a la integración de aportes de capital en sociedades controladas o vinculadas a la sociedad emisora, a la adquisición de participaciones sociales y/o financiamiento del giro comercial de su negocio, cuyo producido se aplique exclusivamente a los destinos antes especificados, según se haya establecido en la resolución que disponga la emisión, y dado a conocer al público inversor a través del prospecto.</w:t>
      </w:r>
    </w:p>
    <w:p w14:paraId="175B19CF" w14:textId="77777777" w:rsidR="00122AA9" w:rsidRPr="00122AA9" w:rsidRDefault="00122AA9" w:rsidP="00122AA9">
      <w:pPr>
        <w:spacing w:after="120" w:line="276" w:lineRule="auto"/>
        <w:ind w:left="708"/>
        <w:jc w:val="both"/>
        <w:rPr>
          <w:rFonts w:eastAsia="MS Mincho"/>
          <w:sz w:val="20"/>
          <w:lang w:val="es-AR"/>
        </w:rPr>
      </w:pPr>
      <w:r w:rsidRPr="00122AA9">
        <w:rPr>
          <w:rFonts w:eastAsia="MS Mincho"/>
          <w:sz w:val="20"/>
          <w:lang w:val="es-AR"/>
        </w:rPr>
        <w:t>(3) La emisora deberá acreditar ante la Comisión Nacional de Valores, en el tiempo, forma y condiciones que ésta determine, que los fondos obtenidos fueron invertidos de acuerdo al plan aprobado.</w:t>
      </w:r>
    </w:p>
    <w:p w14:paraId="1CF9E8CD" w14:textId="77777777" w:rsidR="00122AA9" w:rsidRPr="00122AA9" w:rsidRDefault="00122AA9" w:rsidP="00122AA9">
      <w:pPr>
        <w:widowControl w:val="0"/>
        <w:spacing w:line="276" w:lineRule="auto"/>
        <w:jc w:val="both"/>
        <w:rPr>
          <w:sz w:val="20"/>
          <w:lang w:val="es-ES"/>
        </w:rPr>
      </w:pPr>
    </w:p>
    <w:p w14:paraId="3A64C8B4" w14:textId="77777777" w:rsidR="00122AA9" w:rsidRPr="00122AA9" w:rsidRDefault="00122AA9" w:rsidP="00122AA9">
      <w:pPr>
        <w:widowControl w:val="0"/>
        <w:spacing w:line="276" w:lineRule="auto"/>
        <w:jc w:val="both"/>
        <w:rPr>
          <w:sz w:val="20"/>
          <w:lang w:val="es-ES"/>
        </w:rPr>
      </w:pPr>
      <w:r w:rsidRPr="00122AA9">
        <w:rPr>
          <w:sz w:val="20"/>
          <w:lang w:val="es-ES"/>
        </w:rPr>
        <w:t xml:space="preserve">Si la Sociedad no cumple con las Condiciones del Artículo 36, el artículo 38 de la Ley de Obligaciones Negociables </w:t>
      </w:r>
      <w:r w:rsidRPr="00122AA9">
        <w:rPr>
          <w:rFonts w:eastAsia="MS Mincho"/>
          <w:sz w:val="20"/>
          <w:lang w:val="es-AR"/>
        </w:rPr>
        <w:t xml:space="preserve">N°23576 </w:t>
      </w:r>
      <w:r w:rsidRPr="00122AA9">
        <w:rPr>
          <w:sz w:val="20"/>
          <w:lang w:val="es-ES"/>
        </w:rPr>
        <w:t xml:space="preserve">establece que la Sociedad será responsable del pago del impuesto correspondiente que grave el pago de intereses de las Obligaciones Negociables. </w:t>
      </w:r>
    </w:p>
    <w:p w14:paraId="47747F20" w14:textId="77777777" w:rsidR="00122AA9" w:rsidRPr="00122AA9" w:rsidRDefault="00122AA9" w:rsidP="00122AA9">
      <w:pPr>
        <w:widowControl w:val="0"/>
        <w:spacing w:line="276" w:lineRule="auto"/>
        <w:jc w:val="both"/>
        <w:rPr>
          <w:sz w:val="20"/>
          <w:lang w:val="es-ES"/>
        </w:rPr>
      </w:pPr>
    </w:p>
    <w:p w14:paraId="5B3DD161" w14:textId="345BCB2F" w:rsidR="00122AA9" w:rsidRPr="00512442" w:rsidRDefault="00122AA9" w:rsidP="00512442">
      <w:pPr>
        <w:widowControl w:val="0"/>
        <w:spacing w:line="276" w:lineRule="auto"/>
        <w:jc w:val="both"/>
        <w:rPr>
          <w:sz w:val="20"/>
          <w:lang w:val="es-ES"/>
        </w:rPr>
      </w:pPr>
      <w:r w:rsidRPr="00122AA9">
        <w:rPr>
          <w:sz w:val="20"/>
          <w:lang w:val="es-ES"/>
        </w:rPr>
        <w:t>El artículo 108 de la Ley del Impuesto a las Ganancias (t.o. por Decreto N°824/2019) establece que no les serán de aplicación las exenciones establecidas en el inciso h) del artículo 26 a los responsables que, conforme lo previsto en el Título VI de dicha norma, deban practicar el ajuste por inflación (en general,</w:t>
      </w:r>
      <w:r w:rsidRPr="00512442">
        <w:rPr>
          <w:sz w:val="20"/>
          <w:lang w:val="es-ES"/>
        </w:rPr>
        <w:t xml:space="preserve"> sociedades comerciales</w:t>
      </w:r>
      <w:r w:rsidRPr="00122AA9">
        <w:rPr>
          <w:sz w:val="20"/>
          <w:lang w:val="es-ES"/>
        </w:rPr>
        <w:t xml:space="preserve"> y</w:t>
      </w:r>
      <w:r w:rsidRPr="00512442">
        <w:rPr>
          <w:sz w:val="20"/>
          <w:lang w:val="es-ES"/>
        </w:rPr>
        <w:t xml:space="preserve"> otras entidades constituidas o registradas conforme a las leyes argentinas, sucursales locales de entidades extranjeras, establecimientos </w:t>
      </w:r>
      <w:r w:rsidRPr="00122AA9">
        <w:rPr>
          <w:sz w:val="20"/>
          <w:lang w:val="es-ES"/>
        </w:rPr>
        <w:t>permanentes</w:t>
      </w:r>
      <w:r w:rsidRPr="00512442">
        <w:rPr>
          <w:sz w:val="20"/>
          <w:lang w:val="es-ES"/>
        </w:rPr>
        <w:t xml:space="preserve"> pertenecientes a personas </w:t>
      </w:r>
      <w:r w:rsidR="00450196">
        <w:rPr>
          <w:sz w:val="20"/>
          <w:lang w:val="es-ES"/>
        </w:rPr>
        <w:t>humanas</w:t>
      </w:r>
      <w:r w:rsidR="00450196" w:rsidRPr="00512442">
        <w:rPr>
          <w:sz w:val="20"/>
          <w:lang w:val="es-ES"/>
        </w:rPr>
        <w:t xml:space="preserve"> </w:t>
      </w:r>
      <w:r w:rsidRPr="00512442">
        <w:rPr>
          <w:sz w:val="20"/>
          <w:lang w:val="es-ES"/>
        </w:rPr>
        <w:t xml:space="preserve">residentes en el exterior o a personas jurídicas constituidas en el extranjero, empresas unipersonales y personas </w:t>
      </w:r>
      <w:r w:rsidR="00450196">
        <w:rPr>
          <w:rFonts w:eastAsia="Calibri"/>
          <w:sz w:val="20"/>
          <w:szCs w:val="20"/>
          <w:lang w:val="es-AR"/>
        </w:rPr>
        <w:t>humanas</w:t>
      </w:r>
      <w:r w:rsidRPr="00512442">
        <w:rPr>
          <w:sz w:val="20"/>
          <w:lang w:val="es-ES"/>
        </w:rPr>
        <w:t xml:space="preserve"> que </w:t>
      </w:r>
      <w:r w:rsidRPr="00122AA9">
        <w:rPr>
          <w:sz w:val="20"/>
          <w:lang w:val="es-ES"/>
        </w:rPr>
        <w:t>desarrollan</w:t>
      </w:r>
      <w:r w:rsidRPr="00512442">
        <w:rPr>
          <w:sz w:val="20"/>
          <w:lang w:val="es-ES"/>
        </w:rPr>
        <w:t xml:space="preserve"> determinadas actividades comerciales en Argentina</w:t>
      </w:r>
      <w:r w:rsidRPr="00122AA9">
        <w:rPr>
          <w:sz w:val="20"/>
          <w:lang w:val="es-ES"/>
        </w:rPr>
        <w:t>). Ello así, los intereses pagados a los tenedores que están sujetos a las normas de ajuste impositivo por inflación están sujetos al pago de impuestos a las ganancias en Argentina.</w:t>
      </w:r>
    </w:p>
    <w:p w14:paraId="6D965F83" w14:textId="77777777" w:rsidR="00122AA9" w:rsidRPr="00512442" w:rsidRDefault="00122AA9" w:rsidP="00512442">
      <w:pPr>
        <w:widowControl w:val="0"/>
        <w:spacing w:line="276" w:lineRule="auto"/>
        <w:jc w:val="both"/>
        <w:rPr>
          <w:sz w:val="20"/>
          <w:lang w:val="es-ES"/>
        </w:rPr>
      </w:pPr>
    </w:p>
    <w:p w14:paraId="3CDB064C" w14:textId="14AE8194" w:rsidR="00122AA9" w:rsidRPr="00512442" w:rsidRDefault="00122AA9" w:rsidP="00512442">
      <w:pPr>
        <w:widowControl w:val="0"/>
        <w:spacing w:line="276" w:lineRule="auto"/>
        <w:jc w:val="both"/>
        <w:rPr>
          <w:sz w:val="20"/>
          <w:lang w:val="es-ES"/>
        </w:rPr>
      </w:pPr>
      <w:r w:rsidRPr="00512442">
        <w:rPr>
          <w:sz w:val="20"/>
          <w:lang w:val="es-ES"/>
        </w:rPr>
        <w:t xml:space="preserve">En estos casos, de acuerdo con lo previsto por </w:t>
      </w:r>
      <w:r w:rsidRPr="00122AA9">
        <w:rPr>
          <w:sz w:val="20"/>
          <w:lang w:val="es-ES"/>
        </w:rPr>
        <w:t>el</w:t>
      </w:r>
      <w:r w:rsidRPr="00512442">
        <w:rPr>
          <w:sz w:val="20"/>
          <w:lang w:val="es-ES"/>
        </w:rPr>
        <w:t xml:space="preserve"> artículo </w:t>
      </w:r>
      <w:r w:rsidRPr="00122AA9">
        <w:rPr>
          <w:sz w:val="20"/>
          <w:lang w:val="es-ES"/>
        </w:rPr>
        <w:t>85</w:t>
      </w:r>
      <w:r w:rsidRPr="00512442">
        <w:rPr>
          <w:sz w:val="20"/>
          <w:lang w:val="es-ES"/>
        </w:rPr>
        <w:t>, inciso a) de la Ley de Impuesto a las Ganancias, los intereses quedarán sujetos, en el momento del pago, a las normas de retención vigentes dictadas por la Administración Federal de Ingresos Públicos, con independencia de que resulten o no deducibles</w:t>
      </w:r>
      <w:r w:rsidRPr="00122AA9">
        <w:rPr>
          <w:sz w:val="20"/>
          <w:lang w:val="es-ES"/>
        </w:rPr>
        <w:t>; dichas normas aún no han sido dictadas.</w:t>
      </w:r>
      <w:r w:rsidRPr="00512442">
        <w:rPr>
          <w:sz w:val="20"/>
          <w:lang w:val="es-ES"/>
        </w:rPr>
        <w:t xml:space="preserve"> A tales efectos, deberán observarse las disposiciones de la Resolución General (AFIP) N°830/2000.</w:t>
      </w:r>
    </w:p>
    <w:p w14:paraId="398D660E" w14:textId="77777777" w:rsidR="00122AA9" w:rsidRPr="00512442" w:rsidRDefault="00122AA9" w:rsidP="00512442">
      <w:pPr>
        <w:widowControl w:val="0"/>
        <w:spacing w:line="276" w:lineRule="auto"/>
        <w:jc w:val="both"/>
        <w:rPr>
          <w:sz w:val="20"/>
          <w:lang w:val="es-ES"/>
        </w:rPr>
      </w:pPr>
    </w:p>
    <w:p w14:paraId="0090F5C4" w14:textId="1BA7BC12" w:rsidR="00122AA9" w:rsidRPr="00122AA9" w:rsidRDefault="00122AA9" w:rsidP="00122AA9">
      <w:pPr>
        <w:widowControl w:val="0"/>
        <w:spacing w:line="276" w:lineRule="auto"/>
        <w:jc w:val="both"/>
        <w:rPr>
          <w:sz w:val="20"/>
          <w:u w:val="single"/>
          <w:lang w:val="es-ES"/>
        </w:rPr>
      </w:pPr>
      <w:r w:rsidRPr="00122AA9">
        <w:rPr>
          <w:sz w:val="20"/>
          <w:u w:val="single"/>
          <w:lang w:val="es-ES"/>
        </w:rPr>
        <w:t>Ganancias de capital</w:t>
      </w:r>
    </w:p>
    <w:p w14:paraId="5431090A" w14:textId="77777777" w:rsidR="00122AA9" w:rsidRPr="00122AA9" w:rsidRDefault="00122AA9" w:rsidP="00122AA9">
      <w:pPr>
        <w:widowControl w:val="0"/>
        <w:spacing w:line="276" w:lineRule="auto"/>
        <w:jc w:val="both"/>
        <w:rPr>
          <w:sz w:val="20"/>
          <w:lang w:val="es-ES"/>
        </w:rPr>
      </w:pPr>
    </w:p>
    <w:p w14:paraId="78349E3F" w14:textId="368F7702" w:rsidR="00122AA9" w:rsidRPr="00122AA9" w:rsidRDefault="00122AA9" w:rsidP="00512442">
      <w:pPr>
        <w:widowControl w:val="0"/>
        <w:autoSpaceDE w:val="0"/>
        <w:autoSpaceDN w:val="0"/>
        <w:adjustRightInd w:val="0"/>
        <w:spacing w:line="276" w:lineRule="auto"/>
        <w:jc w:val="both"/>
        <w:rPr>
          <w:sz w:val="20"/>
          <w:szCs w:val="20"/>
          <w:lang w:val="es-AR" w:eastAsia="es-ES"/>
        </w:rPr>
      </w:pPr>
      <w:r w:rsidRPr="00122AA9">
        <w:rPr>
          <w:sz w:val="20"/>
          <w:szCs w:val="20"/>
          <w:lang w:val="es-AR" w:eastAsia="es-ES"/>
        </w:rPr>
        <w:t>Las personas humanas y sucesiones indivisas residentes en Argentina y los beneficiarios del exterior no están sujetos al Impuesto a las Ganancias sobre las ganancias de capital derivadas de la venta u otra forma de disposición de las Obligaciones Negociables de conformidad con lo dispuesto en el artículo 26(h) de la Ley de Impuesto a las Ganancias (t.o. por Decreto N°824/2019) y por remisión al artículo 36 bis, inciso 3 de la Ley de Obligaciones Negociables N°23576 -cuya vigencia fue restablecida por la Ley N°27541 (B.O. 28/12/2019)-</w:t>
      </w:r>
      <w:r w:rsidRPr="00122AA9">
        <w:rPr>
          <w:rFonts w:eastAsia="MS Mincho"/>
          <w:sz w:val="20"/>
          <w:szCs w:val="20"/>
          <w:lang w:val="es-AR" w:eastAsia="es-ES"/>
        </w:rPr>
        <w:t>, en la medida que se cumplan las Condiciones del Artículo 36.</w:t>
      </w:r>
    </w:p>
    <w:p w14:paraId="15A7C57C" w14:textId="77777777" w:rsidR="00122AA9" w:rsidRPr="00122AA9" w:rsidRDefault="00122AA9" w:rsidP="00512442">
      <w:pPr>
        <w:widowControl w:val="0"/>
        <w:autoSpaceDE w:val="0"/>
        <w:autoSpaceDN w:val="0"/>
        <w:adjustRightInd w:val="0"/>
        <w:spacing w:line="276" w:lineRule="auto"/>
        <w:jc w:val="both"/>
        <w:rPr>
          <w:sz w:val="20"/>
          <w:szCs w:val="20"/>
          <w:lang w:val="es-AR" w:eastAsia="es-ES"/>
        </w:rPr>
      </w:pPr>
    </w:p>
    <w:p w14:paraId="604FDD6B" w14:textId="38D56889" w:rsidR="00122AA9" w:rsidRPr="00122AA9" w:rsidRDefault="00122AA9" w:rsidP="00122AA9">
      <w:pPr>
        <w:widowControl w:val="0"/>
        <w:spacing w:line="276" w:lineRule="auto"/>
        <w:jc w:val="both"/>
        <w:rPr>
          <w:sz w:val="20"/>
          <w:lang w:val="es-ES"/>
        </w:rPr>
      </w:pPr>
      <w:r w:rsidRPr="00122AA9">
        <w:rPr>
          <w:sz w:val="20"/>
          <w:lang w:val="es-ES"/>
        </w:rPr>
        <w:t xml:space="preserve">Si la Sociedad no cumple con las Condiciones del Artículo 36, el artículo 38 de la Ley de Obligaciones Negociables establece que la Sociedad será responsable del pago del impuesto correspondiente al inversor. </w:t>
      </w:r>
    </w:p>
    <w:p w14:paraId="72EE34A0" w14:textId="77777777" w:rsidR="00122AA9" w:rsidRPr="00122AA9" w:rsidRDefault="00122AA9" w:rsidP="00122AA9">
      <w:pPr>
        <w:widowControl w:val="0"/>
        <w:autoSpaceDE w:val="0"/>
        <w:autoSpaceDN w:val="0"/>
        <w:adjustRightInd w:val="0"/>
        <w:spacing w:line="276" w:lineRule="auto"/>
        <w:jc w:val="both"/>
        <w:rPr>
          <w:sz w:val="20"/>
          <w:szCs w:val="20"/>
          <w:lang w:val="es-ES" w:eastAsia="es-ES"/>
        </w:rPr>
      </w:pPr>
    </w:p>
    <w:p w14:paraId="3765C766" w14:textId="4801CA51" w:rsidR="00122AA9" w:rsidRPr="00512442" w:rsidRDefault="00122AA9" w:rsidP="00512442">
      <w:pPr>
        <w:widowControl w:val="0"/>
        <w:spacing w:line="276" w:lineRule="auto"/>
        <w:jc w:val="both"/>
        <w:rPr>
          <w:sz w:val="20"/>
          <w:lang w:val="es-ES"/>
        </w:rPr>
      </w:pPr>
      <w:r w:rsidRPr="00122AA9">
        <w:rPr>
          <w:sz w:val="20"/>
          <w:lang w:val="es-ES"/>
        </w:rPr>
        <w:t xml:space="preserve">El artículo 108 de la Ley del Impuesto a las Ganancias (t.o. por Decreto N°824/2019) establece que no les serán de aplicación las exenciones establecidas en el inciso h) del artículo 26 a los responsables que, conforme lo previsto en el Título VI de dicha norma, deban practicar el ajuste por inflación (en general, </w:t>
      </w:r>
      <w:r w:rsidRPr="00512442">
        <w:rPr>
          <w:sz w:val="20"/>
          <w:lang w:val="es-ES"/>
        </w:rPr>
        <w:t>sociedades comerciales</w:t>
      </w:r>
      <w:r w:rsidRPr="00122AA9">
        <w:rPr>
          <w:sz w:val="20"/>
          <w:lang w:val="es-ES"/>
        </w:rPr>
        <w:t xml:space="preserve"> y</w:t>
      </w:r>
      <w:r w:rsidRPr="00512442">
        <w:rPr>
          <w:sz w:val="20"/>
          <w:lang w:val="es-ES"/>
        </w:rPr>
        <w:t xml:space="preserve"> otras entidades constituidas o registradas conforme a las leyes argentinas, sucursales locales de entidades extranjeras, establecimientos </w:t>
      </w:r>
      <w:r w:rsidRPr="00122AA9">
        <w:rPr>
          <w:sz w:val="20"/>
          <w:lang w:val="es-ES"/>
        </w:rPr>
        <w:t>permanentes</w:t>
      </w:r>
      <w:r w:rsidRPr="00512442">
        <w:rPr>
          <w:sz w:val="20"/>
          <w:lang w:val="es-ES"/>
        </w:rPr>
        <w:t xml:space="preserve"> pertenecientes a personas </w:t>
      </w:r>
      <w:r w:rsidR="00450196">
        <w:rPr>
          <w:rFonts w:eastAsia="Calibri"/>
          <w:sz w:val="20"/>
          <w:szCs w:val="20"/>
          <w:lang w:val="es-AR"/>
        </w:rPr>
        <w:t>humanas</w:t>
      </w:r>
      <w:r w:rsidRPr="00512442">
        <w:rPr>
          <w:sz w:val="20"/>
          <w:lang w:val="es-ES"/>
        </w:rPr>
        <w:t xml:space="preserve"> residentes en el exterior o a personas jurídicas constituidas en el extranjero, empresas unipersonales y personas </w:t>
      </w:r>
      <w:r w:rsidR="00450196">
        <w:rPr>
          <w:rFonts w:eastAsia="Calibri"/>
          <w:sz w:val="20"/>
          <w:szCs w:val="20"/>
          <w:lang w:val="es-AR"/>
        </w:rPr>
        <w:t>humanas</w:t>
      </w:r>
      <w:r w:rsidRPr="00512442">
        <w:rPr>
          <w:sz w:val="20"/>
          <w:lang w:val="es-ES"/>
        </w:rPr>
        <w:t xml:space="preserve"> que </w:t>
      </w:r>
      <w:r w:rsidRPr="00122AA9">
        <w:rPr>
          <w:sz w:val="20"/>
          <w:lang w:val="es-ES"/>
        </w:rPr>
        <w:t>desarrollan</w:t>
      </w:r>
      <w:r w:rsidRPr="00512442">
        <w:rPr>
          <w:sz w:val="20"/>
          <w:lang w:val="es-ES"/>
        </w:rPr>
        <w:t xml:space="preserve"> determinadas actividades comerciales en Argentina</w:t>
      </w:r>
      <w:r w:rsidRPr="00122AA9">
        <w:rPr>
          <w:sz w:val="20"/>
          <w:lang w:val="es-ES"/>
        </w:rPr>
        <w:t xml:space="preserve">). Ello así, los sujetos bajo las normas de ajuste impositivo por inflación que enajenen obligaciones negociables deberán determinar, al cierre del ejercicio correspondiente, la ganancia obtenida por dicha operación, e ingresar el impuesto que en su caso corresponda. </w:t>
      </w:r>
    </w:p>
    <w:p w14:paraId="569F75D6" w14:textId="77777777" w:rsidR="00122AA9" w:rsidRPr="00122AA9" w:rsidRDefault="00122AA9" w:rsidP="00122AA9">
      <w:pPr>
        <w:widowControl w:val="0"/>
        <w:spacing w:line="276" w:lineRule="auto"/>
        <w:jc w:val="both"/>
        <w:rPr>
          <w:sz w:val="20"/>
          <w:lang w:val="es-ES"/>
        </w:rPr>
      </w:pPr>
    </w:p>
    <w:p w14:paraId="3E786E28" w14:textId="77777777" w:rsidR="00122AA9" w:rsidRPr="00122AA9" w:rsidRDefault="00122AA9" w:rsidP="00122AA9">
      <w:pPr>
        <w:jc w:val="both"/>
        <w:rPr>
          <w:sz w:val="20"/>
          <w:lang w:val="es-ES"/>
        </w:rPr>
      </w:pPr>
      <w:r w:rsidRPr="00122AA9">
        <w:rPr>
          <w:sz w:val="20"/>
          <w:lang w:val="es-ES"/>
        </w:rPr>
        <w:t xml:space="preserve">Asimismo, el artículo 26(u) de la Ley de Impuesto a las Ganancias (t.o. por Decreto N°824/2019, modificado por la Ley N°27541) establece que, a partir del 2020, los resultados por venta (u cualquier otra forma de disposición) de obligaciones negociales (aunque no cumplan con las Condiciones del Artículo 36) obtenidos por personas humanas y sucesiones indivisas residentes en el país estarán exentos del Impuesto a las Ganancias, en la medida que coticen en bolsas o mercados de valores autorizados por la CNV. Igual tratamiento será aplicable a los beneficiarios del exterior, en la medida que no residan en jurisdicciones no cooperantes o los fondos invertidos no provengan de jurisdicciones no cooperantes. </w:t>
      </w:r>
    </w:p>
    <w:p w14:paraId="2D26BF16" w14:textId="77777777" w:rsidR="00122AA9" w:rsidRPr="00122AA9" w:rsidRDefault="00122AA9" w:rsidP="00122AA9">
      <w:pPr>
        <w:autoSpaceDE w:val="0"/>
        <w:autoSpaceDN w:val="0"/>
        <w:jc w:val="both"/>
        <w:rPr>
          <w:rFonts w:eastAsia="Calibri"/>
          <w:sz w:val="20"/>
          <w:highlight w:val="yellow"/>
          <w:lang w:val="es-AR"/>
        </w:rPr>
      </w:pPr>
    </w:p>
    <w:p w14:paraId="427D7E91" w14:textId="77777777" w:rsidR="00122AA9" w:rsidRPr="00122AA9" w:rsidRDefault="00122AA9" w:rsidP="00122AA9">
      <w:pPr>
        <w:jc w:val="both"/>
        <w:rPr>
          <w:rFonts w:eastAsia="Calibri"/>
          <w:b/>
          <w:bCs/>
          <w:i/>
          <w:iCs/>
          <w:sz w:val="20"/>
          <w:szCs w:val="20"/>
          <w:lang w:val="es-AR"/>
        </w:rPr>
      </w:pPr>
      <w:r w:rsidRPr="00122AA9">
        <w:rPr>
          <w:rFonts w:eastAsia="Calibri"/>
          <w:b/>
          <w:bCs/>
          <w:i/>
          <w:iCs/>
          <w:sz w:val="20"/>
          <w:szCs w:val="20"/>
          <w:lang w:val="es-AR"/>
        </w:rPr>
        <w:t>Impuesto al Valor Agregado</w:t>
      </w:r>
    </w:p>
    <w:p w14:paraId="636D56C4" w14:textId="77777777" w:rsidR="00122AA9" w:rsidRPr="00122AA9" w:rsidRDefault="00122AA9" w:rsidP="00122AA9">
      <w:pPr>
        <w:jc w:val="both"/>
        <w:rPr>
          <w:rFonts w:eastAsia="Calibri"/>
          <w:b/>
          <w:sz w:val="20"/>
          <w:lang w:val="es-AR"/>
        </w:rPr>
      </w:pPr>
    </w:p>
    <w:p w14:paraId="74A69217" w14:textId="3884F96C" w:rsidR="00122AA9" w:rsidRPr="00122AA9" w:rsidRDefault="00122AA9" w:rsidP="00122AA9">
      <w:pPr>
        <w:jc w:val="both"/>
        <w:rPr>
          <w:rFonts w:eastAsia="Calibri"/>
          <w:sz w:val="20"/>
          <w:szCs w:val="20"/>
          <w:lang w:val="es-AR"/>
        </w:rPr>
      </w:pPr>
      <w:r w:rsidRPr="00122AA9">
        <w:rPr>
          <w:rFonts w:eastAsia="Calibri"/>
          <w:sz w:val="20"/>
          <w:szCs w:val="20"/>
          <w:lang w:val="es-AR"/>
        </w:rPr>
        <w:t xml:space="preserve">De acuerdo con el artículo 36 bis de la Ley de Obligaciones Negociables quedan exentos del impuesto al valor agregado las operaciones financieras y prestaciones relativas a la emisión, suscripción, colocación, transferencia, amortización, intereses y cancelaciones de las obligaciones negociables y sus garantías en la medida que se cumplan las </w:t>
      </w:r>
      <w:r w:rsidRPr="00122AA9">
        <w:rPr>
          <w:sz w:val="20"/>
          <w:lang w:val="es-ES"/>
        </w:rPr>
        <w:t>Condiciones del</w:t>
      </w:r>
      <w:r w:rsidRPr="00512442">
        <w:rPr>
          <w:sz w:val="20"/>
          <w:lang w:val="es-ES"/>
        </w:rPr>
        <w:t xml:space="preserve"> Artículo 36</w:t>
      </w:r>
      <w:r w:rsidRPr="00122AA9">
        <w:rPr>
          <w:rFonts w:eastAsia="Calibri"/>
          <w:sz w:val="20"/>
          <w:szCs w:val="20"/>
          <w:lang w:val="es-AR"/>
        </w:rPr>
        <w:t xml:space="preserve">. </w:t>
      </w:r>
    </w:p>
    <w:p w14:paraId="353F63FB" w14:textId="77777777" w:rsidR="00122AA9" w:rsidRPr="00122AA9" w:rsidRDefault="00122AA9" w:rsidP="00122AA9">
      <w:pPr>
        <w:jc w:val="both"/>
        <w:rPr>
          <w:rFonts w:eastAsia="Calibri"/>
          <w:sz w:val="20"/>
          <w:szCs w:val="20"/>
          <w:lang w:val="es-AR"/>
        </w:rPr>
      </w:pPr>
    </w:p>
    <w:p w14:paraId="5BEB761D"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De conformidad con la ley de impuesto al valor agregado, la transferencia de Obligaciones Negociables se encuentra exenta de este impuesto, aún si no se cumplieran las Condiciones del Artículo 36.</w:t>
      </w:r>
    </w:p>
    <w:p w14:paraId="731F1FE2" w14:textId="77777777" w:rsidR="00122AA9" w:rsidRPr="00122AA9" w:rsidRDefault="00122AA9" w:rsidP="00122AA9">
      <w:pPr>
        <w:jc w:val="both"/>
        <w:rPr>
          <w:rFonts w:eastAsia="Calibri"/>
          <w:sz w:val="20"/>
          <w:lang w:val="es-AR"/>
        </w:rPr>
      </w:pPr>
    </w:p>
    <w:bookmarkEnd w:id="77"/>
    <w:p w14:paraId="0C1709C8" w14:textId="77777777" w:rsidR="00122AA9" w:rsidRPr="00122AA9" w:rsidRDefault="00122AA9" w:rsidP="00122AA9">
      <w:pPr>
        <w:jc w:val="both"/>
        <w:rPr>
          <w:rFonts w:eastAsia="Calibri"/>
          <w:b/>
          <w:sz w:val="20"/>
          <w:lang w:val="es-AR"/>
        </w:rPr>
      </w:pPr>
      <w:r w:rsidRPr="00122AA9">
        <w:rPr>
          <w:rFonts w:eastAsia="Calibri"/>
          <w:b/>
          <w:bCs/>
          <w:i/>
          <w:iCs/>
          <w:sz w:val="20"/>
          <w:szCs w:val="20"/>
          <w:lang w:val="es-AR"/>
        </w:rPr>
        <w:t xml:space="preserve">Impuesto </w:t>
      </w:r>
      <w:bookmarkStart w:id="78" w:name="_Toc475704128"/>
      <w:r w:rsidRPr="00122AA9">
        <w:rPr>
          <w:rFonts w:eastAsia="Calibri"/>
          <w:b/>
          <w:bCs/>
          <w:i/>
          <w:iCs/>
          <w:sz w:val="20"/>
          <w:szCs w:val="20"/>
          <w:lang w:val="es-AR"/>
        </w:rPr>
        <w:t>sobre los Bienes Personales</w:t>
      </w:r>
      <w:bookmarkEnd w:id="78"/>
      <w:r w:rsidRPr="00122AA9">
        <w:rPr>
          <w:rFonts w:eastAsia="Calibri"/>
          <w:b/>
          <w:bCs/>
          <w:sz w:val="20"/>
          <w:szCs w:val="20"/>
          <w:lang w:val="es-AR"/>
        </w:rPr>
        <w:t xml:space="preserve"> </w:t>
      </w:r>
    </w:p>
    <w:p w14:paraId="6ADEE7B0" w14:textId="77777777" w:rsidR="00122AA9" w:rsidRPr="00122AA9" w:rsidRDefault="00122AA9" w:rsidP="00122AA9">
      <w:pPr>
        <w:jc w:val="both"/>
        <w:rPr>
          <w:rFonts w:eastAsia="Calibri"/>
          <w:b/>
          <w:sz w:val="20"/>
          <w:lang w:val="es-AR"/>
        </w:rPr>
      </w:pPr>
    </w:p>
    <w:p w14:paraId="046B4753" w14:textId="3ABF0B05" w:rsidR="00122AA9" w:rsidRPr="00122AA9" w:rsidRDefault="00122AA9" w:rsidP="00122AA9">
      <w:pPr>
        <w:jc w:val="both"/>
        <w:rPr>
          <w:rFonts w:eastAsia="Calibri"/>
          <w:sz w:val="20"/>
          <w:szCs w:val="20"/>
          <w:lang w:val="es-AR"/>
        </w:rPr>
      </w:pPr>
      <w:r w:rsidRPr="00122AA9">
        <w:rPr>
          <w:rFonts w:eastAsia="Calibri"/>
          <w:sz w:val="20"/>
          <w:szCs w:val="20"/>
          <w:lang w:val="es-AR"/>
        </w:rPr>
        <w:t>Las personas humanas y sucesiones indivisas residentes en Argentina o en el extranjero deben incluir los títulos, tales como las Obligaciones Negociables, a fin de determinar su responsabilidad fiscal correspondiente al Impuesto sobre los Bienes Personales (el “</w:t>
      </w:r>
      <w:r w:rsidRPr="00512442">
        <w:rPr>
          <w:rFonts w:eastAsia="Calibri"/>
          <w:sz w:val="20"/>
          <w:u w:val="single"/>
          <w:lang w:val="es-AR"/>
        </w:rPr>
        <w:t>Impuesto sobre los Bienes Personales</w:t>
      </w:r>
      <w:r w:rsidRPr="00122AA9">
        <w:rPr>
          <w:rFonts w:eastAsia="Calibri"/>
          <w:sz w:val="20"/>
          <w:szCs w:val="20"/>
          <w:lang w:val="es-AR"/>
        </w:rPr>
        <w:t>”).</w:t>
      </w:r>
    </w:p>
    <w:p w14:paraId="229BDC59" w14:textId="77777777" w:rsidR="00122AA9" w:rsidRPr="00122AA9" w:rsidRDefault="00122AA9" w:rsidP="00122AA9">
      <w:pPr>
        <w:jc w:val="both"/>
        <w:rPr>
          <w:rFonts w:eastAsia="Calibri"/>
          <w:sz w:val="20"/>
          <w:szCs w:val="20"/>
          <w:lang w:val="es-AR"/>
        </w:rPr>
      </w:pPr>
    </w:p>
    <w:p w14:paraId="506107B7" w14:textId="534A3DF2" w:rsidR="00122AA9" w:rsidRPr="00122AA9" w:rsidRDefault="00122AA9" w:rsidP="00122AA9">
      <w:pPr>
        <w:jc w:val="both"/>
        <w:rPr>
          <w:rFonts w:eastAsia="Calibri"/>
          <w:sz w:val="20"/>
          <w:szCs w:val="20"/>
          <w:lang w:val="es-AR"/>
        </w:rPr>
      </w:pPr>
      <w:r w:rsidRPr="00122AA9">
        <w:rPr>
          <w:rFonts w:eastAsia="Calibri"/>
          <w:sz w:val="20"/>
          <w:szCs w:val="20"/>
          <w:lang w:val="es-AR"/>
        </w:rPr>
        <w:t>Respecto de las personas humanas y las sucesiones indivisas residentes en la República Argentina, los bienes gravados situados en el país existentes al 31 de diciembre de cada año se encuentran alcanzados por la siguiente escala de alícuotas:</w:t>
      </w:r>
    </w:p>
    <w:p w14:paraId="3571D8F7" w14:textId="77777777" w:rsidR="00122AA9" w:rsidRPr="00122AA9" w:rsidRDefault="00122AA9" w:rsidP="00122AA9">
      <w:pPr>
        <w:jc w:val="both"/>
        <w:rPr>
          <w:rFonts w:eastAsia="Calibri"/>
          <w:sz w:val="20"/>
          <w:szCs w:val="20"/>
          <w:lang w:val="es-AR"/>
        </w:rPr>
      </w:pPr>
    </w:p>
    <w:tbl>
      <w:tblPr>
        <w:tblStyle w:val="Tablaconcuadrcula21"/>
        <w:tblW w:w="0" w:type="auto"/>
        <w:jc w:val="center"/>
        <w:tblLook w:val="04A0" w:firstRow="1" w:lastRow="0" w:firstColumn="1" w:lastColumn="0" w:noHBand="0" w:noVBand="1"/>
      </w:tblPr>
      <w:tblGrid>
        <w:gridCol w:w="1729"/>
        <w:gridCol w:w="1742"/>
        <w:gridCol w:w="1664"/>
        <w:gridCol w:w="1629"/>
        <w:gridCol w:w="1730"/>
      </w:tblGrid>
      <w:tr w:rsidR="00122AA9" w:rsidRPr="00122AA9" w14:paraId="4C34086A" w14:textId="77777777" w:rsidTr="00512442">
        <w:trPr>
          <w:jc w:val="center"/>
        </w:trPr>
        <w:tc>
          <w:tcPr>
            <w:tcW w:w="3471" w:type="dxa"/>
            <w:gridSpan w:val="2"/>
            <w:tcBorders>
              <w:top w:val="single" w:sz="4" w:space="0" w:color="auto"/>
              <w:left w:val="single" w:sz="4" w:space="0" w:color="auto"/>
              <w:bottom w:val="single" w:sz="4" w:space="0" w:color="auto"/>
              <w:right w:val="single" w:sz="4" w:space="0" w:color="auto"/>
            </w:tcBorders>
            <w:hideMark/>
          </w:tcPr>
          <w:p w14:paraId="6B9D3B44" w14:textId="77777777" w:rsidR="00122AA9" w:rsidRPr="00F0775A" w:rsidRDefault="00122AA9" w:rsidP="00122AA9">
            <w:pPr>
              <w:rPr>
                <w:rFonts w:ascii="Times New Roman" w:eastAsia="Calibri" w:hAnsi="Times New Roman"/>
                <w:sz w:val="20"/>
                <w:lang w:val="es-ES"/>
              </w:rPr>
            </w:pPr>
            <w:r w:rsidRPr="00122AA9">
              <w:rPr>
                <w:rFonts w:eastAsia="Calibri"/>
                <w:sz w:val="20"/>
                <w:lang w:val="es-ES"/>
              </w:rPr>
              <w:t>Valor total de los bienes que exceda el mínimo no imponible</w:t>
            </w:r>
            <w:r w:rsidRPr="00122AA9">
              <w:rPr>
                <w:rFonts w:eastAsia="Calibri"/>
                <w:sz w:val="20"/>
                <w:vertAlign w:val="superscript"/>
                <w:lang w:val="es-AR"/>
              </w:rPr>
              <w:footnoteReference w:id="2"/>
            </w:r>
          </w:p>
        </w:tc>
        <w:tc>
          <w:tcPr>
            <w:tcW w:w="1664" w:type="dxa"/>
            <w:vMerge w:val="restart"/>
            <w:tcBorders>
              <w:top w:val="single" w:sz="4" w:space="0" w:color="auto"/>
              <w:left w:val="single" w:sz="4" w:space="0" w:color="auto"/>
              <w:bottom w:val="single" w:sz="4" w:space="0" w:color="auto"/>
              <w:right w:val="single" w:sz="4" w:space="0" w:color="auto"/>
            </w:tcBorders>
            <w:hideMark/>
          </w:tcPr>
          <w:p w14:paraId="09F7A11C"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Pagarán $</w:t>
            </w:r>
          </w:p>
        </w:tc>
        <w:tc>
          <w:tcPr>
            <w:tcW w:w="1629" w:type="dxa"/>
            <w:vMerge w:val="restart"/>
            <w:tcBorders>
              <w:top w:val="single" w:sz="4" w:space="0" w:color="auto"/>
              <w:left w:val="single" w:sz="4" w:space="0" w:color="auto"/>
              <w:bottom w:val="single" w:sz="4" w:space="0" w:color="auto"/>
              <w:right w:val="single" w:sz="4" w:space="0" w:color="auto"/>
            </w:tcBorders>
            <w:hideMark/>
          </w:tcPr>
          <w:p w14:paraId="7BEC56F5"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Más el %</w:t>
            </w:r>
          </w:p>
        </w:tc>
        <w:tc>
          <w:tcPr>
            <w:tcW w:w="1730" w:type="dxa"/>
            <w:vMerge w:val="restart"/>
            <w:tcBorders>
              <w:top w:val="single" w:sz="4" w:space="0" w:color="auto"/>
              <w:left w:val="single" w:sz="4" w:space="0" w:color="auto"/>
              <w:bottom w:val="single" w:sz="4" w:space="0" w:color="auto"/>
              <w:right w:val="single" w:sz="4" w:space="0" w:color="auto"/>
            </w:tcBorders>
            <w:hideMark/>
          </w:tcPr>
          <w:p w14:paraId="34D0E027"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Sobre el excedente de</w:t>
            </w:r>
          </w:p>
        </w:tc>
      </w:tr>
      <w:tr w:rsidR="00122AA9" w:rsidRPr="00122AA9" w14:paraId="00EBBD26" w14:textId="77777777" w:rsidTr="00512442">
        <w:trPr>
          <w:jc w:val="center"/>
        </w:trPr>
        <w:tc>
          <w:tcPr>
            <w:tcW w:w="1729" w:type="dxa"/>
            <w:tcBorders>
              <w:top w:val="single" w:sz="4" w:space="0" w:color="auto"/>
              <w:left w:val="single" w:sz="4" w:space="0" w:color="auto"/>
              <w:bottom w:val="single" w:sz="4" w:space="0" w:color="auto"/>
              <w:right w:val="single" w:sz="4" w:space="0" w:color="auto"/>
            </w:tcBorders>
            <w:hideMark/>
          </w:tcPr>
          <w:p w14:paraId="0333B8F5"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Más de $</w:t>
            </w:r>
          </w:p>
        </w:tc>
        <w:tc>
          <w:tcPr>
            <w:tcW w:w="1742" w:type="dxa"/>
            <w:tcBorders>
              <w:top w:val="single" w:sz="4" w:space="0" w:color="auto"/>
              <w:left w:val="single" w:sz="4" w:space="0" w:color="auto"/>
              <w:bottom w:val="single" w:sz="4" w:space="0" w:color="auto"/>
              <w:right w:val="single" w:sz="4" w:space="0" w:color="auto"/>
            </w:tcBorders>
            <w:hideMark/>
          </w:tcPr>
          <w:p w14:paraId="724B3870"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A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10BB0" w14:textId="77777777" w:rsidR="00122AA9" w:rsidRPr="00F0775A" w:rsidRDefault="00122AA9" w:rsidP="00122AA9">
            <w:pPr>
              <w:rPr>
                <w:rFonts w:ascii="Times New Roman" w:eastAsia="Calibri" w:hAnsi="Times New Roman"/>
                <w:sz w:val="20"/>
                <w:lang w:val="es-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A382D" w14:textId="77777777" w:rsidR="00122AA9" w:rsidRPr="00F0775A" w:rsidRDefault="00122AA9" w:rsidP="00122AA9">
            <w:pPr>
              <w:rPr>
                <w:rFonts w:ascii="Times New Roman" w:eastAsia="Calibri" w:hAnsi="Times New Roman"/>
                <w:sz w:val="20"/>
                <w:lang w:val="es-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9FD00" w14:textId="77777777" w:rsidR="00122AA9" w:rsidRPr="00F0775A" w:rsidRDefault="00122AA9" w:rsidP="00122AA9">
            <w:pPr>
              <w:rPr>
                <w:rFonts w:ascii="Times New Roman" w:eastAsia="Calibri" w:hAnsi="Times New Roman"/>
                <w:sz w:val="20"/>
                <w:lang w:val="es-AR"/>
              </w:rPr>
            </w:pPr>
          </w:p>
        </w:tc>
      </w:tr>
      <w:tr w:rsidR="00122AA9" w:rsidRPr="00122AA9" w14:paraId="422CACD3" w14:textId="77777777" w:rsidTr="00512442">
        <w:trPr>
          <w:jc w:val="center"/>
        </w:trPr>
        <w:tc>
          <w:tcPr>
            <w:tcW w:w="1729" w:type="dxa"/>
            <w:tcBorders>
              <w:top w:val="single" w:sz="4" w:space="0" w:color="auto"/>
              <w:left w:val="single" w:sz="4" w:space="0" w:color="auto"/>
              <w:bottom w:val="single" w:sz="4" w:space="0" w:color="auto"/>
              <w:right w:val="single" w:sz="4" w:space="0" w:color="auto"/>
            </w:tcBorders>
            <w:hideMark/>
          </w:tcPr>
          <w:p w14:paraId="6EC40D9B"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0</w:t>
            </w:r>
          </w:p>
        </w:tc>
        <w:tc>
          <w:tcPr>
            <w:tcW w:w="1742" w:type="dxa"/>
            <w:tcBorders>
              <w:top w:val="single" w:sz="4" w:space="0" w:color="auto"/>
              <w:left w:val="single" w:sz="4" w:space="0" w:color="auto"/>
              <w:bottom w:val="single" w:sz="4" w:space="0" w:color="auto"/>
              <w:right w:val="single" w:sz="4" w:space="0" w:color="auto"/>
            </w:tcBorders>
            <w:hideMark/>
          </w:tcPr>
          <w:p w14:paraId="724AD2FE"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$3.000.000, inclusive</w:t>
            </w:r>
          </w:p>
        </w:tc>
        <w:tc>
          <w:tcPr>
            <w:tcW w:w="1664" w:type="dxa"/>
            <w:tcBorders>
              <w:top w:val="single" w:sz="4" w:space="0" w:color="auto"/>
              <w:left w:val="single" w:sz="4" w:space="0" w:color="auto"/>
              <w:bottom w:val="single" w:sz="4" w:space="0" w:color="auto"/>
              <w:right w:val="single" w:sz="4" w:space="0" w:color="auto"/>
            </w:tcBorders>
            <w:hideMark/>
          </w:tcPr>
          <w:p w14:paraId="3B8D3E01"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0</w:t>
            </w:r>
          </w:p>
        </w:tc>
        <w:tc>
          <w:tcPr>
            <w:tcW w:w="1629" w:type="dxa"/>
            <w:tcBorders>
              <w:top w:val="single" w:sz="4" w:space="0" w:color="auto"/>
              <w:left w:val="single" w:sz="4" w:space="0" w:color="auto"/>
              <w:bottom w:val="single" w:sz="4" w:space="0" w:color="auto"/>
              <w:right w:val="single" w:sz="4" w:space="0" w:color="auto"/>
            </w:tcBorders>
            <w:hideMark/>
          </w:tcPr>
          <w:p w14:paraId="34907D36" w14:textId="623746E7" w:rsidR="00122AA9" w:rsidRPr="00F0775A" w:rsidRDefault="00122AA9" w:rsidP="00122AA9">
            <w:pPr>
              <w:rPr>
                <w:rFonts w:ascii="Times New Roman" w:eastAsia="Calibri" w:hAnsi="Times New Roman"/>
                <w:sz w:val="20"/>
                <w:lang w:val="es-AR"/>
              </w:rPr>
            </w:pPr>
            <w:r w:rsidRPr="00122AA9">
              <w:rPr>
                <w:rFonts w:eastAsia="Calibri"/>
                <w:sz w:val="20"/>
                <w:lang w:val="es-AR"/>
              </w:rPr>
              <w:t>0,50%</w:t>
            </w:r>
          </w:p>
        </w:tc>
        <w:tc>
          <w:tcPr>
            <w:tcW w:w="1730" w:type="dxa"/>
            <w:tcBorders>
              <w:top w:val="single" w:sz="4" w:space="0" w:color="auto"/>
              <w:left w:val="single" w:sz="4" w:space="0" w:color="auto"/>
              <w:bottom w:val="single" w:sz="4" w:space="0" w:color="auto"/>
              <w:right w:val="single" w:sz="4" w:space="0" w:color="auto"/>
            </w:tcBorders>
            <w:hideMark/>
          </w:tcPr>
          <w:p w14:paraId="26205A15"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0</w:t>
            </w:r>
          </w:p>
        </w:tc>
      </w:tr>
      <w:tr w:rsidR="00122AA9" w:rsidRPr="00122AA9" w14:paraId="76B35363" w14:textId="77777777" w:rsidTr="00512442">
        <w:trPr>
          <w:jc w:val="center"/>
        </w:trPr>
        <w:tc>
          <w:tcPr>
            <w:tcW w:w="1729" w:type="dxa"/>
            <w:tcBorders>
              <w:top w:val="single" w:sz="4" w:space="0" w:color="auto"/>
              <w:left w:val="single" w:sz="4" w:space="0" w:color="auto"/>
              <w:bottom w:val="single" w:sz="4" w:space="0" w:color="auto"/>
              <w:right w:val="single" w:sz="4" w:space="0" w:color="auto"/>
            </w:tcBorders>
            <w:hideMark/>
          </w:tcPr>
          <w:p w14:paraId="46EEE249"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$3.000.000</w:t>
            </w:r>
          </w:p>
        </w:tc>
        <w:tc>
          <w:tcPr>
            <w:tcW w:w="1742" w:type="dxa"/>
            <w:tcBorders>
              <w:top w:val="single" w:sz="4" w:space="0" w:color="auto"/>
              <w:left w:val="single" w:sz="4" w:space="0" w:color="auto"/>
              <w:bottom w:val="single" w:sz="4" w:space="0" w:color="auto"/>
              <w:right w:val="single" w:sz="4" w:space="0" w:color="auto"/>
            </w:tcBorders>
            <w:hideMark/>
          </w:tcPr>
          <w:p w14:paraId="556BD6DF" w14:textId="7DA7EB86" w:rsidR="00122AA9" w:rsidRPr="00F0775A" w:rsidRDefault="00122AA9" w:rsidP="00122AA9">
            <w:pPr>
              <w:rPr>
                <w:rFonts w:ascii="Times New Roman" w:eastAsia="Calibri" w:hAnsi="Times New Roman"/>
                <w:sz w:val="20"/>
                <w:lang w:val="es-AR"/>
              </w:rPr>
            </w:pPr>
            <w:r w:rsidRPr="00122AA9">
              <w:rPr>
                <w:rFonts w:eastAsia="Calibri"/>
                <w:sz w:val="20"/>
                <w:lang w:val="es-AR"/>
              </w:rPr>
              <w:t>6.500.000, inclusive</w:t>
            </w:r>
          </w:p>
        </w:tc>
        <w:tc>
          <w:tcPr>
            <w:tcW w:w="1664" w:type="dxa"/>
            <w:tcBorders>
              <w:top w:val="single" w:sz="4" w:space="0" w:color="auto"/>
              <w:left w:val="single" w:sz="4" w:space="0" w:color="auto"/>
              <w:bottom w:val="single" w:sz="4" w:space="0" w:color="auto"/>
              <w:right w:val="single" w:sz="4" w:space="0" w:color="auto"/>
            </w:tcBorders>
            <w:hideMark/>
          </w:tcPr>
          <w:p w14:paraId="251F0660" w14:textId="2E036B31" w:rsidR="00122AA9" w:rsidRPr="00F0775A" w:rsidRDefault="00122AA9" w:rsidP="00122AA9">
            <w:pPr>
              <w:rPr>
                <w:rFonts w:ascii="Times New Roman" w:eastAsia="Calibri" w:hAnsi="Times New Roman"/>
                <w:sz w:val="20"/>
                <w:lang w:val="es-AR"/>
              </w:rPr>
            </w:pPr>
            <w:r w:rsidRPr="00122AA9">
              <w:rPr>
                <w:rFonts w:eastAsia="Calibri"/>
                <w:sz w:val="20"/>
                <w:lang w:val="es-AR"/>
              </w:rPr>
              <w:t>$15.000</w:t>
            </w:r>
          </w:p>
        </w:tc>
        <w:tc>
          <w:tcPr>
            <w:tcW w:w="1629" w:type="dxa"/>
            <w:tcBorders>
              <w:top w:val="single" w:sz="4" w:space="0" w:color="auto"/>
              <w:left w:val="single" w:sz="4" w:space="0" w:color="auto"/>
              <w:bottom w:val="single" w:sz="4" w:space="0" w:color="auto"/>
              <w:right w:val="single" w:sz="4" w:space="0" w:color="auto"/>
            </w:tcBorders>
            <w:hideMark/>
          </w:tcPr>
          <w:p w14:paraId="324450CA" w14:textId="543405D9" w:rsidR="00122AA9" w:rsidRPr="00F0775A" w:rsidRDefault="00122AA9" w:rsidP="00122AA9">
            <w:pPr>
              <w:rPr>
                <w:rFonts w:ascii="Times New Roman" w:eastAsia="Calibri" w:hAnsi="Times New Roman"/>
                <w:sz w:val="20"/>
                <w:lang w:val="es-AR"/>
              </w:rPr>
            </w:pPr>
            <w:r w:rsidRPr="00122AA9">
              <w:rPr>
                <w:rFonts w:eastAsia="Calibri"/>
                <w:sz w:val="20"/>
                <w:lang w:val="es-AR"/>
              </w:rPr>
              <w:t>0,75%</w:t>
            </w:r>
          </w:p>
        </w:tc>
        <w:tc>
          <w:tcPr>
            <w:tcW w:w="1730" w:type="dxa"/>
            <w:tcBorders>
              <w:top w:val="single" w:sz="4" w:space="0" w:color="auto"/>
              <w:left w:val="single" w:sz="4" w:space="0" w:color="auto"/>
              <w:bottom w:val="single" w:sz="4" w:space="0" w:color="auto"/>
              <w:right w:val="single" w:sz="4" w:space="0" w:color="auto"/>
            </w:tcBorders>
            <w:hideMark/>
          </w:tcPr>
          <w:p w14:paraId="01DC2CE7"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$3.000.000</w:t>
            </w:r>
          </w:p>
        </w:tc>
      </w:tr>
      <w:tr w:rsidR="00122AA9" w:rsidRPr="00122AA9" w14:paraId="13AFD11E" w14:textId="77777777" w:rsidTr="00122AA9">
        <w:trPr>
          <w:trHeight w:val="420"/>
          <w:jc w:val="center"/>
        </w:trPr>
        <w:tc>
          <w:tcPr>
            <w:tcW w:w="1729" w:type="dxa"/>
            <w:tcBorders>
              <w:top w:val="single" w:sz="4" w:space="0" w:color="auto"/>
              <w:left w:val="single" w:sz="4" w:space="0" w:color="auto"/>
              <w:bottom w:val="single" w:sz="4" w:space="0" w:color="auto"/>
              <w:right w:val="single" w:sz="4" w:space="0" w:color="auto"/>
            </w:tcBorders>
            <w:hideMark/>
          </w:tcPr>
          <w:p w14:paraId="5892E305"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$6.500.000</w:t>
            </w:r>
          </w:p>
        </w:tc>
        <w:tc>
          <w:tcPr>
            <w:tcW w:w="1742" w:type="dxa"/>
            <w:tcBorders>
              <w:top w:val="single" w:sz="4" w:space="0" w:color="auto"/>
              <w:left w:val="single" w:sz="4" w:space="0" w:color="auto"/>
              <w:bottom w:val="single" w:sz="4" w:space="0" w:color="auto"/>
              <w:right w:val="single" w:sz="4" w:space="0" w:color="auto"/>
            </w:tcBorders>
            <w:hideMark/>
          </w:tcPr>
          <w:p w14:paraId="161C1082"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18.000.000. inclusive</w:t>
            </w:r>
          </w:p>
        </w:tc>
        <w:tc>
          <w:tcPr>
            <w:tcW w:w="1664" w:type="dxa"/>
            <w:tcBorders>
              <w:top w:val="single" w:sz="4" w:space="0" w:color="auto"/>
              <w:left w:val="single" w:sz="4" w:space="0" w:color="auto"/>
              <w:bottom w:val="single" w:sz="4" w:space="0" w:color="auto"/>
              <w:right w:val="single" w:sz="4" w:space="0" w:color="auto"/>
            </w:tcBorders>
            <w:hideMark/>
          </w:tcPr>
          <w:p w14:paraId="4DB20EF6"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$41.250</w:t>
            </w:r>
          </w:p>
        </w:tc>
        <w:tc>
          <w:tcPr>
            <w:tcW w:w="1629" w:type="dxa"/>
            <w:tcBorders>
              <w:top w:val="single" w:sz="4" w:space="0" w:color="auto"/>
              <w:left w:val="single" w:sz="4" w:space="0" w:color="auto"/>
              <w:bottom w:val="single" w:sz="4" w:space="0" w:color="auto"/>
              <w:right w:val="single" w:sz="4" w:space="0" w:color="auto"/>
            </w:tcBorders>
            <w:hideMark/>
          </w:tcPr>
          <w:p w14:paraId="42F4D500"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1,00%</w:t>
            </w:r>
          </w:p>
        </w:tc>
        <w:tc>
          <w:tcPr>
            <w:tcW w:w="1730" w:type="dxa"/>
            <w:tcBorders>
              <w:top w:val="single" w:sz="4" w:space="0" w:color="auto"/>
              <w:left w:val="single" w:sz="4" w:space="0" w:color="auto"/>
              <w:bottom w:val="single" w:sz="4" w:space="0" w:color="auto"/>
              <w:right w:val="single" w:sz="4" w:space="0" w:color="auto"/>
            </w:tcBorders>
            <w:hideMark/>
          </w:tcPr>
          <w:p w14:paraId="459C2E7A" w14:textId="77777777" w:rsidR="00122AA9" w:rsidRPr="00F0775A" w:rsidRDefault="00122AA9" w:rsidP="00122AA9">
            <w:pPr>
              <w:rPr>
                <w:rFonts w:ascii="Times New Roman" w:eastAsia="Calibri" w:hAnsi="Times New Roman"/>
                <w:bCs/>
                <w:sz w:val="20"/>
                <w:szCs w:val="20"/>
                <w:lang w:val="es-AR" w:eastAsia="x-none"/>
              </w:rPr>
            </w:pPr>
            <w:r w:rsidRPr="00122AA9">
              <w:rPr>
                <w:rFonts w:eastAsia="Calibri"/>
                <w:bCs/>
                <w:sz w:val="20"/>
                <w:szCs w:val="20"/>
                <w:lang w:val="es-AR" w:eastAsia="x-none"/>
              </w:rPr>
              <w:t>$6.500.000</w:t>
            </w:r>
          </w:p>
        </w:tc>
      </w:tr>
      <w:tr w:rsidR="00122AA9" w:rsidRPr="00122AA9" w14:paraId="3F51C5AD" w14:textId="77777777" w:rsidTr="00512442">
        <w:trPr>
          <w:trHeight w:val="420"/>
          <w:jc w:val="center"/>
        </w:trPr>
        <w:tc>
          <w:tcPr>
            <w:tcW w:w="1729" w:type="dxa"/>
            <w:tcBorders>
              <w:top w:val="single" w:sz="4" w:space="0" w:color="auto"/>
              <w:left w:val="single" w:sz="4" w:space="0" w:color="auto"/>
              <w:bottom w:val="single" w:sz="4" w:space="0" w:color="auto"/>
              <w:right w:val="single" w:sz="4" w:space="0" w:color="auto"/>
            </w:tcBorders>
            <w:hideMark/>
          </w:tcPr>
          <w:p w14:paraId="5AF63AB9"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$ 18.000.000</w:t>
            </w:r>
          </w:p>
        </w:tc>
        <w:tc>
          <w:tcPr>
            <w:tcW w:w="1742" w:type="dxa"/>
            <w:tcBorders>
              <w:top w:val="single" w:sz="4" w:space="0" w:color="auto"/>
              <w:left w:val="single" w:sz="4" w:space="0" w:color="auto"/>
              <w:bottom w:val="single" w:sz="4" w:space="0" w:color="auto"/>
              <w:right w:val="single" w:sz="4" w:space="0" w:color="auto"/>
            </w:tcBorders>
            <w:hideMark/>
          </w:tcPr>
          <w:p w14:paraId="3337A858"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En adelante</w:t>
            </w:r>
          </w:p>
        </w:tc>
        <w:tc>
          <w:tcPr>
            <w:tcW w:w="1664" w:type="dxa"/>
            <w:tcBorders>
              <w:top w:val="single" w:sz="4" w:space="0" w:color="auto"/>
              <w:left w:val="single" w:sz="4" w:space="0" w:color="auto"/>
              <w:bottom w:val="single" w:sz="4" w:space="0" w:color="auto"/>
              <w:right w:val="single" w:sz="4" w:space="0" w:color="auto"/>
            </w:tcBorders>
            <w:hideMark/>
          </w:tcPr>
          <w:p w14:paraId="79420956" w14:textId="6AD147DF" w:rsidR="00122AA9" w:rsidRPr="00F0775A" w:rsidRDefault="00122AA9" w:rsidP="00122AA9">
            <w:pPr>
              <w:rPr>
                <w:rFonts w:ascii="Times New Roman" w:eastAsia="Calibri" w:hAnsi="Times New Roman"/>
                <w:sz w:val="20"/>
                <w:lang w:val="es-AR"/>
              </w:rPr>
            </w:pPr>
            <w:r w:rsidRPr="00122AA9">
              <w:rPr>
                <w:rFonts w:eastAsia="Calibri"/>
                <w:sz w:val="20"/>
                <w:lang w:val="es-AR"/>
              </w:rPr>
              <w:t>$156.250</w:t>
            </w:r>
          </w:p>
        </w:tc>
        <w:tc>
          <w:tcPr>
            <w:tcW w:w="1629" w:type="dxa"/>
            <w:tcBorders>
              <w:top w:val="single" w:sz="4" w:space="0" w:color="auto"/>
              <w:left w:val="single" w:sz="4" w:space="0" w:color="auto"/>
              <w:bottom w:val="single" w:sz="4" w:space="0" w:color="auto"/>
              <w:right w:val="single" w:sz="4" w:space="0" w:color="auto"/>
            </w:tcBorders>
            <w:hideMark/>
          </w:tcPr>
          <w:p w14:paraId="756D327B" w14:textId="79BF2161" w:rsidR="00122AA9" w:rsidRPr="00F0775A" w:rsidRDefault="00122AA9" w:rsidP="00122AA9">
            <w:pPr>
              <w:rPr>
                <w:rFonts w:ascii="Times New Roman" w:eastAsia="Calibri" w:hAnsi="Times New Roman"/>
                <w:sz w:val="20"/>
                <w:lang w:val="es-AR"/>
              </w:rPr>
            </w:pPr>
            <w:r w:rsidRPr="00122AA9">
              <w:rPr>
                <w:rFonts w:eastAsia="Calibri"/>
                <w:sz w:val="20"/>
                <w:lang w:val="es-AR"/>
              </w:rPr>
              <w:t>1,25%</w:t>
            </w:r>
          </w:p>
        </w:tc>
        <w:tc>
          <w:tcPr>
            <w:tcW w:w="1730" w:type="dxa"/>
            <w:tcBorders>
              <w:top w:val="single" w:sz="4" w:space="0" w:color="auto"/>
              <w:left w:val="single" w:sz="4" w:space="0" w:color="auto"/>
              <w:bottom w:val="single" w:sz="4" w:space="0" w:color="auto"/>
              <w:right w:val="single" w:sz="4" w:space="0" w:color="auto"/>
            </w:tcBorders>
            <w:hideMark/>
          </w:tcPr>
          <w:p w14:paraId="79369DD4" w14:textId="77777777" w:rsidR="00122AA9" w:rsidRPr="00F0775A" w:rsidRDefault="00122AA9" w:rsidP="00122AA9">
            <w:pPr>
              <w:rPr>
                <w:rFonts w:ascii="Times New Roman" w:eastAsia="Calibri" w:hAnsi="Times New Roman"/>
                <w:sz w:val="20"/>
                <w:lang w:val="es-AR"/>
              </w:rPr>
            </w:pPr>
            <w:r w:rsidRPr="00122AA9">
              <w:rPr>
                <w:rFonts w:eastAsia="Calibri"/>
                <w:sz w:val="20"/>
                <w:lang w:val="es-AR"/>
              </w:rPr>
              <w:t>$18.000.000</w:t>
            </w:r>
          </w:p>
        </w:tc>
      </w:tr>
    </w:tbl>
    <w:p w14:paraId="3F195AD6" w14:textId="77777777" w:rsidR="00122AA9" w:rsidRPr="00122AA9" w:rsidRDefault="00122AA9" w:rsidP="00122AA9">
      <w:pPr>
        <w:jc w:val="both"/>
        <w:rPr>
          <w:rFonts w:eastAsia="Calibri"/>
          <w:sz w:val="20"/>
          <w:szCs w:val="20"/>
          <w:lang w:val="es-AR"/>
        </w:rPr>
      </w:pPr>
    </w:p>
    <w:p w14:paraId="4ABE872D" w14:textId="77777777" w:rsidR="00122AA9" w:rsidRPr="00122AA9" w:rsidRDefault="00122AA9" w:rsidP="00122AA9">
      <w:pPr>
        <w:jc w:val="both"/>
        <w:rPr>
          <w:rFonts w:eastAsia="Calibri"/>
          <w:sz w:val="20"/>
          <w:szCs w:val="20"/>
          <w:lang w:val="es-AR"/>
        </w:rPr>
      </w:pPr>
    </w:p>
    <w:p w14:paraId="0A54B579" w14:textId="109D72F5" w:rsidR="00122AA9" w:rsidRPr="00122AA9" w:rsidRDefault="00122AA9" w:rsidP="00122AA9">
      <w:pPr>
        <w:jc w:val="both"/>
        <w:rPr>
          <w:rFonts w:eastAsia="Calibri"/>
          <w:sz w:val="20"/>
          <w:szCs w:val="20"/>
          <w:lang w:val="es-AR"/>
        </w:rPr>
      </w:pPr>
      <w:r w:rsidRPr="00122AA9">
        <w:rPr>
          <w:rFonts w:eastAsia="Calibri"/>
          <w:sz w:val="20"/>
          <w:szCs w:val="20"/>
          <w:lang w:val="es-AR"/>
        </w:rPr>
        <w:t xml:space="preserve">Respecto de las personas </w:t>
      </w:r>
      <w:r w:rsidR="00450196">
        <w:rPr>
          <w:rFonts w:eastAsia="Calibri"/>
          <w:sz w:val="20"/>
          <w:szCs w:val="20"/>
          <w:lang w:val="es-AR"/>
        </w:rPr>
        <w:t>humanas</w:t>
      </w:r>
      <w:r w:rsidR="00450196" w:rsidRPr="00122AA9">
        <w:rPr>
          <w:rFonts w:eastAsia="Calibri"/>
          <w:sz w:val="20"/>
          <w:szCs w:val="20"/>
          <w:lang w:val="es-AR"/>
        </w:rPr>
        <w:t xml:space="preserve"> </w:t>
      </w:r>
      <w:r w:rsidRPr="00122AA9">
        <w:rPr>
          <w:rFonts w:eastAsia="Calibri"/>
          <w:sz w:val="20"/>
          <w:szCs w:val="20"/>
          <w:lang w:val="es-AR"/>
        </w:rPr>
        <w:t xml:space="preserve">o las sucesiones indivisas residentes en el extranjero, no es obligatorio el Impuesto sobre los Bienes Personales si el monto de dicho impuesto es igual o inferior a $255,75. Si bien los títulos, tales como las Obligaciones Negociables, de personas </w:t>
      </w:r>
      <w:r w:rsidR="00450196">
        <w:rPr>
          <w:rFonts w:eastAsia="Calibri"/>
          <w:sz w:val="20"/>
          <w:szCs w:val="20"/>
          <w:lang w:val="es-AR"/>
        </w:rPr>
        <w:t>humanas</w:t>
      </w:r>
      <w:r w:rsidR="00450196" w:rsidRPr="00122AA9">
        <w:rPr>
          <w:rFonts w:eastAsia="Calibri"/>
          <w:sz w:val="20"/>
          <w:szCs w:val="20"/>
          <w:lang w:val="es-AR"/>
        </w:rPr>
        <w:t xml:space="preserve"> </w:t>
      </w:r>
      <w:r w:rsidRPr="00122AA9">
        <w:rPr>
          <w:rFonts w:eastAsia="Calibri"/>
          <w:sz w:val="20"/>
          <w:szCs w:val="20"/>
          <w:lang w:val="es-AR"/>
        </w:rPr>
        <w:t xml:space="preserve">o las sucesiones indivisas residentes fuera de Argentina estarían técnicamente sujetos al Impuesto sobre los Bienes Personales de acuerdo con las disposiciones del Decreto N° 127/96, no se ha establecido ningún procedimiento para la recaudación de dicho impuesto en relación con tales títulos. </w:t>
      </w:r>
    </w:p>
    <w:p w14:paraId="6EC29A8D" w14:textId="77777777" w:rsidR="00122AA9" w:rsidRPr="00122AA9" w:rsidRDefault="00122AA9" w:rsidP="00122AA9">
      <w:pPr>
        <w:jc w:val="both"/>
        <w:rPr>
          <w:rFonts w:eastAsia="Calibri"/>
          <w:sz w:val="20"/>
          <w:szCs w:val="20"/>
          <w:lang w:val="es-AR"/>
        </w:rPr>
      </w:pPr>
    </w:p>
    <w:p w14:paraId="3AB00AE2" w14:textId="67E41DE0" w:rsidR="00122AA9" w:rsidRPr="00122AA9" w:rsidRDefault="00122AA9" w:rsidP="00122AA9">
      <w:pPr>
        <w:jc w:val="both"/>
        <w:rPr>
          <w:rFonts w:eastAsia="Calibri"/>
          <w:sz w:val="20"/>
          <w:szCs w:val="20"/>
          <w:lang w:val="es-AR"/>
        </w:rPr>
      </w:pPr>
      <w:r w:rsidRPr="00122AA9">
        <w:rPr>
          <w:rFonts w:eastAsia="Calibri"/>
          <w:sz w:val="20"/>
          <w:szCs w:val="20"/>
          <w:lang w:val="es-AR"/>
        </w:rPr>
        <w:t xml:space="preserve">En algunos casos, respecto de ciertos bienes cuya titularidad directa corresponda a determinadas sociedades, empresas u otras entidades residentes en el exterior (específicamente, sociedades off-shore que no sean compañías de seguros, fondos abiertos de inversión, fondos de pensión o entidades bancarias o financieras cuyas matrices estén constituidas o radicadas en países en los que sus bancos centrales u organismos equivalentes hayan adoptado los estándares internacionales de supervisión bancaria establecidos por el Comité de Bancos de Basilea), la ley presume sin admitir prueba en contrario, que los mismos pertenecen a personas </w:t>
      </w:r>
      <w:r w:rsidR="00450196">
        <w:rPr>
          <w:rFonts w:eastAsia="Calibri"/>
          <w:sz w:val="20"/>
          <w:szCs w:val="20"/>
          <w:lang w:val="es-AR"/>
        </w:rPr>
        <w:t>humanas</w:t>
      </w:r>
      <w:r w:rsidR="00450196" w:rsidRPr="00122AA9">
        <w:rPr>
          <w:rFonts w:eastAsia="Calibri"/>
          <w:sz w:val="20"/>
          <w:szCs w:val="20"/>
          <w:lang w:val="es-AR"/>
        </w:rPr>
        <w:t xml:space="preserve"> </w:t>
      </w:r>
      <w:r w:rsidRPr="00122AA9">
        <w:rPr>
          <w:rFonts w:eastAsia="Calibri"/>
          <w:sz w:val="20"/>
          <w:szCs w:val="20"/>
          <w:lang w:val="es-AR"/>
        </w:rPr>
        <w:t>o sucesiones indivisas residentes en el país. En consecuencia, esos bienes estarán alcanzados por el Impuesto sobre los Bienes Personales a la tasa del 0,50%.</w:t>
      </w:r>
    </w:p>
    <w:p w14:paraId="0E9E5D17" w14:textId="77777777" w:rsidR="00122AA9" w:rsidRPr="00122AA9" w:rsidRDefault="00122AA9" w:rsidP="00122AA9">
      <w:pPr>
        <w:jc w:val="both"/>
        <w:rPr>
          <w:rFonts w:eastAsia="Calibri"/>
          <w:sz w:val="20"/>
          <w:szCs w:val="20"/>
          <w:lang w:val="es-AR"/>
        </w:rPr>
      </w:pPr>
    </w:p>
    <w:p w14:paraId="6C65FECA" w14:textId="01798411" w:rsidR="00122AA9" w:rsidRPr="00122AA9" w:rsidRDefault="00122AA9" w:rsidP="00122AA9">
      <w:pPr>
        <w:jc w:val="both"/>
        <w:rPr>
          <w:rFonts w:eastAsia="Calibri"/>
          <w:sz w:val="20"/>
          <w:szCs w:val="20"/>
          <w:lang w:val="es-AR"/>
        </w:rPr>
      </w:pPr>
      <w:r w:rsidRPr="00122AA9">
        <w:rPr>
          <w:rFonts w:eastAsia="Calibri"/>
          <w:sz w:val="20"/>
          <w:szCs w:val="20"/>
          <w:lang w:val="es-AR"/>
        </w:rPr>
        <w:t xml:space="preserve">La Ley de IBP establece como presunción legal irrefutable que las obligaciones negociables emitidas por emisores privados argentinos, de titularidad directa de entidades extranjeras que (a) se encuentren domiciliadas en una jurisdicción que no exige que las acciones o títulos privados sean detentados en forma nominativa y (b) que (i) de conformidad con sus estatutos o la ley aplicable, estén únicamente autorizadas a realizar actividades de inversión fuera de la jurisdicción de su lugar de constitución y/o (ii) no les esté permitido realizar ciertas actividades autorizadas en sus propios estatutos o por la ley aplicable en su jurisdicción de constitución, se considerarán que son de titularidad de personas </w:t>
      </w:r>
      <w:r w:rsidR="00450196">
        <w:rPr>
          <w:rFonts w:eastAsia="Calibri"/>
          <w:sz w:val="20"/>
          <w:szCs w:val="20"/>
          <w:lang w:val="es-AR"/>
        </w:rPr>
        <w:t>humanas</w:t>
      </w:r>
      <w:r w:rsidR="00450196" w:rsidRPr="00122AA9">
        <w:rPr>
          <w:rFonts w:eastAsia="Calibri"/>
          <w:sz w:val="20"/>
          <w:szCs w:val="20"/>
          <w:lang w:val="es-AR"/>
        </w:rPr>
        <w:t xml:space="preserve"> </w:t>
      </w:r>
      <w:r w:rsidRPr="00122AA9">
        <w:rPr>
          <w:rFonts w:eastAsia="Calibri"/>
          <w:sz w:val="20"/>
          <w:szCs w:val="20"/>
          <w:lang w:val="es-AR"/>
        </w:rPr>
        <w:t>o sucesiones indivisas residentes en el país, encontrándose, en consecuencia, sujetas al pago del IBP. En esos casos, la ley impone la obligación de abonar el impuesto a los bienes personales a una alícuota del incrementada en un 100% para el emisor privado argentino (el “</w:t>
      </w:r>
      <w:r w:rsidRPr="00122AA9">
        <w:rPr>
          <w:rFonts w:eastAsia="Calibri"/>
          <w:sz w:val="20"/>
          <w:szCs w:val="20"/>
          <w:u w:val="single"/>
          <w:lang w:val="es-AR"/>
        </w:rPr>
        <w:t>Obligado Sustituto</w:t>
      </w:r>
      <w:r w:rsidRPr="00122AA9">
        <w:rPr>
          <w:rFonts w:eastAsia="Calibri"/>
          <w:sz w:val="20"/>
          <w:szCs w:val="20"/>
          <w:lang w:val="es-AR"/>
        </w:rPr>
        <w:t>”). De conformidad con la Ley de IBP, el Obligado Sustituto está autorizado a obtener el reintegro del importe abonado en la forma antes descripta, incluso reteniendo o ejecutando directamente los bienes que dieron origen a dicho pago.</w:t>
      </w:r>
    </w:p>
    <w:p w14:paraId="1FEC7782" w14:textId="77777777" w:rsidR="00122AA9" w:rsidRPr="00122AA9" w:rsidRDefault="00122AA9" w:rsidP="00122AA9">
      <w:pPr>
        <w:jc w:val="both"/>
        <w:rPr>
          <w:rFonts w:eastAsia="Calibri"/>
          <w:sz w:val="20"/>
          <w:szCs w:val="20"/>
          <w:lang w:val="es-AR"/>
        </w:rPr>
      </w:pPr>
    </w:p>
    <w:p w14:paraId="4DB16DE6"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 xml:space="preserve">La presunción legal precedente no se aplica a las siguientes entidades extranjeras que sean titulares directas de títulos valores tal como lo son las Obligaciones Negociables: (a) compañías de seguros; (b) fondos abiertos de inversión; (c) fondos de pensión; y (d) entidades bancarias o financieras cuyas casas matrices estén radicadas en países cuyos bancos centrales u organismos equivalentes hayan adoptado los estándares internacionales de supervisión bancaria establecidos por el Comité de Basilea. </w:t>
      </w:r>
    </w:p>
    <w:p w14:paraId="2AD1E8D2" w14:textId="77777777" w:rsidR="00122AA9" w:rsidRPr="00122AA9" w:rsidRDefault="00122AA9" w:rsidP="00122AA9">
      <w:pPr>
        <w:jc w:val="both"/>
        <w:rPr>
          <w:rFonts w:eastAsia="Calibri"/>
          <w:sz w:val="20"/>
          <w:szCs w:val="20"/>
          <w:lang w:val="es-AR"/>
        </w:rPr>
      </w:pPr>
    </w:p>
    <w:p w14:paraId="51DD9914"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No obstante, el Decreto 812/1996, del 24 de julio de 1996, dispone que la presunción legal analizada precedentemente no se aplicará a las acciones y títulos de deuda privados, tales como las Obligaciones Negociables, cuya oferta pública haya sido autorizada por la CNV y que se negocien en bolsas o mercados de valores ubicadas en Argentina o en el extranjero.</w:t>
      </w:r>
    </w:p>
    <w:p w14:paraId="3D467779" w14:textId="77777777" w:rsidR="00122AA9" w:rsidRPr="00122AA9" w:rsidRDefault="00122AA9" w:rsidP="00122AA9">
      <w:pPr>
        <w:jc w:val="both"/>
        <w:rPr>
          <w:rFonts w:eastAsia="Calibri"/>
          <w:sz w:val="20"/>
          <w:szCs w:val="20"/>
          <w:lang w:val="es-AR"/>
        </w:rPr>
      </w:pPr>
    </w:p>
    <w:p w14:paraId="53622350"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 xml:space="preserve">Con el objeto de garantizar que esta presunción legal no se aplicará y en consecuencia que la Sociedad no será responsable en calidad de obligado sustituto respecto de las Obligaciones Negociables, la Sociedad conservará en sus registros una copia debidamente certificada de la resolución de la CNV que autoriza la oferta pública de las acciones o títulos de deuda privados y constancias que verifiquen que dicho certificado o autorización </w:t>
      </w:r>
      <w:r w:rsidRPr="00122AA9">
        <w:rPr>
          <w:bCs/>
          <w:sz w:val="20"/>
          <w:szCs w:val="20"/>
          <w:lang w:val="es-AR"/>
        </w:rPr>
        <w:t>se</w:t>
      </w:r>
      <w:r w:rsidRPr="00122AA9">
        <w:rPr>
          <w:rFonts w:eastAsia="Calibri"/>
          <w:sz w:val="20"/>
          <w:szCs w:val="20"/>
          <w:lang w:val="es-AR"/>
        </w:rPr>
        <w:t xml:space="preserve"> hallaba en vigencia al 31 de diciembre del año en que tuvo lugar la obligación fiscal, conforme lo requiere la Resolución General N° 2.151 de la AFIP de fecha 31 de octubre de 2006.</w:t>
      </w:r>
    </w:p>
    <w:p w14:paraId="76F1A367" w14:textId="77777777" w:rsidR="00122AA9" w:rsidRPr="00122AA9" w:rsidRDefault="00122AA9" w:rsidP="00122AA9">
      <w:pPr>
        <w:jc w:val="both"/>
        <w:rPr>
          <w:rFonts w:eastAsia="Calibri"/>
          <w:sz w:val="20"/>
          <w:szCs w:val="20"/>
          <w:lang w:val="es-AR"/>
        </w:rPr>
      </w:pPr>
    </w:p>
    <w:p w14:paraId="2F16A37A"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En el caso de que la autoridad fiscal argentina considere que no se cuenta con la documentación que acredita la autorización de la CNV, y su negociación en mercados de valores de país o del exterior, la Emisora será responsable sustituto del ingreso del impuesto.</w:t>
      </w:r>
    </w:p>
    <w:p w14:paraId="128A38F1" w14:textId="77777777" w:rsidR="00122AA9" w:rsidRPr="00122AA9" w:rsidRDefault="00122AA9" w:rsidP="00122AA9">
      <w:pPr>
        <w:jc w:val="both"/>
        <w:rPr>
          <w:rFonts w:eastAsia="Calibri"/>
          <w:sz w:val="20"/>
          <w:szCs w:val="20"/>
          <w:lang w:val="es-AR"/>
        </w:rPr>
      </w:pPr>
    </w:p>
    <w:p w14:paraId="5BB7432D" w14:textId="77777777" w:rsidR="00122AA9" w:rsidRPr="00122AA9" w:rsidRDefault="00122AA9" w:rsidP="00122AA9">
      <w:pPr>
        <w:jc w:val="both"/>
        <w:rPr>
          <w:rFonts w:eastAsia="Calibri"/>
          <w:b/>
          <w:sz w:val="20"/>
          <w:lang w:val="es-AR"/>
        </w:rPr>
      </w:pPr>
      <w:bookmarkStart w:id="79" w:name="_Toc475704131"/>
      <w:r w:rsidRPr="00122AA9">
        <w:rPr>
          <w:rFonts w:eastAsia="Calibri"/>
          <w:b/>
          <w:bCs/>
          <w:i/>
          <w:iCs/>
          <w:sz w:val="20"/>
          <w:szCs w:val="20"/>
          <w:lang w:val="es-AR"/>
        </w:rPr>
        <w:t xml:space="preserve">Impuesto </w:t>
      </w:r>
      <w:bookmarkEnd w:id="79"/>
      <w:r w:rsidRPr="00122AA9">
        <w:rPr>
          <w:rFonts w:eastAsia="Calibri"/>
          <w:b/>
          <w:bCs/>
          <w:i/>
          <w:iCs/>
          <w:sz w:val="20"/>
          <w:szCs w:val="20"/>
          <w:lang w:val="es-AR"/>
        </w:rPr>
        <w:t>sobre los Débitos y Créditos Bancarios</w:t>
      </w:r>
    </w:p>
    <w:p w14:paraId="2098F615" w14:textId="77777777" w:rsidR="00122AA9" w:rsidRPr="00122AA9" w:rsidRDefault="00122AA9" w:rsidP="00122AA9">
      <w:pPr>
        <w:jc w:val="both"/>
        <w:rPr>
          <w:rFonts w:eastAsia="Calibri"/>
          <w:b/>
          <w:sz w:val="20"/>
          <w:lang w:val="es-AR"/>
        </w:rPr>
      </w:pPr>
    </w:p>
    <w:p w14:paraId="27254A37" w14:textId="2DCC1ED3" w:rsidR="00122AA9" w:rsidRPr="00122AA9" w:rsidRDefault="00122AA9" w:rsidP="00122AA9">
      <w:pPr>
        <w:jc w:val="both"/>
        <w:rPr>
          <w:rFonts w:eastAsia="Calibri"/>
          <w:sz w:val="20"/>
          <w:szCs w:val="20"/>
          <w:lang w:val="es-AR"/>
        </w:rPr>
      </w:pPr>
      <w:r w:rsidRPr="00122AA9">
        <w:rPr>
          <w:rFonts w:eastAsia="Calibri"/>
          <w:sz w:val="20"/>
          <w:szCs w:val="20"/>
          <w:lang w:val="es-AR"/>
        </w:rPr>
        <w:t xml:space="preserve">La Ley N° 25.413 (publicada en el Boletín Oficial el 26 de marzo de 2001), con sus modificatorias, establece, con ciertas excepciones, un impuesto que grava los débitos y créditos en cuentas corrientes mantenidas en entidades financieras de Argentina y sobre otras operaciones que se utilizan en reemplazo del uso de cuentas corrientes bancarias. La alícuota general es del 0,60% por cada débito y crédito. Ciertas transferencias de dinero no realizadas mediante cuentas bancarias podrían estar sujetas a este impuesto a una alícuota incrementada del 1,2%. </w:t>
      </w:r>
    </w:p>
    <w:p w14:paraId="5C9CD780" w14:textId="77777777" w:rsidR="00122AA9" w:rsidRPr="00122AA9" w:rsidRDefault="00122AA9" w:rsidP="00122AA9">
      <w:pPr>
        <w:jc w:val="both"/>
        <w:rPr>
          <w:rFonts w:eastAsia="Calibri"/>
          <w:sz w:val="20"/>
          <w:szCs w:val="20"/>
          <w:lang w:val="es-AR"/>
        </w:rPr>
      </w:pPr>
    </w:p>
    <w:p w14:paraId="08043A32"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Según el Decreto N° 409/2018 (publicado en el Boletín Oficial con fecha 7 de mayo de 2018), el 33% del impuesto pagado a la alícuota del 0,60% y el 33% del impuesto pagado a la alícuota del 1,2% podrán computarse como pago a cuenta del impuesto a las ganancias o de la Contribución Especial sobre el Capital de las Cooperativas. Cuando los hechos imponibles se encontraren alcanzados a una alícuota menor a las indicadas precedentemente, el cómputo como crédito de impuestos será del 20%. El remanente no compensado no podrá ser objeto de compensación con otros gravámenes a cargo del contribuyente o de solicitudes de reintegro o transferencia a favor de terceros, pudiendo trasladarse, hasta su agotamiento, a otros períodos fiscales de los citados tributos.</w:t>
      </w:r>
    </w:p>
    <w:p w14:paraId="25394AD6" w14:textId="77777777" w:rsidR="00122AA9" w:rsidRPr="00122AA9" w:rsidRDefault="00122AA9" w:rsidP="00122AA9">
      <w:pPr>
        <w:jc w:val="both"/>
        <w:rPr>
          <w:rFonts w:eastAsia="Calibri"/>
          <w:sz w:val="20"/>
          <w:szCs w:val="20"/>
          <w:lang w:val="es-AR"/>
        </w:rPr>
      </w:pPr>
    </w:p>
    <w:p w14:paraId="21F8AFD6"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Asimismo, téngase en cuenta que, mediante la Ley 27.432, el Poder Legislativo nacional autorizó al Poder Ejecutivo nacional a reducir hasta un 20% por año el porcentaje del impuesto que</w:t>
      </w:r>
      <w:r w:rsidRPr="00122AA9">
        <w:rPr>
          <w:rFonts w:eastAsia="Calibri"/>
          <w:sz w:val="20"/>
          <w:szCs w:val="20"/>
          <w:lang w:val="es-ES"/>
        </w:rPr>
        <w:t xml:space="preserve"> a la fecha de entrada en vigencia de la mentada ley no resulte computable como pago a cuenta del impuesto a las ganancias; pudiendo establecerse que, en 2022, se compute íntegramente el impuesto sobre los débitos y créditos bancarios como pago a cuenta del impuesto a las ganancias.</w:t>
      </w:r>
      <w:r w:rsidRPr="00122AA9">
        <w:rPr>
          <w:rFonts w:eastAsia="Calibri"/>
          <w:sz w:val="20"/>
          <w:lang w:val="es-ES"/>
        </w:rPr>
        <w:t xml:space="preserve"> </w:t>
      </w:r>
    </w:p>
    <w:p w14:paraId="5C7E7224" w14:textId="77777777" w:rsidR="00122AA9" w:rsidRPr="00122AA9" w:rsidRDefault="00122AA9" w:rsidP="00122AA9">
      <w:pPr>
        <w:jc w:val="both"/>
        <w:rPr>
          <w:rFonts w:eastAsia="Calibri"/>
          <w:sz w:val="20"/>
          <w:szCs w:val="20"/>
          <w:lang w:val="es-AR"/>
        </w:rPr>
      </w:pPr>
    </w:p>
    <w:p w14:paraId="79EDC144" w14:textId="77777777" w:rsidR="00122AA9" w:rsidRPr="00122AA9" w:rsidRDefault="00122AA9" w:rsidP="00122AA9">
      <w:pPr>
        <w:jc w:val="both"/>
        <w:rPr>
          <w:rFonts w:eastAsia="Calibri"/>
          <w:sz w:val="20"/>
          <w:szCs w:val="20"/>
          <w:lang w:val="es-AR"/>
        </w:rPr>
      </w:pPr>
      <w:r w:rsidRPr="00122AA9">
        <w:rPr>
          <w:rFonts w:eastAsia="Calibri"/>
          <w:sz w:val="20"/>
          <w:lang w:val="es-AR"/>
        </w:rPr>
        <w:t>El artículo 10 del Decreto Nº 380/2001 establece que estarán exentos del impuesto, entre otras operaciones, los débitos y créditos correspondientes a cuentas utilizadas en forma exclusiva para las operaciones inherentes a la actividad específica por, y los giros y transferencias de los que sean ordenantes con igual finalidad, los mercados autorizados por la CNV y sus respectivos agentes, bolsas de comercio que no tengan organizados mercados de valores, cajas de valores y entidades de liquidación y compensación de operaciones autorizadas por la CNV.</w:t>
      </w:r>
    </w:p>
    <w:p w14:paraId="311C4703" w14:textId="77777777" w:rsidR="00122AA9" w:rsidRPr="00122AA9" w:rsidRDefault="00122AA9" w:rsidP="00122AA9">
      <w:pPr>
        <w:jc w:val="both"/>
        <w:rPr>
          <w:rFonts w:eastAsia="Calibri"/>
          <w:sz w:val="20"/>
          <w:szCs w:val="20"/>
          <w:lang w:val="es-AR"/>
        </w:rPr>
      </w:pPr>
    </w:p>
    <w:p w14:paraId="24DD1AEE" w14:textId="77777777" w:rsidR="00122AA9" w:rsidRPr="00122AA9" w:rsidRDefault="00122AA9" w:rsidP="00122AA9">
      <w:pPr>
        <w:jc w:val="both"/>
        <w:rPr>
          <w:rFonts w:eastAsia="Calibri"/>
          <w:sz w:val="20"/>
          <w:szCs w:val="20"/>
          <w:lang w:val="es-AR"/>
        </w:rPr>
      </w:pPr>
      <w:r w:rsidRPr="00122AA9">
        <w:rPr>
          <w:rFonts w:eastAsia="Calibri"/>
          <w:sz w:val="20"/>
          <w:lang w:val="es-AR"/>
        </w:rPr>
        <w:t>También se encuentran exentos del impuesto los movimientos registrados en las cuentas corrientes especiales (Comunicación “A” 3250 del BCRA) cuando las mismas estén abiertas a nombre de personas jurídicas del exterior y en tanto se utilicen exclusivamente para la realización de inversiones financieras en el país (para más información véase artículo 10, inciso (s) del anexo al Decreto Nº 380/2001).</w:t>
      </w:r>
    </w:p>
    <w:p w14:paraId="515ED1F6" w14:textId="77777777" w:rsidR="00122AA9" w:rsidRPr="00122AA9" w:rsidRDefault="00122AA9" w:rsidP="00122AA9">
      <w:pPr>
        <w:ind w:firstLine="708"/>
        <w:jc w:val="both"/>
        <w:rPr>
          <w:rFonts w:eastAsia="Calibri"/>
          <w:b/>
          <w:bCs/>
          <w:sz w:val="20"/>
          <w:szCs w:val="20"/>
          <w:lang w:val="es-AR"/>
        </w:rPr>
      </w:pPr>
    </w:p>
    <w:p w14:paraId="3DA9985E" w14:textId="77777777" w:rsidR="00122AA9" w:rsidRPr="00122AA9" w:rsidRDefault="00122AA9" w:rsidP="00122AA9">
      <w:pPr>
        <w:jc w:val="both"/>
        <w:rPr>
          <w:rFonts w:eastAsia="Calibri"/>
          <w:b/>
          <w:bCs/>
          <w:i/>
          <w:iCs/>
          <w:sz w:val="20"/>
          <w:szCs w:val="20"/>
          <w:lang w:val="es-AR"/>
        </w:rPr>
      </w:pPr>
      <w:r w:rsidRPr="00122AA9">
        <w:rPr>
          <w:rFonts w:eastAsia="Calibri"/>
          <w:b/>
          <w:bCs/>
          <w:i/>
          <w:iCs/>
          <w:sz w:val="20"/>
          <w:szCs w:val="20"/>
          <w:lang w:val="es-AR"/>
        </w:rPr>
        <w:t>Impuesto sobre los Ingresos Brutos</w:t>
      </w:r>
    </w:p>
    <w:p w14:paraId="2E472B5C" w14:textId="77777777" w:rsidR="00122AA9" w:rsidRPr="00122AA9" w:rsidRDefault="00122AA9" w:rsidP="00122AA9">
      <w:pPr>
        <w:jc w:val="both"/>
        <w:rPr>
          <w:rFonts w:eastAsia="Calibri"/>
          <w:sz w:val="20"/>
          <w:lang w:val="es-AR"/>
        </w:rPr>
      </w:pPr>
    </w:p>
    <w:p w14:paraId="7B5740C2"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Es un tributo de carácter local que recae sobre el ejercicio habitual y a título oneroso de actividades desarrolladas en una determinada jurisdicción.</w:t>
      </w:r>
    </w:p>
    <w:p w14:paraId="5D5C5899" w14:textId="77777777" w:rsidR="00122AA9" w:rsidRPr="00122AA9" w:rsidRDefault="00122AA9" w:rsidP="00122AA9">
      <w:pPr>
        <w:jc w:val="both"/>
        <w:rPr>
          <w:rFonts w:eastAsia="Calibri"/>
          <w:sz w:val="20"/>
          <w:szCs w:val="20"/>
          <w:lang w:val="es-AR"/>
        </w:rPr>
      </w:pPr>
    </w:p>
    <w:p w14:paraId="3ABFC4D1" w14:textId="77777777" w:rsidR="00122AA9" w:rsidRPr="00122AA9" w:rsidRDefault="00122AA9" w:rsidP="00122AA9">
      <w:pPr>
        <w:ind w:right="57"/>
        <w:jc w:val="both"/>
        <w:rPr>
          <w:rFonts w:eastAsia="Calibri"/>
          <w:sz w:val="20"/>
          <w:lang w:val="es-AR"/>
        </w:rPr>
      </w:pPr>
      <w:r w:rsidRPr="00122AA9">
        <w:rPr>
          <w:rFonts w:eastAsia="Calibri"/>
          <w:sz w:val="20"/>
          <w:lang w:val="es-AR"/>
        </w:rPr>
        <w:t xml:space="preserve">Aquellos inversores que realicen actividades en forma habitual o que se presuma que desarrollan dichas actividades en cualquier jurisdicción en la cual obtengan sus ingresos por intereses originados en la tenencia de obligaciones negociables, o por su venta o transferencia, podrían resultar gravados con este impuesto a tasas que varían de acuerdo con la legislación específica de cada provincia argentina salvo que proceda la aplicación de alguna exención. Ciertas jurisdicciones como la Ciudad Autónoma de Buenos Aires y la Provincia de Buenos Aires eximen los intereses sobre las obligaciones negociables emitidas bajo la Ley de Obligaciones Negociables cuando estuvieran exentas del impuesto a las ganancias. </w:t>
      </w:r>
    </w:p>
    <w:p w14:paraId="69EE5A98" w14:textId="77777777" w:rsidR="00122AA9" w:rsidRPr="00122AA9" w:rsidRDefault="00122AA9" w:rsidP="00122AA9">
      <w:pPr>
        <w:ind w:right="57"/>
        <w:jc w:val="both"/>
        <w:rPr>
          <w:rFonts w:eastAsia="Calibri"/>
          <w:sz w:val="20"/>
          <w:lang w:val="es-AR"/>
        </w:rPr>
      </w:pPr>
    </w:p>
    <w:p w14:paraId="78165CCC" w14:textId="77777777" w:rsidR="00122AA9" w:rsidRPr="00122AA9" w:rsidRDefault="00122AA9" w:rsidP="00122AA9">
      <w:pPr>
        <w:jc w:val="both"/>
        <w:rPr>
          <w:rFonts w:eastAsia="Calibri"/>
          <w:sz w:val="20"/>
          <w:lang w:val="es-AR"/>
        </w:rPr>
      </w:pPr>
      <w:r w:rsidRPr="00122AA9">
        <w:rPr>
          <w:rFonts w:eastAsia="Calibri"/>
          <w:sz w:val="20"/>
          <w:szCs w:val="20"/>
          <w:lang w:val="es-AR"/>
        </w:rPr>
        <w:t>El</w:t>
      </w:r>
      <w:r w:rsidRPr="00122AA9">
        <w:rPr>
          <w:rFonts w:eastAsia="Calibri"/>
          <w:sz w:val="20"/>
          <w:lang w:val="es-AR"/>
        </w:rPr>
        <w:t xml:space="preserve"> artículo 180, punto (1) del Código Fiscal de la Ciudad Autónoma de Buenos Aires (T.O. 2019) establece que los ingresos derivados de toda operación sobre obligaciones negociables emitidas en virtud de la Ley de Obligaciones Negociables (intereses, actualizaciones devengadas y el valor de venta en caso de transferencia) están exentos del </w:t>
      </w:r>
      <w:r w:rsidRPr="00122AA9">
        <w:rPr>
          <w:rFonts w:eastAsia="Calibri"/>
          <w:sz w:val="20"/>
          <w:szCs w:val="20"/>
          <w:lang w:val="es-AR"/>
        </w:rPr>
        <w:t>impuesto</w:t>
      </w:r>
      <w:r w:rsidRPr="00122AA9">
        <w:rPr>
          <w:rFonts w:eastAsia="Calibri"/>
          <w:sz w:val="20"/>
          <w:lang w:val="es-AR"/>
        </w:rPr>
        <w:t xml:space="preserve"> sobre </w:t>
      </w:r>
      <w:r w:rsidRPr="00122AA9">
        <w:rPr>
          <w:rFonts w:eastAsia="Calibri"/>
          <w:sz w:val="20"/>
          <w:szCs w:val="20"/>
          <w:lang w:val="es-AR"/>
        </w:rPr>
        <w:t>ingresos brutos</w:t>
      </w:r>
      <w:r w:rsidRPr="00122AA9">
        <w:rPr>
          <w:rFonts w:eastAsia="Calibri"/>
          <w:sz w:val="20"/>
          <w:lang w:val="es-AR"/>
        </w:rPr>
        <w:t xml:space="preserve"> en la medida en que se aplique la exención del impuesto a las ganancias.</w:t>
      </w:r>
    </w:p>
    <w:p w14:paraId="0CF2E750" w14:textId="77777777" w:rsidR="00122AA9" w:rsidRPr="00122AA9" w:rsidRDefault="00122AA9" w:rsidP="00122AA9">
      <w:pPr>
        <w:ind w:right="57"/>
        <w:jc w:val="both"/>
        <w:rPr>
          <w:rFonts w:eastAsia="Calibri"/>
          <w:sz w:val="20"/>
          <w:lang w:val="es-AR"/>
        </w:rPr>
      </w:pPr>
    </w:p>
    <w:p w14:paraId="5DA09C70" w14:textId="77777777" w:rsidR="00122AA9" w:rsidRPr="00122AA9" w:rsidRDefault="00122AA9" w:rsidP="00122AA9">
      <w:pPr>
        <w:jc w:val="both"/>
        <w:rPr>
          <w:rFonts w:eastAsia="Calibri"/>
          <w:sz w:val="20"/>
          <w:lang w:val="es-AR"/>
        </w:rPr>
      </w:pPr>
      <w:r w:rsidRPr="00122AA9">
        <w:rPr>
          <w:rFonts w:eastAsia="Calibri"/>
          <w:sz w:val="20"/>
          <w:szCs w:val="20"/>
          <w:lang w:val="es-AR"/>
        </w:rPr>
        <w:t>El</w:t>
      </w:r>
      <w:r w:rsidRPr="00122AA9">
        <w:rPr>
          <w:rFonts w:eastAsia="Calibri"/>
          <w:sz w:val="20"/>
          <w:lang w:val="es-AR"/>
        </w:rPr>
        <w:t xml:space="preserve"> artículo 207, punto (c) del Código </w:t>
      </w:r>
      <w:r w:rsidRPr="00122AA9">
        <w:rPr>
          <w:rFonts w:eastAsia="Calibri"/>
          <w:sz w:val="20"/>
          <w:szCs w:val="20"/>
          <w:lang w:val="es-AR"/>
        </w:rPr>
        <w:t>fiscal</w:t>
      </w:r>
      <w:r w:rsidRPr="00122AA9">
        <w:rPr>
          <w:rFonts w:eastAsia="Calibri"/>
          <w:sz w:val="20"/>
          <w:lang w:val="es-AR"/>
        </w:rPr>
        <w:t xml:space="preserve"> de la Provincia de Buenos Aires establece que los ingresos derivados de cualquier operación de obligaciones negociables emitidas en virtud de la Ley de Obligaciones Negociables y la Ley N° 23.962 con sus modificaciones (intereses, actualizaciones devengadas y el valor de venta en caso de transferencia) están exentos del </w:t>
      </w:r>
      <w:r w:rsidRPr="00122AA9">
        <w:rPr>
          <w:rFonts w:eastAsia="Calibri"/>
          <w:sz w:val="20"/>
          <w:szCs w:val="20"/>
          <w:lang w:val="es-AR"/>
        </w:rPr>
        <w:t>impuesto</w:t>
      </w:r>
      <w:r w:rsidRPr="00122AA9">
        <w:rPr>
          <w:rFonts w:eastAsia="Calibri"/>
          <w:sz w:val="20"/>
          <w:lang w:val="es-AR"/>
        </w:rPr>
        <w:t xml:space="preserve"> sobre </w:t>
      </w:r>
      <w:r w:rsidRPr="00122AA9">
        <w:rPr>
          <w:rFonts w:eastAsia="Calibri"/>
          <w:sz w:val="20"/>
          <w:szCs w:val="20"/>
          <w:lang w:val="es-AR"/>
        </w:rPr>
        <w:t>ingresos brutos</w:t>
      </w:r>
      <w:r w:rsidRPr="00122AA9">
        <w:rPr>
          <w:rFonts w:eastAsia="Calibri"/>
          <w:sz w:val="20"/>
          <w:lang w:val="es-AR"/>
        </w:rPr>
        <w:t xml:space="preserve"> en la medida en que se aplique la exención del impuesto a las ganancias.</w:t>
      </w:r>
    </w:p>
    <w:p w14:paraId="759E4D40" w14:textId="77777777" w:rsidR="00122AA9" w:rsidRPr="00122AA9" w:rsidRDefault="00122AA9" w:rsidP="00122AA9">
      <w:pPr>
        <w:jc w:val="both"/>
        <w:rPr>
          <w:rFonts w:eastAsia="Calibri"/>
          <w:sz w:val="20"/>
          <w:lang w:val="es-AR"/>
        </w:rPr>
      </w:pPr>
      <w:bookmarkStart w:id="80" w:name="_Hlk521590693"/>
    </w:p>
    <w:p w14:paraId="550684EA" w14:textId="77777777" w:rsidR="00122AA9" w:rsidRPr="00122AA9" w:rsidRDefault="00122AA9" w:rsidP="00512442">
      <w:pPr>
        <w:autoSpaceDE w:val="0"/>
        <w:autoSpaceDN w:val="0"/>
        <w:jc w:val="both"/>
        <w:rPr>
          <w:rFonts w:eastAsia="Calibri"/>
          <w:color w:val="000000"/>
          <w:sz w:val="20"/>
          <w:lang w:val="es-AR"/>
        </w:rPr>
      </w:pPr>
      <w:r w:rsidRPr="00122AA9">
        <w:rPr>
          <w:rFonts w:eastAsia="Calibri"/>
          <w:color w:val="000000"/>
          <w:sz w:val="20"/>
          <w:lang w:val="es-AR"/>
        </w:rPr>
        <w:t>Por lo expuesto, los potenciales adquirentes de Obligaciones Negociables deberán considerar la posible incidencia del Impuesto sobre los Ingresos Brutos considerando las disposiciones de la legislación provincial que pudiera resultar aplicable en función del lugar de su residencia y actividad económica</w:t>
      </w:r>
      <w:r w:rsidRPr="00122AA9">
        <w:rPr>
          <w:rFonts w:eastAsia="Calibri"/>
          <w:color w:val="000000"/>
          <w:sz w:val="20"/>
          <w:szCs w:val="20"/>
          <w:lang w:val="es-AR"/>
        </w:rPr>
        <w:t>, como así también los diferentes regímenes de recaudación del gravamen que pudieran ser aplicables en cada jurisdicción</w:t>
      </w:r>
      <w:r w:rsidRPr="00122AA9">
        <w:rPr>
          <w:rFonts w:eastAsia="Calibri"/>
          <w:color w:val="000000"/>
          <w:sz w:val="20"/>
          <w:lang w:val="es-AR"/>
        </w:rPr>
        <w:t>.</w:t>
      </w:r>
    </w:p>
    <w:p w14:paraId="7625D7CD" w14:textId="77777777" w:rsidR="00122AA9" w:rsidRPr="00122AA9" w:rsidRDefault="00122AA9" w:rsidP="00122AA9">
      <w:pPr>
        <w:jc w:val="both"/>
        <w:rPr>
          <w:rFonts w:eastAsia="Calibri"/>
          <w:sz w:val="20"/>
          <w:lang w:val="es-AR"/>
        </w:rPr>
      </w:pPr>
      <w:bookmarkStart w:id="81" w:name="_Toc272498841"/>
      <w:bookmarkEnd w:id="80"/>
    </w:p>
    <w:p w14:paraId="24D4C8AA" w14:textId="77777777" w:rsidR="00122AA9" w:rsidRPr="00122AA9" w:rsidRDefault="00122AA9" w:rsidP="00122AA9">
      <w:pPr>
        <w:jc w:val="both"/>
        <w:rPr>
          <w:rFonts w:eastAsia="Calibri"/>
          <w:b/>
          <w:bCs/>
          <w:i/>
          <w:iCs/>
          <w:sz w:val="20"/>
          <w:szCs w:val="20"/>
          <w:lang w:val="es-AR"/>
        </w:rPr>
      </w:pPr>
      <w:r w:rsidRPr="00122AA9">
        <w:rPr>
          <w:rFonts w:eastAsia="Calibri"/>
          <w:b/>
          <w:bCs/>
          <w:i/>
          <w:iCs/>
          <w:sz w:val="20"/>
          <w:szCs w:val="20"/>
          <w:lang w:val="es-AR"/>
        </w:rPr>
        <w:t>Regímenes de recaudación provincial sobre créditos en cuentas bancarias.</w:t>
      </w:r>
    </w:p>
    <w:p w14:paraId="1222D889" w14:textId="77777777" w:rsidR="00122AA9" w:rsidRPr="00122AA9" w:rsidRDefault="00122AA9" w:rsidP="00122AA9">
      <w:pPr>
        <w:jc w:val="both"/>
        <w:rPr>
          <w:rFonts w:eastAsia="Calibri"/>
          <w:sz w:val="20"/>
          <w:u w:val="single"/>
          <w:lang w:val="es-AR"/>
        </w:rPr>
      </w:pPr>
    </w:p>
    <w:p w14:paraId="5DD9AAC7" w14:textId="77777777" w:rsidR="00122AA9" w:rsidRPr="00122AA9" w:rsidRDefault="00122AA9" w:rsidP="00122AA9">
      <w:pPr>
        <w:jc w:val="both"/>
        <w:rPr>
          <w:rFonts w:eastAsia="Calibri"/>
          <w:sz w:val="20"/>
          <w:szCs w:val="20"/>
          <w:lang w:val="es-AR"/>
        </w:rPr>
      </w:pPr>
      <w:r w:rsidRPr="00122AA9">
        <w:rPr>
          <w:rFonts w:eastAsia="Calibri"/>
          <w:sz w:val="20"/>
          <w:lang w:val="es-AR"/>
        </w:rPr>
        <w:t>Distintos fiscos provinciales (por ejemplo, la Ciudad Autónoma de Buenos Aires</w:t>
      </w:r>
      <w:r w:rsidRPr="00122AA9">
        <w:rPr>
          <w:rFonts w:eastAsia="Calibri"/>
          <w:sz w:val="20"/>
          <w:szCs w:val="20"/>
          <w:lang w:val="es-AR"/>
        </w:rPr>
        <w:t xml:space="preserve"> y las provincias de Corrientes, Córdoba, Tucumán, Buenos Aires, Salta, etcétera) han establecido regímenes de percepción del impuesto sobre los ingresos brutos que resultan aplicables a los créditos que se produzcan en las cuentas abiertas en entidades financieras, cualquiera sea su especie y/o naturaleza, quedando comprendidas la totalidad de las sucursales, cualquiera sea el asiento territorial de las mismas.</w:t>
      </w:r>
    </w:p>
    <w:p w14:paraId="0279782D" w14:textId="77777777" w:rsidR="00122AA9" w:rsidRPr="00122AA9" w:rsidRDefault="00122AA9" w:rsidP="00122AA9">
      <w:pPr>
        <w:jc w:val="both"/>
        <w:rPr>
          <w:rFonts w:eastAsia="Calibri"/>
          <w:sz w:val="20"/>
          <w:szCs w:val="20"/>
          <w:lang w:val="es-AR"/>
        </w:rPr>
      </w:pPr>
    </w:p>
    <w:p w14:paraId="09040EB3" w14:textId="77777777" w:rsidR="00122AA9" w:rsidRPr="00122AA9" w:rsidRDefault="00122AA9" w:rsidP="00122AA9">
      <w:pPr>
        <w:jc w:val="both"/>
        <w:rPr>
          <w:rFonts w:eastAsia="Calibri"/>
          <w:sz w:val="20"/>
          <w:szCs w:val="20"/>
          <w:lang w:val="es-AR"/>
        </w:rPr>
      </w:pPr>
      <w:r w:rsidRPr="00122AA9">
        <w:rPr>
          <w:rFonts w:eastAsia="Calibri"/>
          <w:sz w:val="20"/>
          <w:lang w:val="es-AR"/>
        </w:rPr>
        <w:t>Estos regímenes se aplican a aquellos contribuyentes que se encuentran en el padrón que provee mensualmente la Dirección de Rentas de cada jurisdicción.</w:t>
      </w:r>
      <w:r w:rsidRPr="00122AA9">
        <w:rPr>
          <w:rFonts w:eastAsia="Calibri"/>
          <w:sz w:val="20"/>
          <w:szCs w:val="20"/>
          <w:lang w:val="es-AR"/>
        </w:rPr>
        <w:t xml:space="preserve"> </w:t>
      </w:r>
    </w:p>
    <w:p w14:paraId="7BB48CEB" w14:textId="77777777" w:rsidR="00122AA9" w:rsidRPr="00122AA9" w:rsidRDefault="00122AA9" w:rsidP="00122AA9">
      <w:pPr>
        <w:jc w:val="both"/>
        <w:rPr>
          <w:rFonts w:eastAsia="Calibri"/>
          <w:sz w:val="20"/>
          <w:lang w:val="es-AR"/>
        </w:rPr>
      </w:pPr>
    </w:p>
    <w:p w14:paraId="588F046D" w14:textId="77777777" w:rsidR="00122AA9" w:rsidRPr="00122AA9" w:rsidRDefault="00122AA9" w:rsidP="00122AA9">
      <w:pPr>
        <w:jc w:val="both"/>
        <w:rPr>
          <w:rFonts w:eastAsia="Calibri"/>
          <w:sz w:val="20"/>
          <w:lang w:val="es-AR"/>
        </w:rPr>
      </w:pPr>
      <w:r w:rsidRPr="00122AA9">
        <w:rPr>
          <w:rFonts w:eastAsia="Calibri"/>
          <w:sz w:val="20"/>
          <w:lang w:val="es-AR"/>
        </w:rPr>
        <w:t>Las alícuotas a aplicar dependen de cada uno de los fiscos con un rango que puede llegar actualmente al 5%.</w:t>
      </w:r>
    </w:p>
    <w:p w14:paraId="01A9BE44" w14:textId="77777777" w:rsidR="00122AA9" w:rsidRPr="00122AA9" w:rsidRDefault="00122AA9" w:rsidP="00122AA9">
      <w:pPr>
        <w:jc w:val="both"/>
        <w:rPr>
          <w:rFonts w:eastAsia="Calibri"/>
          <w:sz w:val="20"/>
          <w:lang w:val="es-AR"/>
        </w:rPr>
      </w:pPr>
    </w:p>
    <w:p w14:paraId="67F4E30F" w14:textId="77777777" w:rsidR="00122AA9" w:rsidRPr="00122AA9" w:rsidRDefault="00122AA9" w:rsidP="00122AA9">
      <w:pPr>
        <w:jc w:val="both"/>
        <w:rPr>
          <w:rFonts w:eastAsia="Calibri"/>
          <w:sz w:val="20"/>
          <w:lang w:val="es-AR"/>
        </w:rPr>
      </w:pPr>
      <w:r w:rsidRPr="00122AA9">
        <w:rPr>
          <w:rFonts w:eastAsia="Calibri"/>
          <w:sz w:val="20"/>
          <w:lang w:val="es-AR"/>
        </w:rPr>
        <w:t>Las percepciones sufridas constituyen un pago a cuenta del impuesto sobre los ingresos brutos para aquellos sujetos que son pasibles de las mismas.</w:t>
      </w:r>
    </w:p>
    <w:p w14:paraId="38B7A4AC" w14:textId="77777777" w:rsidR="00122AA9" w:rsidRPr="00122AA9" w:rsidRDefault="00122AA9" w:rsidP="00122AA9">
      <w:pPr>
        <w:jc w:val="both"/>
        <w:rPr>
          <w:rFonts w:eastAsia="Calibri"/>
          <w:sz w:val="20"/>
          <w:u w:val="single"/>
          <w:lang w:val="es-AR"/>
        </w:rPr>
      </w:pPr>
    </w:p>
    <w:p w14:paraId="783520D7" w14:textId="77777777" w:rsidR="00122AA9" w:rsidRPr="00122AA9" w:rsidRDefault="00122AA9" w:rsidP="00122AA9">
      <w:pPr>
        <w:ind w:right="57"/>
        <w:jc w:val="both"/>
        <w:rPr>
          <w:rFonts w:eastAsia="Calibri"/>
          <w:sz w:val="20"/>
          <w:szCs w:val="20"/>
          <w:lang w:val="es-AR"/>
        </w:rPr>
      </w:pPr>
      <w:r w:rsidRPr="00122AA9">
        <w:rPr>
          <w:rFonts w:eastAsia="Calibri"/>
          <w:sz w:val="20"/>
          <w:szCs w:val="20"/>
          <w:lang w:val="es-AR"/>
        </w:rPr>
        <w:t xml:space="preserve">Los potenciales adquirentes residentes en el país deberán considerar la posible incidencia del impuesto sobre los ingresos brutos considerando las disposiciones de la legislación aplicable que pudiera resultar relevante en función de su residencia y actividad económica. </w:t>
      </w:r>
    </w:p>
    <w:p w14:paraId="2939C773" w14:textId="77777777" w:rsidR="00122AA9" w:rsidRPr="00122AA9" w:rsidRDefault="00122AA9" w:rsidP="00122AA9">
      <w:pPr>
        <w:jc w:val="both"/>
        <w:rPr>
          <w:rFonts w:eastAsia="Calibri"/>
          <w:b/>
          <w:bCs/>
          <w:sz w:val="20"/>
          <w:szCs w:val="20"/>
          <w:lang w:val="es-AR"/>
        </w:rPr>
      </w:pPr>
    </w:p>
    <w:p w14:paraId="28A55D9F" w14:textId="77777777" w:rsidR="00122AA9" w:rsidRPr="00122AA9" w:rsidRDefault="00122AA9" w:rsidP="00122AA9">
      <w:pPr>
        <w:jc w:val="both"/>
        <w:rPr>
          <w:rFonts w:eastAsia="Calibri"/>
          <w:b/>
          <w:sz w:val="20"/>
          <w:lang w:val="es-AR"/>
        </w:rPr>
      </w:pPr>
      <w:r w:rsidRPr="00122AA9">
        <w:rPr>
          <w:rFonts w:eastAsia="Calibri"/>
          <w:b/>
          <w:bCs/>
          <w:i/>
          <w:iCs/>
          <w:sz w:val="20"/>
          <w:szCs w:val="20"/>
          <w:lang w:val="es-AR"/>
        </w:rPr>
        <w:t>Impuesto de Sellos</w:t>
      </w:r>
      <w:r w:rsidRPr="00122AA9">
        <w:rPr>
          <w:rFonts w:eastAsia="Calibri"/>
          <w:b/>
          <w:bCs/>
          <w:sz w:val="20"/>
          <w:szCs w:val="20"/>
          <w:lang w:val="es-AR"/>
        </w:rPr>
        <w:t xml:space="preserve"> </w:t>
      </w:r>
    </w:p>
    <w:p w14:paraId="6B05643E" w14:textId="77777777" w:rsidR="00122AA9" w:rsidRPr="00122AA9" w:rsidRDefault="00122AA9" w:rsidP="00122AA9">
      <w:pPr>
        <w:jc w:val="both"/>
        <w:rPr>
          <w:rFonts w:eastAsia="Calibri"/>
          <w:b/>
          <w:sz w:val="20"/>
          <w:lang w:val="es-AR"/>
        </w:rPr>
      </w:pPr>
    </w:p>
    <w:p w14:paraId="48E3834D"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Al igual que el impuesto sobre los ingresos brutos, el impuesto de sellos es un tributo de carácter local y grava los actos y contratos de carácter oneroso formalizados en instrumentos públicos y/o privados, que se otorguen en la jurisdicción de cada provincia y/o en la Ciudad de Buenos Aires o bien aquellos que siendo instrumentados en determinada jurisdicción tengan efectos en otra jurisdicción.</w:t>
      </w:r>
    </w:p>
    <w:p w14:paraId="5B3106A6" w14:textId="77777777" w:rsidR="00122AA9" w:rsidRPr="00122AA9" w:rsidRDefault="00122AA9" w:rsidP="00122AA9">
      <w:pPr>
        <w:jc w:val="both"/>
        <w:rPr>
          <w:rFonts w:eastAsia="Calibri"/>
          <w:sz w:val="20"/>
          <w:szCs w:val="20"/>
          <w:lang w:val="es-AR"/>
        </w:rPr>
      </w:pPr>
    </w:p>
    <w:p w14:paraId="02D8FACE"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En la Ciudad Autónoma de Buenos Aires están exentos de este impuesto todos los actos, contratos y operaciones, incluyendo entregas o recepciones de dinero, relacionados con la emisión, suscripción, colocación y transferencia de obligaciones negociables, emitidas conforme el régimen de las Ley de Obligaciones Negociables. Esta exención comprenderá a los aumentos de capital que se realicen para la emisión de acciones a entregar, por conversión de las obligaciones negociables, como así también, a la constitución de todo tipo de garantías personales o reales a favor de inversores o terceros que garanticen la emisión, sean anteriores, simultáneos o posteriores a la misma.</w:t>
      </w:r>
    </w:p>
    <w:p w14:paraId="591A64E9" w14:textId="77777777" w:rsidR="00122AA9" w:rsidRPr="00122AA9" w:rsidRDefault="00122AA9" w:rsidP="00122AA9">
      <w:pPr>
        <w:jc w:val="both"/>
        <w:rPr>
          <w:rFonts w:eastAsia="Calibri"/>
          <w:sz w:val="20"/>
          <w:szCs w:val="20"/>
          <w:lang w:val="es-AR"/>
        </w:rPr>
      </w:pPr>
    </w:p>
    <w:p w14:paraId="649E21B3"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 xml:space="preserve">También se encuentran exentos del impuesto en la Ciudad Autónoma de Buenos Aires los instrumentos, actos y operaciones vinculados con la emisión de valores mobiliarios representativos de deuda de sus emisoras y cualesquiera otros valores mobiliarios destinados a la oferta pública en los términos de la Ley de Mercado de Capitales, por parte de las sociedades autorizadas por la CNV a hacer oferta pública. Esta exención ampara también a las garantías vinculadas con dichas emisiones. Sin embargo, la exención queda sin efecto si en el plazo de 90 días corridos no se solicita la autorización para la oferta pública de dichos títulos valores ante la CNV y/o si la colocación de los títulos no se realiza en un plazo de 180 días corridos a partir de la concesión de la autorización solicitada. </w:t>
      </w:r>
    </w:p>
    <w:p w14:paraId="217FC5D1" w14:textId="77777777" w:rsidR="00122AA9" w:rsidRPr="00122AA9" w:rsidRDefault="00122AA9" w:rsidP="00122AA9">
      <w:pPr>
        <w:jc w:val="both"/>
        <w:rPr>
          <w:rFonts w:eastAsia="Calibri"/>
          <w:sz w:val="20"/>
          <w:szCs w:val="20"/>
          <w:lang w:val="es-AR"/>
        </w:rPr>
      </w:pPr>
    </w:p>
    <w:p w14:paraId="3DD4AB15"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Los actos y/o instrumentos relacionados con la negociación de las acciones y demás valores mobiliarios debidamente autorizados para su oferta pública por la CNV están, asimismo, exentos del impuesto de sellos en la Ciudad Autónoma de Buenos Aires. Esta exención también queda sin efecto de darse la circunstancia señalada en la segunda oración del párrafo anterior.</w:t>
      </w:r>
    </w:p>
    <w:p w14:paraId="22B41B66" w14:textId="77777777" w:rsidR="00122AA9" w:rsidRPr="00122AA9" w:rsidRDefault="00122AA9" w:rsidP="00122AA9">
      <w:pPr>
        <w:jc w:val="both"/>
        <w:rPr>
          <w:rFonts w:eastAsia="Calibri"/>
          <w:sz w:val="20"/>
          <w:szCs w:val="20"/>
          <w:lang w:val="es-AR"/>
        </w:rPr>
      </w:pPr>
    </w:p>
    <w:p w14:paraId="728BD891"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 xml:space="preserve">Por su parte, en la Provincia de Buenos Aires están exentos de este impuesto todos los actos, contratos y operaciones, incluyendo entregas o recepciones de dinero, relacionados con la emisión, suscripción, colocación y transferencia de obligaciones negociables, emitidas conforme el régimen de la Ley de Obligaciones Negociables. Esta exención comprenderá a los aumentos de capital que se realicen para la emisión de acciones a entregar, por conversión de las obligaciones negociables, como así también, a la constitución de todo tipo de garantías personales o reales a favor de inversores o terceros que garanticen la emisión, sean anteriores, simultáneos o posteriores a la misma. </w:t>
      </w:r>
    </w:p>
    <w:p w14:paraId="7A001B92" w14:textId="77777777" w:rsidR="00122AA9" w:rsidRPr="00122AA9" w:rsidRDefault="00122AA9" w:rsidP="00122AA9">
      <w:pPr>
        <w:jc w:val="both"/>
        <w:rPr>
          <w:rFonts w:eastAsia="Calibri"/>
          <w:sz w:val="20"/>
          <w:szCs w:val="20"/>
          <w:lang w:val="es-AR"/>
        </w:rPr>
      </w:pPr>
    </w:p>
    <w:p w14:paraId="712EBBA1"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En la Provincia de Buenos Aires también están exentos de este impuesto todos los instrumentos, actos y operaciones, vinculados con la emisión de valores representativos de deuda de sus emisoras y cualesquiera otros títulos valores destinados a la oferta pública en los términos de la Ley de Mercado de Capitales, por parte de sociedades debidamente autorizadas por la CNV. Esta exención comprende también la constitución de todo tipo de garantías personales o reales a favor de inversores o terceros que garanticen la emisión, sean anteriores, simultáneos o posteriores a la misma. Sin embargo, la exención queda sin efecto si en el plazo de 90 días corridos no se solicita la autorización para la oferta pública de dichos títulos valores ante la CNV y/o si la colocación de los títulos no se realiza en un plazo de 180 días corridos a partir de la concesión de la autorización solicitada.</w:t>
      </w:r>
    </w:p>
    <w:p w14:paraId="28E0F89D" w14:textId="77777777" w:rsidR="00122AA9" w:rsidRPr="00122AA9" w:rsidRDefault="00122AA9" w:rsidP="00122AA9">
      <w:pPr>
        <w:jc w:val="both"/>
        <w:rPr>
          <w:rFonts w:eastAsia="Calibri"/>
          <w:sz w:val="20"/>
          <w:szCs w:val="20"/>
          <w:lang w:val="es-AR"/>
        </w:rPr>
      </w:pPr>
    </w:p>
    <w:p w14:paraId="59AE72E1"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Asimismo, se encuentran exentos del impuesto de sellos en la Provincia de Buenos Aires los actos relacionados con la negociación de valores mobiliarios debidamente autorizados para su oferta pública por la CNV. Esta exención también queda sin efecto de presentarse la circunstancia señalada en la segunda oración del párrafo anterior.</w:t>
      </w:r>
    </w:p>
    <w:p w14:paraId="147A0565" w14:textId="77777777" w:rsidR="00122AA9" w:rsidRPr="00122AA9" w:rsidRDefault="00122AA9" w:rsidP="00122AA9">
      <w:pPr>
        <w:jc w:val="both"/>
        <w:rPr>
          <w:rFonts w:eastAsia="Calibri"/>
          <w:sz w:val="20"/>
          <w:szCs w:val="20"/>
          <w:lang w:val="es-AR"/>
        </w:rPr>
      </w:pPr>
    </w:p>
    <w:p w14:paraId="282DBD7F" w14:textId="77777777" w:rsidR="00122AA9" w:rsidRPr="00122AA9" w:rsidRDefault="00122AA9" w:rsidP="00122AA9">
      <w:pPr>
        <w:jc w:val="both"/>
        <w:rPr>
          <w:rFonts w:eastAsia="Calibri"/>
          <w:b/>
          <w:bCs/>
          <w:sz w:val="20"/>
          <w:szCs w:val="20"/>
          <w:lang w:val="es-AR"/>
        </w:rPr>
      </w:pPr>
      <w:r w:rsidRPr="00122AA9">
        <w:rPr>
          <w:rFonts w:eastAsia="Calibri"/>
          <w:sz w:val="20"/>
          <w:szCs w:val="20"/>
          <w:lang w:val="es-AR"/>
        </w:rPr>
        <w:t>Considerando la autonomía que en materia tributaria posee cada jurisdicción provincial, se deberá analizar los potenciales efectos que este tipo de operatorias pudieran generar y el tratamiento tributario que establece el resto de las jurisdicciones provinciales.</w:t>
      </w:r>
    </w:p>
    <w:p w14:paraId="7DCB87C0" w14:textId="77777777" w:rsidR="00122AA9" w:rsidRPr="00122AA9" w:rsidRDefault="00122AA9" w:rsidP="00122AA9">
      <w:pPr>
        <w:jc w:val="both"/>
        <w:rPr>
          <w:rFonts w:eastAsia="Calibri"/>
          <w:b/>
          <w:sz w:val="20"/>
          <w:lang w:val="es-AR"/>
        </w:rPr>
      </w:pPr>
    </w:p>
    <w:p w14:paraId="0423D00F" w14:textId="77777777" w:rsidR="00122AA9" w:rsidRPr="00122AA9" w:rsidRDefault="00122AA9" w:rsidP="00122AA9">
      <w:pPr>
        <w:jc w:val="both"/>
        <w:rPr>
          <w:rFonts w:eastAsia="Calibri"/>
          <w:b/>
          <w:sz w:val="20"/>
          <w:lang w:val="es-AR"/>
        </w:rPr>
      </w:pPr>
      <w:bookmarkStart w:id="82" w:name="_Toc475704132"/>
      <w:r w:rsidRPr="00122AA9">
        <w:rPr>
          <w:rFonts w:eastAsia="Calibri"/>
          <w:b/>
          <w:bCs/>
          <w:i/>
          <w:iCs/>
          <w:sz w:val="20"/>
          <w:szCs w:val="20"/>
          <w:lang w:val="es-AR"/>
        </w:rPr>
        <w:t>Tasa de Justicia</w:t>
      </w:r>
      <w:bookmarkEnd w:id="81"/>
      <w:bookmarkEnd w:id="82"/>
      <w:r w:rsidRPr="00122AA9">
        <w:rPr>
          <w:rFonts w:eastAsia="Calibri"/>
          <w:b/>
          <w:bCs/>
          <w:sz w:val="20"/>
          <w:szCs w:val="20"/>
          <w:lang w:val="es-AR"/>
        </w:rPr>
        <w:t xml:space="preserve"> </w:t>
      </w:r>
    </w:p>
    <w:p w14:paraId="6CF173F0" w14:textId="77777777" w:rsidR="00122AA9" w:rsidRPr="00122AA9" w:rsidRDefault="00122AA9" w:rsidP="00122AA9">
      <w:pPr>
        <w:jc w:val="both"/>
        <w:rPr>
          <w:rFonts w:eastAsia="Calibri"/>
          <w:sz w:val="20"/>
          <w:szCs w:val="20"/>
          <w:lang w:val="es-AR"/>
        </w:rPr>
      </w:pPr>
    </w:p>
    <w:p w14:paraId="05F9A9A3" w14:textId="77777777" w:rsidR="00122AA9" w:rsidRPr="00122AA9" w:rsidRDefault="00122AA9" w:rsidP="00122AA9">
      <w:pPr>
        <w:jc w:val="both"/>
        <w:rPr>
          <w:rFonts w:eastAsia="Calibri"/>
          <w:sz w:val="20"/>
          <w:lang w:val="es-AR"/>
        </w:rPr>
      </w:pPr>
      <w:r w:rsidRPr="00122AA9">
        <w:rPr>
          <w:rFonts w:eastAsia="Calibri"/>
          <w:sz w:val="20"/>
          <w:lang w:val="es-AR"/>
        </w:rPr>
        <w:t>En caso de que fuera necesario instituir procedimientos de ejecución en relación con las Obligaciones Negociables en la República Argentina, se aplicará una tasa de justicia (actualmente a una alícuota del 3%) sobre el monto de cualquier reclamo iniciado ante los tribunales argentinos con asiento en la Ciudad de Buenos Aires.</w:t>
      </w:r>
    </w:p>
    <w:p w14:paraId="55ED97F9" w14:textId="77777777" w:rsidR="00122AA9" w:rsidRPr="00122AA9" w:rsidRDefault="00122AA9" w:rsidP="00122AA9">
      <w:pPr>
        <w:jc w:val="both"/>
        <w:rPr>
          <w:rFonts w:eastAsia="Calibri"/>
          <w:i/>
          <w:sz w:val="20"/>
          <w:lang w:val="es-AR"/>
        </w:rPr>
      </w:pPr>
    </w:p>
    <w:p w14:paraId="16EC096C" w14:textId="77777777" w:rsidR="00122AA9" w:rsidRPr="00122AA9" w:rsidRDefault="00122AA9" w:rsidP="00122AA9">
      <w:pPr>
        <w:jc w:val="both"/>
        <w:rPr>
          <w:rFonts w:eastAsia="Calibri"/>
          <w:b/>
          <w:bCs/>
          <w:i/>
          <w:iCs/>
          <w:sz w:val="20"/>
          <w:szCs w:val="20"/>
          <w:lang w:val="es-AR"/>
        </w:rPr>
      </w:pPr>
      <w:bookmarkStart w:id="83" w:name="_Toc272498842"/>
      <w:r w:rsidRPr="00122AA9">
        <w:rPr>
          <w:rFonts w:eastAsia="Calibri"/>
          <w:b/>
          <w:bCs/>
          <w:i/>
          <w:iCs/>
          <w:sz w:val="20"/>
          <w:szCs w:val="20"/>
          <w:lang w:val="es-AR"/>
        </w:rPr>
        <w:t>Otros</w:t>
      </w:r>
      <w:bookmarkEnd w:id="83"/>
      <w:r w:rsidRPr="00122AA9">
        <w:rPr>
          <w:rFonts w:eastAsia="Calibri"/>
          <w:b/>
          <w:bCs/>
          <w:i/>
          <w:iCs/>
          <w:sz w:val="20"/>
          <w:szCs w:val="20"/>
          <w:lang w:val="es-AR"/>
        </w:rPr>
        <w:t xml:space="preserve"> impuestos</w:t>
      </w:r>
    </w:p>
    <w:p w14:paraId="78321F2A" w14:textId="77777777" w:rsidR="00122AA9" w:rsidRPr="00122AA9" w:rsidRDefault="00122AA9" w:rsidP="00122AA9">
      <w:pPr>
        <w:jc w:val="both"/>
        <w:rPr>
          <w:rFonts w:eastAsia="Calibri"/>
          <w:b/>
          <w:sz w:val="20"/>
          <w:lang w:val="es-AR"/>
        </w:rPr>
      </w:pPr>
    </w:p>
    <w:p w14:paraId="35E29188" w14:textId="77777777" w:rsidR="00122AA9" w:rsidRPr="00122AA9" w:rsidRDefault="00122AA9" w:rsidP="00122AA9">
      <w:pPr>
        <w:jc w:val="both"/>
        <w:rPr>
          <w:rFonts w:eastAsia="Calibri"/>
          <w:sz w:val="20"/>
          <w:lang w:val="es-AR"/>
        </w:rPr>
      </w:pPr>
      <w:r w:rsidRPr="00122AA9">
        <w:rPr>
          <w:rFonts w:eastAsia="Calibri"/>
          <w:sz w:val="20"/>
          <w:lang w:val="es-AR"/>
        </w:rPr>
        <w:t xml:space="preserve">A nivel federal, no se grava con impuestos la transmisión gratuita de bienes a herederos, donantes, legatarios o donatarios. </w:t>
      </w:r>
    </w:p>
    <w:p w14:paraId="4FF5F13C" w14:textId="77777777" w:rsidR="00122AA9" w:rsidRPr="00122AA9" w:rsidRDefault="00122AA9" w:rsidP="00122AA9">
      <w:pPr>
        <w:jc w:val="both"/>
        <w:rPr>
          <w:rFonts w:eastAsia="Calibri"/>
          <w:sz w:val="20"/>
          <w:lang w:val="es-AR"/>
        </w:rPr>
      </w:pPr>
    </w:p>
    <w:p w14:paraId="29347B0B" w14:textId="0AC7434C" w:rsidR="00122AA9" w:rsidRPr="00122AA9" w:rsidRDefault="00122AA9" w:rsidP="00122AA9">
      <w:pPr>
        <w:jc w:val="both"/>
        <w:rPr>
          <w:rFonts w:eastAsia="Calibri"/>
          <w:sz w:val="20"/>
          <w:szCs w:val="20"/>
          <w:lang w:val="es-AR"/>
        </w:rPr>
      </w:pPr>
      <w:r w:rsidRPr="00122AA9">
        <w:rPr>
          <w:rFonts w:eastAsia="Calibri"/>
          <w:sz w:val="20"/>
          <w:szCs w:val="20"/>
          <w:lang w:val="es-AR"/>
        </w:rPr>
        <w:t>En la Provincia de Buenos Aires se encuentra vigente el impuesto a la transmisión gratuita de bienes (el “</w:t>
      </w:r>
      <w:r w:rsidRPr="00122AA9">
        <w:rPr>
          <w:rFonts w:eastAsia="Calibri"/>
          <w:sz w:val="20"/>
          <w:szCs w:val="20"/>
          <w:u w:val="single"/>
          <w:lang w:val="es-AR"/>
        </w:rPr>
        <w:t>ITGB</w:t>
      </w:r>
      <w:r w:rsidRPr="00122AA9">
        <w:rPr>
          <w:rFonts w:eastAsia="Calibri"/>
          <w:sz w:val="20"/>
          <w:szCs w:val="20"/>
          <w:lang w:val="es-AR"/>
        </w:rPr>
        <w:t xml:space="preserve">”), cuyas características básicas son las siguientes: </w:t>
      </w:r>
    </w:p>
    <w:p w14:paraId="5D610C37" w14:textId="77777777" w:rsidR="00122AA9" w:rsidRPr="00122AA9" w:rsidRDefault="00122AA9" w:rsidP="00122AA9">
      <w:pPr>
        <w:jc w:val="both"/>
        <w:rPr>
          <w:rFonts w:eastAsia="Calibri"/>
          <w:sz w:val="20"/>
          <w:lang w:val="es-AR"/>
        </w:rPr>
      </w:pPr>
    </w:p>
    <w:p w14:paraId="6F1E9529" w14:textId="77777777" w:rsidR="00122AA9" w:rsidRPr="00122AA9" w:rsidRDefault="00122AA9" w:rsidP="00122AA9">
      <w:pPr>
        <w:numPr>
          <w:ilvl w:val="0"/>
          <w:numId w:val="61"/>
        </w:numPr>
        <w:jc w:val="both"/>
        <w:rPr>
          <w:sz w:val="20"/>
          <w:lang w:val="es-AR"/>
        </w:rPr>
      </w:pPr>
      <w:r w:rsidRPr="00122AA9">
        <w:rPr>
          <w:sz w:val="20"/>
          <w:lang w:val="es-AR"/>
        </w:rPr>
        <w:t>El ITGB alcanza al enriquecimiento que se obtenga en virtud de toda transmisión a título gratuito, incluyendo: herencias, legados, donaciones, anticipos de herencia y cualquier otro hecho, otra transmisión que implique un enriquecimiento patrimonial a título gratuito</w:t>
      </w:r>
      <w:r w:rsidRPr="00122AA9">
        <w:rPr>
          <w:sz w:val="20"/>
          <w:szCs w:val="20"/>
          <w:lang w:val="es-AR"/>
        </w:rPr>
        <w:t>;</w:t>
      </w:r>
    </w:p>
    <w:p w14:paraId="034D376A" w14:textId="77777777" w:rsidR="00122AA9" w:rsidRPr="00122AA9" w:rsidRDefault="00122AA9" w:rsidP="00122AA9">
      <w:pPr>
        <w:jc w:val="both"/>
        <w:rPr>
          <w:rFonts w:eastAsia="Calibri"/>
          <w:sz w:val="20"/>
          <w:lang w:val="es-AR"/>
        </w:rPr>
      </w:pPr>
    </w:p>
    <w:p w14:paraId="4453982D" w14:textId="196D73E5" w:rsidR="00122AA9" w:rsidRPr="00122AA9" w:rsidRDefault="00122AA9" w:rsidP="00122AA9">
      <w:pPr>
        <w:numPr>
          <w:ilvl w:val="0"/>
          <w:numId w:val="59"/>
        </w:numPr>
        <w:jc w:val="both"/>
        <w:rPr>
          <w:sz w:val="20"/>
          <w:lang w:val="es-AR"/>
        </w:rPr>
      </w:pPr>
      <w:r w:rsidRPr="00122AA9">
        <w:rPr>
          <w:sz w:val="20"/>
          <w:lang w:val="es-AR"/>
        </w:rPr>
        <w:t xml:space="preserve">Son contribuyentes del ITGB las personas </w:t>
      </w:r>
      <w:r w:rsidR="00450196">
        <w:rPr>
          <w:sz w:val="20"/>
          <w:lang w:val="es-AR"/>
        </w:rPr>
        <w:t>humanas</w:t>
      </w:r>
      <w:r w:rsidR="00450196" w:rsidRPr="00122AA9">
        <w:rPr>
          <w:sz w:val="20"/>
          <w:lang w:val="es-AR"/>
        </w:rPr>
        <w:t xml:space="preserve"> </w:t>
      </w:r>
      <w:r w:rsidRPr="00122AA9">
        <w:rPr>
          <w:sz w:val="20"/>
          <w:lang w:val="es-AR"/>
        </w:rPr>
        <w:t>y las personas jurídicas beneficiarias de una transmisión gratuita de bienes</w:t>
      </w:r>
      <w:r w:rsidRPr="00122AA9">
        <w:rPr>
          <w:sz w:val="20"/>
          <w:szCs w:val="20"/>
          <w:lang w:val="es-AR"/>
        </w:rPr>
        <w:t>;</w:t>
      </w:r>
    </w:p>
    <w:p w14:paraId="5601D8CE" w14:textId="77777777" w:rsidR="00122AA9" w:rsidRPr="00122AA9" w:rsidRDefault="00122AA9" w:rsidP="00122AA9">
      <w:pPr>
        <w:jc w:val="both"/>
        <w:rPr>
          <w:rFonts w:eastAsia="Calibri"/>
          <w:sz w:val="20"/>
          <w:lang w:val="es-AR"/>
        </w:rPr>
      </w:pPr>
    </w:p>
    <w:p w14:paraId="1FE73B3E" w14:textId="77777777" w:rsidR="00122AA9" w:rsidRPr="00122AA9" w:rsidRDefault="00122AA9" w:rsidP="00122AA9">
      <w:pPr>
        <w:numPr>
          <w:ilvl w:val="0"/>
          <w:numId w:val="59"/>
        </w:numPr>
        <w:jc w:val="both"/>
        <w:rPr>
          <w:sz w:val="20"/>
          <w:lang w:val="es-AR"/>
        </w:rPr>
      </w:pPr>
      <w:r w:rsidRPr="00122AA9">
        <w:rPr>
          <w:sz w:val="20"/>
          <w:lang w:val="es-AR"/>
        </w:rPr>
        <w:t xml:space="preserve">Para los contribuyentes domiciliados en la </w:t>
      </w:r>
      <w:r w:rsidRPr="00122AA9">
        <w:rPr>
          <w:sz w:val="20"/>
          <w:szCs w:val="20"/>
          <w:lang w:val="es-AR"/>
        </w:rPr>
        <w:t>Provincia de Buenos Aires</w:t>
      </w:r>
      <w:r w:rsidRPr="00122AA9">
        <w:rPr>
          <w:sz w:val="20"/>
          <w:lang w:val="es-AR"/>
        </w:rPr>
        <w:t xml:space="preserve">, el ITGB recae sobre el monto total del enriquecimiento gratuito, tanto por los bienes situados en dicha </w:t>
      </w:r>
      <w:r w:rsidRPr="00122AA9">
        <w:rPr>
          <w:sz w:val="20"/>
          <w:szCs w:val="20"/>
          <w:lang w:val="es-AR"/>
        </w:rPr>
        <w:t>provincia</w:t>
      </w:r>
      <w:r w:rsidRPr="00122AA9">
        <w:rPr>
          <w:sz w:val="20"/>
          <w:lang w:val="es-AR"/>
        </w:rPr>
        <w:t xml:space="preserve"> como fuera de ella. En cambio, para los sujetos domiciliados fuera de la </w:t>
      </w:r>
      <w:r w:rsidRPr="00122AA9">
        <w:rPr>
          <w:sz w:val="20"/>
          <w:szCs w:val="20"/>
          <w:lang w:val="es-AR"/>
        </w:rPr>
        <w:t>Provincia de Buenos Aires</w:t>
      </w:r>
      <w:r w:rsidRPr="00122AA9">
        <w:rPr>
          <w:sz w:val="20"/>
          <w:lang w:val="es-AR"/>
        </w:rPr>
        <w:t xml:space="preserve">, el ITGB recae únicamente sobre el enriquecimiento gratuito originado por la transmisión de los bienes situados en </w:t>
      </w:r>
      <w:r w:rsidRPr="00122AA9">
        <w:rPr>
          <w:sz w:val="20"/>
          <w:szCs w:val="20"/>
          <w:lang w:val="es-AR"/>
        </w:rPr>
        <w:t>la</w:t>
      </w:r>
      <w:r w:rsidRPr="00122AA9">
        <w:rPr>
          <w:sz w:val="20"/>
          <w:lang w:val="es-AR"/>
        </w:rPr>
        <w:t xml:space="preserve"> Provincia</w:t>
      </w:r>
      <w:r w:rsidRPr="00122AA9">
        <w:rPr>
          <w:sz w:val="20"/>
          <w:szCs w:val="20"/>
          <w:lang w:val="es-AR"/>
        </w:rPr>
        <w:t xml:space="preserve"> de Buenos Aires</w:t>
      </w:r>
      <w:r w:rsidRPr="00122AA9">
        <w:rPr>
          <w:sz w:val="20"/>
          <w:lang w:val="es-AR"/>
        </w:rPr>
        <w:t>.</w:t>
      </w:r>
    </w:p>
    <w:p w14:paraId="04D87C4A" w14:textId="77777777" w:rsidR="00122AA9" w:rsidRPr="00122AA9" w:rsidRDefault="00122AA9" w:rsidP="00122AA9">
      <w:pPr>
        <w:jc w:val="both"/>
        <w:rPr>
          <w:rFonts w:eastAsia="Calibri"/>
          <w:sz w:val="20"/>
          <w:lang w:val="es-AR"/>
        </w:rPr>
      </w:pPr>
    </w:p>
    <w:p w14:paraId="0024D04B" w14:textId="77777777" w:rsidR="00122AA9" w:rsidRPr="00122AA9" w:rsidRDefault="00122AA9" w:rsidP="00122AA9">
      <w:pPr>
        <w:numPr>
          <w:ilvl w:val="0"/>
          <w:numId w:val="59"/>
        </w:numPr>
        <w:jc w:val="both"/>
        <w:rPr>
          <w:sz w:val="20"/>
          <w:szCs w:val="20"/>
          <w:lang w:val="es-AR"/>
        </w:rPr>
      </w:pPr>
      <w:r w:rsidRPr="00122AA9">
        <w:rPr>
          <w:sz w:val="20"/>
          <w:szCs w:val="20"/>
          <w:lang w:val="es-AR"/>
        </w:rPr>
        <w:t xml:space="preserve">Se consideran situados en la Provincia de Buenos Aires, entre otros supuestos, (i) los títulos y las acciones, cuotas o participaciones sociales y otros valores mobiliarios representativos de su capital, emitidos por entes públicos o privados y por sociedades, cuando éstos estuvieren domiciliados en </w:t>
      </w:r>
      <w:bookmarkStart w:id="84" w:name="_DV_M2368"/>
      <w:bookmarkEnd w:id="84"/>
      <w:r w:rsidRPr="00122AA9">
        <w:rPr>
          <w:sz w:val="20"/>
          <w:szCs w:val="20"/>
          <w:lang w:val="es-AR"/>
        </w:rPr>
        <w:t xml:space="preserve">la Provincia de Buenos Aires; (ii) los títulos, acciones y demás valores mobiliarios que se encuentren en </w:t>
      </w:r>
      <w:bookmarkStart w:id="85" w:name="_DV_M2369"/>
      <w:bookmarkEnd w:id="85"/>
      <w:r w:rsidRPr="00122AA9">
        <w:rPr>
          <w:sz w:val="20"/>
          <w:szCs w:val="20"/>
          <w:lang w:val="es-AR"/>
        </w:rPr>
        <w:t>la Provincia de Buenos Aires al tiempo de la transmisión, emitidos por entes privados o sociedades domiciliados en otra jurisdicción; y (iii) los títulos, acciones y otros valores mobiliarios representativos de capital social o equivalente que al tiempo de la transmisión se hallaren en otra jurisdicción, emitidos por entes o sociedades domiciliados también en otra jurisdicción, en proporción a los bienes de los emisores que se encontraren en la Provincia de Buenos Aires.</w:t>
      </w:r>
    </w:p>
    <w:p w14:paraId="1F578392" w14:textId="77777777" w:rsidR="00122AA9" w:rsidRPr="00122AA9" w:rsidRDefault="00122AA9" w:rsidP="00122AA9">
      <w:pPr>
        <w:jc w:val="both"/>
        <w:rPr>
          <w:rFonts w:eastAsia="Calibri"/>
          <w:sz w:val="20"/>
          <w:lang w:val="es-AR"/>
        </w:rPr>
      </w:pPr>
    </w:p>
    <w:p w14:paraId="7B5F45F6" w14:textId="1703D9A5" w:rsidR="00122AA9" w:rsidRPr="00122AA9" w:rsidRDefault="00122AA9" w:rsidP="00122AA9">
      <w:pPr>
        <w:numPr>
          <w:ilvl w:val="0"/>
          <w:numId w:val="59"/>
        </w:numPr>
        <w:jc w:val="both"/>
        <w:rPr>
          <w:sz w:val="20"/>
          <w:lang w:val="es-AR"/>
        </w:rPr>
      </w:pPr>
      <w:r w:rsidRPr="00122AA9">
        <w:rPr>
          <w:sz w:val="20"/>
          <w:szCs w:val="20"/>
          <w:lang w:val="es-AR"/>
        </w:rPr>
        <w:t>Actualmente, no están alcanzadas por el</w:t>
      </w:r>
      <w:r w:rsidRPr="00122AA9">
        <w:rPr>
          <w:sz w:val="20"/>
          <w:lang w:val="es-AR"/>
        </w:rPr>
        <w:t xml:space="preserve"> ITGB las transmisiones gratuitas de bienes cuando su valor en conjunto sea igual o inferior a $269.000 monto que se elevará a $1.120.000 cuando se trate de padres, hijos y cónyuges</w:t>
      </w:r>
      <w:r w:rsidRPr="00122AA9">
        <w:rPr>
          <w:sz w:val="20"/>
          <w:szCs w:val="20"/>
          <w:lang w:val="es-AR"/>
        </w:rPr>
        <w:t>;</w:t>
      </w:r>
      <w:r w:rsidRPr="00122AA9">
        <w:rPr>
          <w:sz w:val="20"/>
          <w:lang w:val="es-AR"/>
        </w:rPr>
        <w:t xml:space="preserve"> </w:t>
      </w:r>
    </w:p>
    <w:p w14:paraId="110BF95D" w14:textId="77777777" w:rsidR="00122AA9" w:rsidRPr="00122AA9" w:rsidRDefault="00122AA9" w:rsidP="00122AA9">
      <w:pPr>
        <w:jc w:val="both"/>
        <w:rPr>
          <w:rFonts w:eastAsia="Calibri"/>
          <w:sz w:val="20"/>
          <w:lang w:val="es-AR"/>
        </w:rPr>
      </w:pPr>
    </w:p>
    <w:p w14:paraId="136A162A" w14:textId="77777777" w:rsidR="00122AA9" w:rsidRPr="00122AA9" w:rsidRDefault="00122AA9" w:rsidP="00122AA9">
      <w:pPr>
        <w:numPr>
          <w:ilvl w:val="0"/>
          <w:numId w:val="59"/>
        </w:numPr>
        <w:jc w:val="both"/>
        <w:rPr>
          <w:sz w:val="20"/>
          <w:lang w:val="es-AR"/>
        </w:rPr>
      </w:pPr>
      <w:r w:rsidRPr="00122AA9">
        <w:rPr>
          <w:sz w:val="20"/>
          <w:lang w:val="es-AR"/>
        </w:rPr>
        <w:t>En cuanto a las alícuotas, se han previsto escalas progresivas del 1,6026% al 8,7840% según el grado de parentesco y la base imponible involucrada.</w:t>
      </w:r>
    </w:p>
    <w:p w14:paraId="67E117A1" w14:textId="77777777" w:rsidR="00122AA9" w:rsidRPr="00122AA9" w:rsidRDefault="00122AA9" w:rsidP="00122AA9">
      <w:pPr>
        <w:jc w:val="both"/>
        <w:rPr>
          <w:rFonts w:eastAsia="Calibri"/>
          <w:sz w:val="20"/>
          <w:szCs w:val="20"/>
          <w:lang w:val="es-AR"/>
        </w:rPr>
      </w:pPr>
    </w:p>
    <w:p w14:paraId="41547B8A" w14:textId="09C148AD" w:rsidR="00122AA9" w:rsidRPr="00122AA9" w:rsidRDefault="00122AA9" w:rsidP="00122AA9">
      <w:pPr>
        <w:ind w:right="51"/>
        <w:jc w:val="both"/>
        <w:rPr>
          <w:rFonts w:eastAsia="Calibri"/>
          <w:sz w:val="20"/>
          <w:lang w:val="es-AR"/>
        </w:rPr>
      </w:pPr>
      <w:r w:rsidRPr="00122AA9">
        <w:rPr>
          <w:rFonts w:eastAsia="Calibri"/>
          <w:sz w:val="20"/>
          <w:szCs w:val="20"/>
          <w:lang w:val="es-AR"/>
        </w:rPr>
        <w:t>En función de lo precedentemente expuesto</w:t>
      </w:r>
      <w:r w:rsidRPr="00122AA9">
        <w:rPr>
          <w:rFonts w:eastAsia="Calibri"/>
          <w:sz w:val="20"/>
          <w:lang w:val="es-AR"/>
        </w:rPr>
        <w:t xml:space="preserve">, la transmisión gratuita de </w:t>
      </w:r>
      <w:r w:rsidRPr="00122AA9">
        <w:rPr>
          <w:rFonts w:eastAsia="Calibri"/>
          <w:sz w:val="20"/>
          <w:szCs w:val="20"/>
          <w:lang w:val="es-AR"/>
        </w:rPr>
        <w:t>obligaciones negociables</w:t>
      </w:r>
      <w:r w:rsidRPr="00122AA9">
        <w:rPr>
          <w:rFonts w:eastAsia="Calibri"/>
          <w:sz w:val="20"/>
          <w:lang w:val="es-AR"/>
        </w:rPr>
        <w:t xml:space="preserve"> podría estar alcanzada por el ITGB en la medida que forme parte de transmisiones gratuitas de bienes cuyos valores en conjunto -sin computar las deducciones, exenciones ni exclusiones- sean superiores a </w:t>
      </w:r>
      <w:r w:rsidRPr="00122AA9">
        <w:rPr>
          <w:rFonts w:eastAsia="Calibri"/>
          <w:sz w:val="20"/>
          <w:szCs w:val="20"/>
          <w:lang w:val="es-AR"/>
        </w:rPr>
        <w:t xml:space="preserve">AR$ </w:t>
      </w:r>
      <w:r w:rsidRPr="00122AA9">
        <w:rPr>
          <w:rFonts w:eastAsia="Calibri"/>
          <w:sz w:val="20"/>
          <w:lang w:val="es-AR"/>
        </w:rPr>
        <w:t>$269.000</w:t>
      </w:r>
      <w:r w:rsidRPr="00122AA9">
        <w:rPr>
          <w:rFonts w:eastAsia="Calibri"/>
          <w:sz w:val="20"/>
          <w:szCs w:val="20"/>
          <w:lang w:val="es-AR"/>
        </w:rPr>
        <w:t xml:space="preserve"> o AR$</w:t>
      </w:r>
      <w:r w:rsidRPr="00122AA9">
        <w:rPr>
          <w:rFonts w:eastAsia="Calibri"/>
          <w:sz w:val="20"/>
          <w:lang w:val="es-AR"/>
        </w:rPr>
        <w:t xml:space="preserve"> $1.120.000 cuando se trate de padres, hijos y cónyuges (estos montos son fijados anualmente en la respectiva Ley Impositiva).</w:t>
      </w:r>
    </w:p>
    <w:p w14:paraId="6114473B" w14:textId="77777777" w:rsidR="00122AA9" w:rsidRPr="00122AA9" w:rsidRDefault="00122AA9" w:rsidP="00122AA9">
      <w:pPr>
        <w:ind w:right="51"/>
        <w:jc w:val="both"/>
        <w:rPr>
          <w:rFonts w:eastAsia="Calibri"/>
          <w:sz w:val="20"/>
          <w:lang w:val="es-AR"/>
        </w:rPr>
      </w:pPr>
    </w:p>
    <w:p w14:paraId="61FD8410" w14:textId="77777777" w:rsidR="00122AA9" w:rsidRPr="00122AA9" w:rsidRDefault="00122AA9" w:rsidP="00122AA9">
      <w:pPr>
        <w:jc w:val="both"/>
        <w:rPr>
          <w:rFonts w:eastAsia="Calibri"/>
          <w:sz w:val="20"/>
          <w:lang w:val="es-AR"/>
        </w:rPr>
      </w:pPr>
    </w:p>
    <w:p w14:paraId="55C04DA7" w14:textId="77777777" w:rsidR="00122AA9" w:rsidRPr="00122AA9" w:rsidRDefault="00122AA9" w:rsidP="00122AA9">
      <w:pPr>
        <w:jc w:val="both"/>
        <w:rPr>
          <w:rFonts w:eastAsia="Calibri"/>
          <w:b/>
          <w:i/>
          <w:sz w:val="20"/>
          <w:lang w:val="es-AR"/>
        </w:rPr>
      </w:pPr>
      <w:r w:rsidRPr="00122AA9">
        <w:rPr>
          <w:rFonts w:eastAsia="Calibri"/>
          <w:b/>
          <w:i/>
          <w:sz w:val="20"/>
          <w:lang w:val="es-AR"/>
        </w:rPr>
        <w:t xml:space="preserve">Ingreso de fondos provenientes de </w:t>
      </w:r>
      <w:r w:rsidRPr="00122AA9">
        <w:rPr>
          <w:rFonts w:eastAsia="Calibri"/>
          <w:b/>
          <w:bCs/>
          <w:i/>
          <w:iCs/>
          <w:sz w:val="20"/>
          <w:szCs w:val="20"/>
          <w:lang w:val="es-AR"/>
        </w:rPr>
        <w:t>jurisdicciones</w:t>
      </w:r>
      <w:r w:rsidRPr="00122AA9">
        <w:rPr>
          <w:rFonts w:eastAsia="Calibri"/>
          <w:b/>
          <w:i/>
          <w:sz w:val="20"/>
          <w:lang w:val="es-AR"/>
        </w:rPr>
        <w:t xml:space="preserve"> no </w:t>
      </w:r>
      <w:r w:rsidRPr="00122AA9">
        <w:rPr>
          <w:rFonts w:eastAsia="Calibri"/>
          <w:b/>
          <w:bCs/>
          <w:i/>
          <w:iCs/>
          <w:sz w:val="20"/>
          <w:szCs w:val="20"/>
          <w:lang w:val="es-AR"/>
        </w:rPr>
        <w:t xml:space="preserve">cooperantes </w:t>
      </w:r>
    </w:p>
    <w:p w14:paraId="4D6FD277" w14:textId="77777777" w:rsidR="00122AA9" w:rsidRPr="00122AA9" w:rsidRDefault="00122AA9" w:rsidP="00122AA9">
      <w:pPr>
        <w:jc w:val="both"/>
        <w:rPr>
          <w:rFonts w:eastAsia="Calibri"/>
          <w:b/>
          <w:sz w:val="20"/>
          <w:highlight w:val="yellow"/>
          <w:lang w:val="es-AR"/>
        </w:rPr>
      </w:pPr>
    </w:p>
    <w:p w14:paraId="55E9EE0E" w14:textId="186C48A9" w:rsidR="00122AA9" w:rsidRPr="00122AA9" w:rsidRDefault="00122AA9" w:rsidP="00122AA9">
      <w:pPr>
        <w:jc w:val="both"/>
        <w:rPr>
          <w:rFonts w:eastAsia="Calibri"/>
          <w:sz w:val="20"/>
          <w:lang w:val="es-AR"/>
        </w:rPr>
      </w:pPr>
      <w:r w:rsidRPr="00122AA9">
        <w:rPr>
          <w:rFonts w:eastAsia="Calibri"/>
          <w:sz w:val="20"/>
          <w:szCs w:val="20"/>
          <w:lang w:val="es-ES"/>
        </w:rPr>
        <w:t>De acuerdo a lo previsto por el artículo 19 de la Ley de Impuesto a las Ganancias (t.o. por Decreto N°824/2019), se entiende por “jurisdicciones no cooperantes” a aquellos países o jurisdicciones que no tengan vigente con la República Argentina un acuerdo de intercambio de información en materia tributaria o un convenio para evitar la doble imposición internacional con cláusula amplia de intercambio de información. Asimismo, se consideran como no cooperantes aquellos países que, teniendo vigente un acuerdo con los alcances definidos, no cumplan efectivamente con el intercambio de información.</w:t>
      </w:r>
    </w:p>
    <w:p w14:paraId="0A5E6C3A" w14:textId="77777777" w:rsidR="00122AA9" w:rsidRPr="00122AA9" w:rsidRDefault="00122AA9" w:rsidP="00122AA9">
      <w:pPr>
        <w:jc w:val="both"/>
        <w:rPr>
          <w:rFonts w:eastAsia="Calibri"/>
          <w:sz w:val="20"/>
          <w:lang w:val="es-AR"/>
        </w:rPr>
      </w:pPr>
    </w:p>
    <w:p w14:paraId="636A9814" w14:textId="0474AFD0" w:rsidR="00122AA9" w:rsidRPr="00122AA9" w:rsidRDefault="00122AA9" w:rsidP="00122AA9">
      <w:pPr>
        <w:jc w:val="both"/>
        <w:rPr>
          <w:rFonts w:eastAsia="Calibri"/>
          <w:sz w:val="20"/>
          <w:lang w:val="es-AR"/>
        </w:rPr>
      </w:pPr>
      <w:r w:rsidRPr="00122AA9">
        <w:rPr>
          <w:rFonts w:eastAsia="Calibri"/>
          <w:sz w:val="20"/>
          <w:lang w:val="es-AR"/>
        </w:rPr>
        <w:t xml:space="preserve">El artículo 24 del Decreto Reglamentario de la Ley de Impuesto a las Ganancias N°862/2019, establece la lista de jurisdicciones no cooperantes. Asimismo, se prevé que la AFIP informe al Ministerio de Hacienda cualquier novedad que justifique una modificación en dicho listado, a los fines de su actualización. </w:t>
      </w:r>
    </w:p>
    <w:p w14:paraId="0B591B26" w14:textId="77777777" w:rsidR="00122AA9" w:rsidRPr="00512442" w:rsidRDefault="00122AA9" w:rsidP="00122AA9">
      <w:pPr>
        <w:jc w:val="both"/>
        <w:rPr>
          <w:rFonts w:eastAsia="Calibri"/>
          <w:sz w:val="20"/>
          <w:lang w:val="es-MX"/>
        </w:rPr>
      </w:pPr>
    </w:p>
    <w:p w14:paraId="74733926" w14:textId="34F9A382" w:rsidR="00122AA9" w:rsidRPr="00122AA9" w:rsidRDefault="00122AA9" w:rsidP="00512442">
      <w:pPr>
        <w:autoSpaceDE w:val="0"/>
        <w:autoSpaceDN w:val="0"/>
        <w:jc w:val="both"/>
        <w:rPr>
          <w:rFonts w:eastAsia="Calibri"/>
          <w:color w:val="000000"/>
          <w:sz w:val="20"/>
          <w:lang w:val="es-MX"/>
        </w:rPr>
      </w:pPr>
      <w:r w:rsidRPr="00122AA9">
        <w:rPr>
          <w:rFonts w:eastAsia="Calibri"/>
          <w:color w:val="000000"/>
          <w:sz w:val="20"/>
          <w:lang w:val="es-MX"/>
        </w:rPr>
        <w:t xml:space="preserve">Por su parte, el segundo artículo 20 de la Ley de Impuesto a las Ganancias </w:t>
      </w:r>
      <w:r w:rsidRPr="00122AA9">
        <w:rPr>
          <w:rFonts w:eastAsia="Calibri"/>
          <w:sz w:val="20"/>
          <w:szCs w:val="20"/>
          <w:lang w:val="es-ES"/>
        </w:rPr>
        <w:t>(t.o. por Decreto N°824/2019)</w:t>
      </w:r>
      <w:r w:rsidRPr="00512442">
        <w:rPr>
          <w:rFonts w:eastAsia="Calibri"/>
          <w:sz w:val="20"/>
          <w:lang w:val="es-ES"/>
        </w:rPr>
        <w:t xml:space="preserve"> </w:t>
      </w:r>
      <w:r w:rsidRPr="00122AA9">
        <w:rPr>
          <w:rFonts w:eastAsia="Calibri"/>
          <w:color w:val="000000"/>
          <w:sz w:val="20"/>
          <w:lang w:val="es-MX"/>
        </w:rPr>
        <w:t>establece que cualquier referencia efectuada a “jurisdicciones de baja o nula tributación”, deberá entenderse referida a aquellos países, dominios, jurisdicciones, territorios, estados asociados o regímenes tributarios especiales que establezcan una tributación máxima a la renta empresaria inferior al sesenta por ciento (60%) de la alícuota contemplada en el inciso a) del artículo 73 de dicha ley.</w:t>
      </w:r>
    </w:p>
    <w:p w14:paraId="0364576D" w14:textId="77777777" w:rsidR="00122AA9" w:rsidRPr="00122AA9" w:rsidRDefault="00122AA9" w:rsidP="00122AA9">
      <w:pPr>
        <w:jc w:val="both"/>
        <w:rPr>
          <w:rFonts w:eastAsia="Calibri"/>
          <w:sz w:val="20"/>
          <w:lang w:val="es-AR"/>
        </w:rPr>
      </w:pPr>
    </w:p>
    <w:p w14:paraId="3B7AA460" w14:textId="77777777" w:rsidR="00122AA9" w:rsidRPr="00122AA9" w:rsidRDefault="00122AA9" w:rsidP="00122AA9">
      <w:pPr>
        <w:jc w:val="both"/>
        <w:rPr>
          <w:rFonts w:eastAsia="Calibri"/>
          <w:sz w:val="20"/>
          <w:lang w:val="es-AR"/>
        </w:rPr>
      </w:pPr>
      <w:r w:rsidRPr="00122AA9">
        <w:rPr>
          <w:rFonts w:eastAsia="Calibri"/>
          <w:sz w:val="20"/>
          <w:lang w:val="es-AR"/>
        </w:rPr>
        <w:t xml:space="preserve">Conforme la presunción legal prevista por el artículo 18.1 de la Ley Nº 11.683 y sus modificaciones, los fondos provenientes de </w:t>
      </w:r>
      <w:r w:rsidRPr="00122AA9">
        <w:rPr>
          <w:rFonts w:eastAsia="Calibri"/>
          <w:sz w:val="20"/>
          <w:szCs w:val="20"/>
          <w:lang w:val="es-AR"/>
        </w:rPr>
        <w:t>jurisdicciones</w:t>
      </w:r>
      <w:r w:rsidRPr="00122AA9">
        <w:rPr>
          <w:rFonts w:eastAsia="Calibri"/>
          <w:sz w:val="20"/>
          <w:lang w:val="es-AR"/>
        </w:rPr>
        <w:t xml:space="preserve"> baja o nula tributación serán gravados de la siguiente manera: </w:t>
      </w:r>
    </w:p>
    <w:p w14:paraId="6B00BE0E" w14:textId="77777777" w:rsidR="00122AA9" w:rsidRPr="00122AA9" w:rsidRDefault="00122AA9" w:rsidP="00122AA9">
      <w:pPr>
        <w:jc w:val="both"/>
        <w:rPr>
          <w:rFonts w:eastAsia="Calibri"/>
          <w:sz w:val="20"/>
          <w:lang w:val="es-AR"/>
        </w:rPr>
      </w:pPr>
    </w:p>
    <w:p w14:paraId="16880E5B" w14:textId="77777777" w:rsidR="00122AA9" w:rsidRPr="00122AA9" w:rsidRDefault="00122AA9" w:rsidP="00122AA9">
      <w:pPr>
        <w:numPr>
          <w:ilvl w:val="0"/>
          <w:numId w:val="18"/>
        </w:numPr>
        <w:jc w:val="both"/>
        <w:rPr>
          <w:sz w:val="20"/>
          <w:szCs w:val="20"/>
          <w:lang w:val="es-AR"/>
        </w:rPr>
      </w:pPr>
      <w:r w:rsidRPr="00122AA9">
        <w:rPr>
          <w:sz w:val="20"/>
          <w:szCs w:val="20"/>
          <w:lang w:val="es-AR"/>
        </w:rPr>
        <w:t>Con el impuesto a las ganancias, a una tasa del 30%, aplicada sobre el 110% del monto de los fondos transferidos.</w:t>
      </w:r>
    </w:p>
    <w:p w14:paraId="7C9B88DB" w14:textId="77777777" w:rsidR="00122AA9" w:rsidRPr="00122AA9" w:rsidRDefault="00122AA9" w:rsidP="00122AA9">
      <w:pPr>
        <w:jc w:val="both"/>
        <w:rPr>
          <w:rFonts w:eastAsia="Calibri"/>
          <w:sz w:val="20"/>
          <w:szCs w:val="20"/>
          <w:lang w:val="es-AR"/>
        </w:rPr>
      </w:pPr>
    </w:p>
    <w:p w14:paraId="75DE248E" w14:textId="77777777" w:rsidR="00122AA9" w:rsidRPr="00122AA9" w:rsidRDefault="00122AA9" w:rsidP="00122AA9">
      <w:pPr>
        <w:numPr>
          <w:ilvl w:val="0"/>
          <w:numId w:val="18"/>
        </w:numPr>
        <w:jc w:val="both"/>
        <w:rPr>
          <w:sz w:val="20"/>
          <w:szCs w:val="20"/>
          <w:lang w:val="es-AR"/>
        </w:rPr>
      </w:pPr>
      <w:r w:rsidRPr="00122AA9">
        <w:rPr>
          <w:sz w:val="20"/>
          <w:szCs w:val="20"/>
          <w:lang w:val="es-AR"/>
        </w:rPr>
        <w:t>Con el impuesto al valor agregado, a una tasa del 21%, aplicada sobre valor estimado de las operaciones gravadas omitidas (se utilizará el 110% del monto de los fondos recibidos como base para su cálculo).</w:t>
      </w:r>
    </w:p>
    <w:p w14:paraId="662D441C" w14:textId="77777777" w:rsidR="00122AA9" w:rsidRPr="00122AA9" w:rsidRDefault="00122AA9" w:rsidP="00122AA9">
      <w:pPr>
        <w:jc w:val="both"/>
        <w:rPr>
          <w:rFonts w:eastAsia="Calibri"/>
          <w:sz w:val="20"/>
          <w:lang w:val="es-AR"/>
        </w:rPr>
      </w:pPr>
    </w:p>
    <w:p w14:paraId="719ACEFE" w14:textId="77777777" w:rsidR="00122AA9" w:rsidRPr="00122AA9" w:rsidRDefault="00122AA9" w:rsidP="00122AA9">
      <w:pPr>
        <w:jc w:val="both"/>
        <w:rPr>
          <w:rFonts w:eastAsia="Calibri"/>
          <w:sz w:val="20"/>
          <w:lang w:val="es-AR"/>
        </w:rPr>
      </w:pPr>
      <w:r w:rsidRPr="00122AA9">
        <w:rPr>
          <w:rFonts w:eastAsia="Calibri"/>
          <w:sz w:val="20"/>
          <w:lang w:val="es-AR"/>
        </w:rPr>
        <w:t xml:space="preserve">Aunque el significado del concepto ingresos provenientes no está claro, podría interpretarse como cualquier transferencia de fondos: </w:t>
      </w:r>
    </w:p>
    <w:p w14:paraId="5B03EAE5" w14:textId="77777777" w:rsidR="00122AA9" w:rsidRPr="00122AA9" w:rsidRDefault="00122AA9" w:rsidP="00122AA9">
      <w:pPr>
        <w:jc w:val="both"/>
        <w:rPr>
          <w:rFonts w:eastAsia="Calibri"/>
          <w:sz w:val="20"/>
          <w:lang w:val="es-AR"/>
        </w:rPr>
      </w:pPr>
    </w:p>
    <w:p w14:paraId="40574083" w14:textId="77777777" w:rsidR="00122AA9" w:rsidRPr="00122AA9" w:rsidRDefault="00122AA9" w:rsidP="00122AA9">
      <w:pPr>
        <w:numPr>
          <w:ilvl w:val="0"/>
          <w:numId w:val="49"/>
        </w:numPr>
        <w:jc w:val="both"/>
        <w:rPr>
          <w:sz w:val="20"/>
          <w:szCs w:val="20"/>
          <w:lang w:val="es-AR"/>
        </w:rPr>
      </w:pPr>
      <w:r w:rsidRPr="00122AA9">
        <w:rPr>
          <w:sz w:val="20"/>
          <w:szCs w:val="20"/>
          <w:lang w:val="es-AR"/>
        </w:rPr>
        <w:t>Desde una cuenta en un país no cooperador o desde una cuenta bancaria abierta fuera de un país no cooperador pero cuyo titular sea una entidad localizada en un país no cooperador.</w:t>
      </w:r>
    </w:p>
    <w:p w14:paraId="6E52BBF3" w14:textId="77777777" w:rsidR="00122AA9" w:rsidRPr="00122AA9" w:rsidRDefault="00122AA9" w:rsidP="00122AA9">
      <w:pPr>
        <w:jc w:val="both"/>
        <w:rPr>
          <w:rFonts w:eastAsia="Calibri"/>
          <w:sz w:val="20"/>
          <w:szCs w:val="20"/>
          <w:lang w:val="es-AR"/>
        </w:rPr>
      </w:pPr>
    </w:p>
    <w:p w14:paraId="77015BB9" w14:textId="77777777" w:rsidR="00122AA9" w:rsidRPr="00122AA9" w:rsidRDefault="00122AA9" w:rsidP="00122AA9">
      <w:pPr>
        <w:numPr>
          <w:ilvl w:val="0"/>
          <w:numId w:val="49"/>
        </w:numPr>
        <w:jc w:val="both"/>
        <w:rPr>
          <w:sz w:val="20"/>
          <w:szCs w:val="20"/>
          <w:lang w:val="es-AR"/>
        </w:rPr>
      </w:pPr>
      <w:r w:rsidRPr="00122AA9">
        <w:rPr>
          <w:sz w:val="20"/>
          <w:szCs w:val="20"/>
          <w:lang w:val="es-AR"/>
        </w:rPr>
        <w:t>A una cuenta bancaria localizada en Argentina o una cuenta bancaria abierta fuera de Argentina, pero cuyo titular sea un sujeto residente en Argentina para los efectos fiscales.</w:t>
      </w:r>
    </w:p>
    <w:p w14:paraId="0A28D18E" w14:textId="77777777" w:rsidR="00122AA9" w:rsidRPr="00122AA9" w:rsidRDefault="00122AA9" w:rsidP="00122AA9">
      <w:pPr>
        <w:jc w:val="both"/>
        <w:rPr>
          <w:rFonts w:eastAsia="Calibri"/>
          <w:sz w:val="20"/>
          <w:lang w:val="es-AR"/>
        </w:rPr>
      </w:pPr>
    </w:p>
    <w:p w14:paraId="5AFBE61D" w14:textId="77777777" w:rsidR="00122AA9" w:rsidRPr="00122AA9" w:rsidRDefault="00122AA9" w:rsidP="00122AA9">
      <w:pPr>
        <w:jc w:val="both"/>
        <w:rPr>
          <w:rFonts w:eastAsia="Calibri"/>
          <w:sz w:val="20"/>
          <w:szCs w:val="20"/>
          <w:lang w:val="es-AR"/>
        </w:rPr>
      </w:pPr>
      <w:r w:rsidRPr="00122AA9">
        <w:rPr>
          <w:rFonts w:eastAsia="Calibri"/>
          <w:sz w:val="20"/>
          <w:szCs w:val="20"/>
          <w:lang w:val="es-AR"/>
        </w:rPr>
        <w:t>El sujeto local o receptor local de los fondos puede refutar dicha presunción legal probando debidamente ante la Autoridad Impositiva que los fondos provienen de actividades efectivamente realizadas por el contribuyente argentino o por una tercera persona en dicha jurisdicción o que dichos fondos fueron declarados con anterioridad.</w:t>
      </w:r>
    </w:p>
    <w:p w14:paraId="0CB7C2DA" w14:textId="77777777" w:rsidR="00122AA9" w:rsidRPr="00122AA9" w:rsidRDefault="00122AA9" w:rsidP="00122AA9">
      <w:pPr>
        <w:ind w:right="51"/>
        <w:jc w:val="both"/>
        <w:rPr>
          <w:rFonts w:eastAsia="Calibri"/>
          <w:i/>
          <w:sz w:val="20"/>
          <w:lang w:val="es-AR"/>
        </w:rPr>
      </w:pPr>
    </w:p>
    <w:p w14:paraId="00BAD049" w14:textId="77777777" w:rsidR="00122AA9" w:rsidRPr="00122AA9" w:rsidRDefault="00122AA9" w:rsidP="00122AA9">
      <w:pPr>
        <w:ind w:right="51"/>
        <w:jc w:val="both"/>
        <w:rPr>
          <w:rFonts w:eastAsia="Calibri"/>
          <w:b/>
          <w:i/>
          <w:sz w:val="20"/>
          <w:lang w:val="es-AR"/>
        </w:rPr>
      </w:pPr>
      <w:r w:rsidRPr="00122AA9">
        <w:rPr>
          <w:rFonts w:eastAsia="Calibri"/>
          <w:b/>
          <w:i/>
          <w:sz w:val="20"/>
          <w:lang w:val="es-AR"/>
        </w:rPr>
        <w:t>Convenios para evitar la doble imposición internacional</w:t>
      </w:r>
    </w:p>
    <w:p w14:paraId="19D51EA5" w14:textId="77777777" w:rsidR="00122AA9" w:rsidRPr="00122AA9" w:rsidRDefault="00122AA9" w:rsidP="00122AA9">
      <w:pPr>
        <w:ind w:right="51"/>
        <w:jc w:val="both"/>
        <w:rPr>
          <w:rFonts w:eastAsia="Calibri"/>
          <w:sz w:val="20"/>
          <w:lang w:val="es-AR"/>
        </w:rPr>
      </w:pPr>
    </w:p>
    <w:p w14:paraId="2005542B" w14:textId="77777777" w:rsidR="00122AA9" w:rsidRPr="00122AA9" w:rsidRDefault="00122AA9" w:rsidP="00122AA9">
      <w:pPr>
        <w:ind w:right="51"/>
        <w:jc w:val="both"/>
        <w:rPr>
          <w:rFonts w:eastAsia="Calibri"/>
          <w:sz w:val="20"/>
          <w:szCs w:val="20"/>
          <w:lang w:val="es-MX"/>
        </w:rPr>
      </w:pPr>
      <w:r w:rsidRPr="00122AA9">
        <w:rPr>
          <w:rFonts w:eastAsia="Calibri"/>
          <w:sz w:val="20"/>
          <w:lang w:val="es-MX"/>
        </w:rPr>
        <w:t xml:space="preserve">Argentina ha celebrado convenios para evitar la doble imposición con varios países (Alemania, Australia, Austria, Bélgica, Bolivia, Brasil, Canadá, Chile, China, Dinamarca, Emiratos Árabes Unidos, España, Finlandia, Francia, Italia, Japón, Luxemburgo, México, Noruega, Países Bajos, Qatar, Reino Unido, Rusia, Suecia, Suiza y </w:t>
      </w:r>
      <w:r w:rsidRPr="00122AA9">
        <w:rPr>
          <w:rFonts w:eastAsia="Calibri"/>
          <w:sz w:val="20"/>
          <w:szCs w:val="20"/>
          <w:lang w:val="es-MX"/>
        </w:rPr>
        <w:t>Uruguay</w:t>
      </w:r>
      <w:r w:rsidRPr="00122AA9">
        <w:rPr>
          <w:rFonts w:eastAsia="Calibri"/>
          <w:sz w:val="20"/>
          <w:lang w:val="es-MX"/>
        </w:rPr>
        <w:t xml:space="preserve">). Los convenios firmados con Austria, China, </w:t>
      </w:r>
      <w:r w:rsidRPr="00122AA9">
        <w:rPr>
          <w:rFonts w:eastAsia="Calibri"/>
          <w:sz w:val="20"/>
          <w:szCs w:val="20"/>
          <w:lang w:val="es-MX"/>
        </w:rPr>
        <w:t xml:space="preserve">Japón, </w:t>
      </w:r>
      <w:r w:rsidRPr="00122AA9">
        <w:rPr>
          <w:rFonts w:eastAsia="Calibri"/>
          <w:sz w:val="20"/>
          <w:lang w:val="es-MX"/>
        </w:rPr>
        <w:t>Luxemburgo, Qatar y Turquía no han entrado en vigor por estar aún pendiente el cumplimiento de los requisitos previstos en las respectivas legislaciones internas.</w:t>
      </w:r>
    </w:p>
    <w:p w14:paraId="077ACBC1" w14:textId="77777777" w:rsidR="00122AA9" w:rsidRPr="00122AA9" w:rsidRDefault="00122AA9" w:rsidP="00122AA9">
      <w:pPr>
        <w:ind w:right="51"/>
        <w:jc w:val="both"/>
        <w:rPr>
          <w:rFonts w:eastAsia="Calibri"/>
          <w:sz w:val="20"/>
          <w:lang w:val="es-AR"/>
        </w:rPr>
      </w:pPr>
    </w:p>
    <w:p w14:paraId="0CE769F2" w14:textId="77777777" w:rsidR="00122AA9" w:rsidRPr="00122AA9" w:rsidRDefault="00122AA9" w:rsidP="00122AA9">
      <w:pPr>
        <w:ind w:right="51"/>
        <w:jc w:val="both"/>
        <w:rPr>
          <w:rFonts w:eastAsia="Calibri"/>
          <w:b/>
          <w:i/>
          <w:sz w:val="20"/>
          <w:lang w:val="es-AR"/>
        </w:rPr>
      </w:pPr>
      <w:r w:rsidRPr="00122AA9">
        <w:rPr>
          <w:rFonts w:eastAsia="Calibri"/>
          <w:b/>
          <w:i/>
          <w:sz w:val="20"/>
          <w:lang w:val="es-AR"/>
        </w:rPr>
        <w:t>Cooperación en materia tributaria entre la República Argentina y otros países. Resolución General 631/2014 de la CNV</w:t>
      </w:r>
    </w:p>
    <w:p w14:paraId="24D814F0" w14:textId="77777777" w:rsidR="00122AA9" w:rsidRPr="00122AA9" w:rsidRDefault="00122AA9" w:rsidP="00122AA9">
      <w:pPr>
        <w:ind w:right="51"/>
        <w:jc w:val="both"/>
        <w:rPr>
          <w:rFonts w:eastAsia="Calibri"/>
          <w:i/>
          <w:sz w:val="20"/>
          <w:lang w:val="es-AR"/>
        </w:rPr>
      </w:pPr>
    </w:p>
    <w:p w14:paraId="10A7F6DF" w14:textId="6802949B" w:rsidR="00122AA9" w:rsidRPr="00122AA9" w:rsidRDefault="00122AA9" w:rsidP="00122AA9">
      <w:pPr>
        <w:jc w:val="both"/>
        <w:rPr>
          <w:rFonts w:eastAsia="Calibri"/>
          <w:spacing w:val="-5"/>
          <w:sz w:val="20"/>
          <w:lang w:val="es-MX"/>
        </w:rPr>
      </w:pPr>
      <w:r w:rsidRPr="00122AA9">
        <w:rPr>
          <w:rFonts w:eastAsia="Calibri"/>
          <w:spacing w:val="-5"/>
          <w:sz w:val="20"/>
          <w:lang w:val="es-AR"/>
        </w:rPr>
        <w:t>En el marco del compromiso que ha asumido la República Argentina a través de la suscripción de la “Declaración sobre intercambio Automático de Información en Asuntos Fiscales” para implementar tempranamente el nuevo estándar referido al intercambio de información de cuentas financieras desarrollado por la OCDE, adoptada en la Reunión Ministerial de esa Organización de fecha 6 de mayo de 2014 y las disposiciones vinculadas a la Ley de Cumplimiento Fiscal de Cuentas Extranjeras (“</w:t>
      </w:r>
      <w:r w:rsidRPr="00122AA9">
        <w:rPr>
          <w:rFonts w:eastAsia="Calibri"/>
          <w:i/>
          <w:spacing w:val="-5"/>
          <w:sz w:val="20"/>
          <w:lang w:val="es-AR"/>
        </w:rPr>
        <w:t>Foreign Account Tax Compliance Act</w:t>
      </w:r>
      <w:r w:rsidRPr="00122AA9">
        <w:rPr>
          <w:rFonts w:eastAsia="Calibri"/>
          <w:spacing w:val="-5"/>
          <w:sz w:val="20"/>
          <w:lang w:val="es-AR"/>
        </w:rPr>
        <w:t xml:space="preserve">” FATCA) de los Estados Unidos de América, la Comisión Nacional de Valores, mediante Resolución General 631/2014 del 18/09/2014, ha dispuesto que los agentes registrados deberán arbitrar las medidas necesarias para identificar los titulares de cuentas alcanzados por dicho estándar (no residentes). A esos efectos, los legajos de tales clientes en poder de los agentes registrados deberán incluir en el caso de personas </w:t>
      </w:r>
      <w:r w:rsidR="00450196">
        <w:rPr>
          <w:rFonts w:eastAsia="Calibri"/>
          <w:spacing w:val="-5"/>
          <w:sz w:val="20"/>
          <w:lang w:val="es-AR"/>
        </w:rPr>
        <w:t>humanas</w:t>
      </w:r>
      <w:r w:rsidR="00450196" w:rsidRPr="00122AA9">
        <w:rPr>
          <w:rFonts w:eastAsia="Calibri"/>
          <w:spacing w:val="-5"/>
          <w:sz w:val="20"/>
          <w:lang w:val="es-AR"/>
        </w:rPr>
        <w:t xml:space="preserve"> </w:t>
      </w:r>
      <w:r w:rsidRPr="00122AA9">
        <w:rPr>
          <w:rFonts w:eastAsia="Calibri"/>
          <w:spacing w:val="-5"/>
          <w:sz w:val="20"/>
          <w:lang w:val="es-AR"/>
        </w:rPr>
        <w:t>la información sobre nacionalidad, país de residencia fiscal y número de identificación fiscal en ese país, domicilio y lugar y fecha de nacimiento. En el caso de las personas jurídicas y otros entes, la información deberá comprender país de residencia fiscal, número de identificación fiscal en ese país y domicilio.</w:t>
      </w:r>
    </w:p>
    <w:p w14:paraId="16B68345" w14:textId="77777777" w:rsidR="00122AA9" w:rsidRPr="00122AA9" w:rsidRDefault="00122AA9" w:rsidP="00122AA9">
      <w:pPr>
        <w:jc w:val="both"/>
        <w:rPr>
          <w:rFonts w:eastAsia="Calibri"/>
          <w:spacing w:val="-5"/>
          <w:sz w:val="20"/>
          <w:lang w:val="es-AR"/>
        </w:rPr>
      </w:pPr>
    </w:p>
    <w:p w14:paraId="72D6BD60" w14:textId="77777777" w:rsidR="00122AA9" w:rsidRPr="00122AA9" w:rsidRDefault="00122AA9" w:rsidP="00122AA9">
      <w:pPr>
        <w:spacing w:line="276" w:lineRule="auto"/>
        <w:jc w:val="both"/>
        <w:rPr>
          <w:rFonts w:eastAsia="Calibri"/>
          <w:spacing w:val="-5"/>
          <w:sz w:val="20"/>
          <w:lang w:val="es-AR"/>
        </w:rPr>
      </w:pPr>
      <w:r w:rsidRPr="00122AA9">
        <w:rPr>
          <w:rFonts w:eastAsia="Calibri"/>
          <w:spacing w:val="-5"/>
          <w:sz w:val="20"/>
          <w:lang w:val="es-AR"/>
        </w:rPr>
        <w:t>La información debe ser presentada ante la AFIP en los términos indicados, de acuerdo con el régimen que esa Administración ha establecido por la RG 4056/2017.</w:t>
      </w:r>
    </w:p>
    <w:p w14:paraId="332C0320" w14:textId="77777777" w:rsidR="00122AA9" w:rsidRPr="00122AA9" w:rsidRDefault="00122AA9" w:rsidP="00122AA9">
      <w:pPr>
        <w:widowControl w:val="0"/>
        <w:jc w:val="both"/>
        <w:rPr>
          <w:bCs/>
          <w:sz w:val="20"/>
          <w:szCs w:val="20"/>
          <w:lang w:val="es-AR"/>
        </w:rPr>
      </w:pPr>
    </w:p>
    <w:p w14:paraId="7563CE93" w14:textId="77D37A32" w:rsidR="00122AA9" w:rsidRPr="00F0775A" w:rsidRDefault="00122AA9" w:rsidP="00F0775A">
      <w:pPr>
        <w:widowControl w:val="0"/>
        <w:jc w:val="both"/>
        <w:rPr>
          <w:bCs/>
          <w:sz w:val="20"/>
          <w:szCs w:val="20"/>
          <w:lang w:val="es-AR"/>
        </w:rPr>
      </w:pPr>
      <w:r w:rsidRPr="00122AA9">
        <w:rPr>
          <w:bCs/>
          <w:i/>
          <w:sz w:val="20"/>
          <w:szCs w:val="20"/>
          <w:lang w:val="es-AR"/>
        </w:rPr>
        <w:t>El resumen precedente no constituye un análisis completo de todas las consecuencias impositivas relacionadas con la titularidad de las Obligaciones Negociables. los tenedores y los posibles compradores de Obligaciones Negociables deben consultar a sus asesores impositivos acerca de las consecuencias impositivas en su situación particular.</w:t>
      </w:r>
    </w:p>
    <w:p w14:paraId="77C43B51" w14:textId="77777777" w:rsidR="00684BA3" w:rsidRPr="007213A1" w:rsidRDefault="00684BA3" w:rsidP="00684BA3">
      <w:pPr>
        <w:widowControl w:val="0"/>
        <w:suppressLineNumbers/>
        <w:suppressAutoHyphens/>
        <w:jc w:val="both"/>
        <w:rPr>
          <w:b/>
          <w:bCs/>
          <w:iCs/>
          <w:sz w:val="20"/>
          <w:szCs w:val="20"/>
          <w:lang w:val="es-AR" w:eastAsia="es-ES"/>
        </w:rPr>
      </w:pPr>
    </w:p>
    <w:p w14:paraId="3E249D58" w14:textId="77777777" w:rsidR="00684BA3" w:rsidRPr="007213A1" w:rsidRDefault="00684BA3" w:rsidP="00684BA3">
      <w:pPr>
        <w:widowControl w:val="0"/>
        <w:suppressLineNumbers/>
        <w:suppressAutoHyphens/>
        <w:jc w:val="both"/>
        <w:rPr>
          <w:b/>
          <w:bCs/>
          <w:iCs/>
          <w:sz w:val="20"/>
          <w:szCs w:val="20"/>
          <w:lang w:val="es-AR" w:eastAsia="es-ES"/>
        </w:rPr>
      </w:pPr>
      <w:r w:rsidRPr="007213A1">
        <w:rPr>
          <w:b/>
          <w:bCs/>
          <w:iCs/>
          <w:sz w:val="20"/>
          <w:szCs w:val="20"/>
          <w:lang w:val="es-AR" w:eastAsia="es-ES"/>
        </w:rPr>
        <w:t>f) Documentos a disposición</w:t>
      </w:r>
    </w:p>
    <w:p w14:paraId="1DB509D2" w14:textId="77777777" w:rsidR="00684BA3" w:rsidRPr="007213A1" w:rsidRDefault="00684BA3" w:rsidP="00684BA3">
      <w:pPr>
        <w:widowControl w:val="0"/>
        <w:suppressLineNumbers/>
        <w:suppressAutoHyphens/>
        <w:jc w:val="both"/>
        <w:rPr>
          <w:b/>
          <w:bCs/>
          <w:iCs/>
          <w:sz w:val="20"/>
          <w:szCs w:val="20"/>
          <w:lang w:val="es-AR" w:eastAsia="es-ES"/>
        </w:rPr>
      </w:pPr>
    </w:p>
    <w:p w14:paraId="45467064" w14:textId="6A0ADEE1" w:rsidR="00684BA3" w:rsidRPr="007213A1" w:rsidRDefault="00684BA3" w:rsidP="00684BA3">
      <w:pPr>
        <w:widowControl w:val="0"/>
        <w:ind w:right="6"/>
        <w:jc w:val="both"/>
        <w:rPr>
          <w:sz w:val="20"/>
          <w:szCs w:val="20"/>
          <w:u w:val="single"/>
          <w:lang w:val="es-AR"/>
        </w:rPr>
      </w:pPr>
      <w:r w:rsidRPr="007213A1">
        <w:rPr>
          <w:sz w:val="20"/>
          <w:szCs w:val="20"/>
          <w:lang w:val="es-AR"/>
        </w:rPr>
        <w:t>Los documentos estarán a disposición en la sede social de la Emisora sita en</w:t>
      </w:r>
      <w:r w:rsidR="00B21DB1">
        <w:rPr>
          <w:sz w:val="20"/>
          <w:szCs w:val="20"/>
          <w:lang w:val="es-AR"/>
        </w:rPr>
        <w:t xml:space="preserve"> </w:t>
      </w:r>
      <w:r w:rsidR="00B21DB1" w:rsidRPr="002470E7">
        <w:rPr>
          <w:color w:val="000000"/>
          <w:sz w:val="20"/>
          <w:szCs w:val="20"/>
          <w:lang w:val="es-AR"/>
        </w:rPr>
        <w:t>Comandante Luis Piedrabuena 4950, Ciudad de San Carlos de Bariloche, Río Negro</w:t>
      </w:r>
      <w:r w:rsidR="00E16540">
        <w:rPr>
          <w:color w:val="000000"/>
          <w:sz w:val="20"/>
          <w:szCs w:val="20"/>
          <w:lang w:val="es-AR"/>
        </w:rPr>
        <w:t xml:space="preserve"> </w:t>
      </w:r>
      <w:r w:rsidR="00B21DB1" w:rsidRPr="002470E7">
        <w:rPr>
          <w:color w:val="000000"/>
          <w:sz w:val="20"/>
          <w:szCs w:val="20"/>
          <w:lang w:val="es-AR"/>
        </w:rPr>
        <w:t xml:space="preserve">en Esmeralda 356, </w:t>
      </w:r>
      <w:r w:rsidR="00E16540">
        <w:rPr>
          <w:color w:val="000000"/>
          <w:sz w:val="20"/>
          <w:szCs w:val="20"/>
          <w:lang w:val="es-AR"/>
        </w:rPr>
        <w:t>P</w:t>
      </w:r>
      <w:r w:rsidR="00B21DB1" w:rsidRPr="002470E7">
        <w:rPr>
          <w:color w:val="000000"/>
          <w:sz w:val="20"/>
          <w:szCs w:val="20"/>
          <w:lang w:val="es-AR"/>
        </w:rPr>
        <w:t>iso 3°</w:t>
      </w:r>
      <w:r w:rsidR="00E16540">
        <w:rPr>
          <w:color w:val="000000"/>
          <w:sz w:val="20"/>
          <w:szCs w:val="20"/>
          <w:lang w:val="es-AR"/>
        </w:rPr>
        <w:t>,</w:t>
      </w:r>
      <w:r w:rsidR="00B21DB1" w:rsidRPr="002470E7">
        <w:rPr>
          <w:color w:val="000000"/>
          <w:sz w:val="20"/>
          <w:szCs w:val="20"/>
          <w:lang w:val="es-AR"/>
        </w:rPr>
        <w:t xml:space="preserve"> Ciudad Autónoma de Buenos Aires</w:t>
      </w:r>
      <w:r w:rsidRPr="007213A1">
        <w:rPr>
          <w:sz w:val="20"/>
          <w:szCs w:val="20"/>
          <w:lang w:val="es-AR"/>
        </w:rPr>
        <w:t>, República Argentina, en la Página Web de la CNV, bajo el ítem “</w:t>
      </w:r>
      <w:r w:rsidRPr="007213A1">
        <w:rPr>
          <w:i/>
          <w:sz w:val="20"/>
          <w:szCs w:val="20"/>
          <w:lang w:val="es-AR"/>
        </w:rPr>
        <w:t>Empresas – INVAP S.E.</w:t>
      </w:r>
      <w:r w:rsidRPr="007213A1">
        <w:rPr>
          <w:sz w:val="20"/>
          <w:szCs w:val="20"/>
          <w:lang w:val="es-AR"/>
        </w:rPr>
        <w:t xml:space="preserve">”, y en la </w:t>
      </w:r>
      <w:r w:rsidRPr="007213A1">
        <w:rPr>
          <w:bCs/>
          <w:sz w:val="20"/>
          <w:szCs w:val="20"/>
          <w:lang w:val="es-AR"/>
        </w:rPr>
        <w:t>Página Web de la Emisora</w:t>
      </w:r>
      <w:r w:rsidRPr="007213A1">
        <w:rPr>
          <w:sz w:val="20"/>
          <w:szCs w:val="20"/>
          <w:lang w:val="es-AR"/>
        </w:rPr>
        <w:t>.</w:t>
      </w:r>
    </w:p>
    <w:p w14:paraId="3A528186" w14:textId="77777777" w:rsidR="00684BA3" w:rsidRPr="007213A1" w:rsidRDefault="00684BA3" w:rsidP="00684BA3">
      <w:pPr>
        <w:jc w:val="both"/>
        <w:rPr>
          <w:b/>
          <w:sz w:val="20"/>
          <w:szCs w:val="20"/>
          <w:lang w:val="es-AR"/>
        </w:rPr>
      </w:pPr>
    </w:p>
    <w:p w14:paraId="0A3FB951" w14:textId="77777777" w:rsidR="00684BA3" w:rsidRPr="007213A1" w:rsidRDefault="00684BA3" w:rsidP="00684BA3">
      <w:pPr>
        <w:widowControl w:val="0"/>
        <w:tabs>
          <w:tab w:val="left" w:pos="380"/>
        </w:tabs>
        <w:jc w:val="both"/>
        <w:rPr>
          <w:sz w:val="20"/>
          <w:szCs w:val="20"/>
          <w:lang w:val="es-AR"/>
        </w:rPr>
      </w:pPr>
      <w:r w:rsidRPr="007213A1">
        <w:rPr>
          <w:sz w:val="20"/>
          <w:szCs w:val="20"/>
          <w:lang w:val="es-AR"/>
        </w:rPr>
        <w:t>Cualquiera de los informes precedentes incorporados al presente por referencia puede solicitarse, sin cargo, por escrito o por teléfono a la Emisora. Se considerará que cualquier declaración incluida en este Prospecto ha sido modificada o reemplazada por un documento incorporado por referencia al presente, en la medida en que una declaración incluida en dicho otro documento presentado posteriormente, modifique o reemplace dicha declaración. Se considerará que cualquier declaración modificada o reemplazada de ese modo no forma parte de este Prospecto, excepto que fuere así modificada o reemplazada.</w:t>
      </w:r>
    </w:p>
    <w:p w14:paraId="49B4FE6A" w14:textId="77777777" w:rsidR="00684BA3" w:rsidRPr="007213A1" w:rsidRDefault="00684BA3" w:rsidP="00684BA3">
      <w:pPr>
        <w:widowControl w:val="0"/>
        <w:tabs>
          <w:tab w:val="left" w:pos="380"/>
        </w:tabs>
        <w:jc w:val="both"/>
        <w:rPr>
          <w:sz w:val="20"/>
          <w:szCs w:val="20"/>
          <w:lang w:val="es-AR"/>
        </w:rPr>
      </w:pPr>
    </w:p>
    <w:p w14:paraId="3F9105DE" w14:textId="77777777" w:rsidR="00684BA3" w:rsidRPr="007213A1" w:rsidRDefault="00684BA3" w:rsidP="00684BA3">
      <w:pPr>
        <w:widowControl w:val="0"/>
        <w:jc w:val="both"/>
        <w:rPr>
          <w:sz w:val="20"/>
          <w:szCs w:val="20"/>
          <w:lang w:val="es-AR"/>
        </w:rPr>
      </w:pPr>
      <w:r w:rsidRPr="007213A1">
        <w:rPr>
          <w:sz w:val="20"/>
          <w:szCs w:val="20"/>
          <w:lang w:val="es-AR"/>
        </w:rPr>
        <w:t>La entrega del presente Prospecto o de cualquier Suplemento de Precio no implica que la información contenida en tales documentos con respecto a la Compañía sea correcta en cualquier momento posterior a la fecha de su publicación. Los negocios, la situación patrimonial, los resultados de operaciones, las perspectivas de la Compañía y/o cualquier otra información suministrada en el presente podrían cambiar desde esa fecha.</w:t>
      </w:r>
    </w:p>
    <w:p w14:paraId="399AFBED" w14:textId="77777777" w:rsidR="00684BA3" w:rsidRPr="00112B9F" w:rsidRDefault="00684BA3" w:rsidP="00684BA3">
      <w:pPr>
        <w:rPr>
          <w:sz w:val="20"/>
          <w:szCs w:val="20"/>
          <w:lang w:val="es-AR"/>
        </w:rPr>
      </w:pPr>
    </w:p>
    <w:p w14:paraId="09BF8A9E" w14:textId="77777777" w:rsidR="00684BA3" w:rsidRPr="007213A1" w:rsidRDefault="00684BA3" w:rsidP="00684BA3">
      <w:pPr>
        <w:rPr>
          <w:bCs/>
          <w:color w:val="000000"/>
          <w:sz w:val="20"/>
          <w:szCs w:val="20"/>
          <w:lang w:val="es-AR"/>
        </w:rPr>
      </w:pPr>
      <w:r w:rsidRPr="007213A1">
        <w:rPr>
          <w:bCs/>
          <w:color w:val="000000"/>
          <w:sz w:val="20"/>
          <w:szCs w:val="20"/>
          <w:lang w:val="es-AR"/>
        </w:rPr>
        <w:br w:type="page"/>
      </w:r>
    </w:p>
    <w:p w14:paraId="143588DF" w14:textId="7A18E360" w:rsidR="00684BA3" w:rsidRPr="007213A1" w:rsidRDefault="00684BA3" w:rsidP="00684BA3">
      <w:pPr>
        <w:jc w:val="center"/>
        <w:rPr>
          <w:b/>
          <w:color w:val="000000"/>
          <w:sz w:val="20"/>
          <w:szCs w:val="20"/>
          <w:lang w:val="es-AR"/>
        </w:rPr>
      </w:pPr>
      <w:r w:rsidRPr="007213A1">
        <w:rPr>
          <w:b/>
          <w:color w:val="000000"/>
          <w:sz w:val="20"/>
          <w:szCs w:val="20"/>
          <w:lang w:val="es-AR"/>
        </w:rPr>
        <w:t>XI</w:t>
      </w:r>
      <w:r w:rsidR="00A227AF">
        <w:rPr>
          <w:b/>
          <w:color w:val="000000"/>
          <w:sz w:val="20"/>
          <w:szCs w:val="20"/>
          <w:lang w:val="es-AR"/>
        </w:rPr>
        <w:t>.</w:t>
      </w:r>
      <w:r w:rsidRPr="007213A1">
        <w:rPr>
          <w:b/>
          <w:color w:val="000000"/>
          <w:sz w:val="20"/>
          <w:szCs w:val="20"/>
          <w:lang w:val="es-AR"/>
        </w:rPr>
        <w:tab/>
        <w:t>INCORPORACIÓN DE INFORMACIÓN POR REFERENCIA</w:t>
      </w:r>
    </w:p>
    <w:p w14:paraId="64D092B3" w14:textId="77777777" w:rsidR="00684BA3" w:rsidRPr="007213A1" w:rsidRDefault="00684BA3" w:rsidP="00684BA3">
      <w:pPr>
        <w:jc w:val="center"/>
        <w:rPr>
          <w:b/>
          <w:color w:val="000000"/>
          <w:sz w:val="20"/>
          <w:szCs w:val="20"/>
          <w:lang w:val="es-AR"/>
        </w:rPr>
      </w:pPr>
    </w:p>
    <w:p w14:paraId="3098C601" w14:textId="549B0668" w:rsidR="00684BA3" w:rsidRPr="007213A1" w:rsidRDefault="00684BA3" w:rsidP="00684BA3">
      <w:pPr>
        <w:jc w:val="both"/>
        <w:rPr>
          <w:bCs/>
          <w:color w:val="000000"/>
          <w:sz w:val="20"/>
          <w:szCs w:val="20"/>
          <w:lang w:val="es-AR"/>
        </w:rPr>
      </w:pPr>
      <w:r w:rsidRPr="007213A1">
        <w:rPr>
          <w:bCs/>
          <w:color w:val="000000"/>
          <w:sz w:val="20"/>
          <w:szCs w:val="20"/>
          <w:lang w:val="es-AR"/>
        </w:rPr>
        <w:t xml:space="preserve">De conformidad con lo establecido por el artículo 78 se la Sección VIII del Capítulo V del Título II de las Normas de la CNV, la Emisora informa que se incorporan por referencia los siguientes documentos: 1- Estados Contables anuales correspondientes al ejercicio finalizado el 30 de junio de 2019, que figuran en AIF bajo el ID </w:t>
      </w:r>
      <w:r w:rsidR="00B21DB1">
        <w:rPr>
          <w:bCs/>
          <w:color w:val="000000"/>
          <w:sz w:val="20"/>
          <w:szCs w:val="20"/>
          <w:lang w:val="es-AR"/>
        </w:rPr>
        <w:t>2523137</w:t>
      </w:r>
      <w:r w:rsidR="00B21DB1" w:rsidRPr="007213A1">
        <w:rPr>
          <w:bCs/>
          <w:color w:val="000000"/>
          <w:sz w:val="20"/>
          <w:szCs w:val="20"/>
          <w:lang w:val="es-AR"/>
        </w:rPr>
        <w:t xml:space="preserve">; </w:t>
      </w:r>
      <w:r w:rsidRPr="007213A1">
        <w:rPr>
          <w:bCs/>
          <w:color w:val="000000"/>
          <w:sz w:val="20"/>
          <w:szCs w:val="20"/>
          <w:lang w:val="es-AR"/>
        </w:rPr>
        <w:t xml:space="preserve">2- Estados Contables anuales correspondientes al ejercicio finalizado el 30 de junio de 2018, que figuran en AIF bajo el ID </w:t>
      </w:r>
      <w:r w:rsidR="00B21DB1">
        <w:rPr>
          <w:bCs/>
          <w:color w:val="000000"/>
          <w:sz w:val="20"/>
          <w:szCs w:val="20"/>
          <w:lang w:val="es-AR"/>
        </w:rPr>
        <w:t>587597</w:t>
      </w:r>
      <w:r w:rsidR="00B21DB1" w:rsidRPr="007213A1">
        <w:rPr>
          <w:bCs/>
          <w:color w:val="000000"/>
          <w:sz w:val="20"/>
          <w:szCs w:val="20"/>
          <w:lang w:val="es-AR"/>
        </w:rPr>
        <w:t>;</w:t>
      </w:r>
      <w:r w:rsidRPr="007213A1">
        <w:rPr>
          <w:bCs/>
          <w:color w:val="000000"/>
          <w:sz w:val="20"/>
          <w:szCs w:val="20"/>
          <w:lang w:val="es-AR"/>
        </w:rPr>
        <w:t xml:space="preserve"> 3- Estados Contables anuales correspondientes al ejercicio finalizado el 30 de junio de 2017, que figuran en AIF bajo el ID </w:t>
      </w:r>
      <w:r w:rsidR="00B21DB1">
        <w:rPr>
          <w:bCs/>
          <w:color w:val="000000"/>
          <w:sz w:val="20"/>
          <w:szCs w:val="20"/>
          <w:lang w:val="es-AR"/>
        </w:rPr>
        <w:t>521689</w:t>
      </w:r>
      <w:r w:rsidR="008F16FC">
        <w:rPr>
          <w:bCs/>
          <w:color w:val="000000"/>
          <w:sz w:val="20"/>
          <w:szCs w:val="20"/>
          <w:lang w:val="es-AR"/>
        </w:rPr>
        <w:t xml:space="preserve">; y 4- Estados Contables intermedios correspondientes al período finalizado el 30 de septiembre de 2019, que figuran en AIF bajo el ID </w:t>
      </w:r>
      <w:r w:rsidR="007626BC">
        <w:rPr>
          <w:bCs/>
          <w:color w:val="000000"/>
          <w:sz w:val="20"/>
          <w:szCs w:val="20"/>
          <w:lang w:val="es-AR"/>
        </w:rPr>
        <w:t>2544403</w:t>
      </w:r>
      <w:r w:rsidR="00B21DB1" w:rsidRPr="007213A1">
        <w:rPr>
          <w:bCs/>
          <w:color w:val="000000"/>
          <w:sz w:val="20"/>
          <w:szCs w:val="20"/>
          <w:lang w:val="es-AR"/>
        </w:rPr>
        <w:t>.</w:t>
      </w:r>
    </w:p>
    <w:p w14:paraId="6FF0DA32" w14:textId="77777777" w:rsidR="00684BA3" w:rsidRPr="007213A1" w:rsidRDefault="00684BA3">
      <w:pPr>
        <w:rPr>
          <w:b/>
          <w:bCs/>
          <w:iCs/>
          <w:sz w:val="20"/>
          <w:szCs w:val="20"/>
          <w:lang w:val="es-AR" w:eastAsia="es-ES"/>
        </w:rPr>
      </w:pPr>
      <w:r w:rsidRPr="007213A1">
        <w:rPr>
          <w:b/>
          <w:bCs/>
          <w:iCs/>
          <w:sz w:val="20"/>
          <w:szCs w:val="20"/>
          <w:lang w:val="es-AR" w:eastAsia="es-ES"/>
        </w:rPr>
        <w:br w:type="page"/>
      </w:r>
    </w:p>
    <w:tbl>
      <w:tblPr>
        <w:tblW w:w="0" w:type="auto"/>
        <w:jc w:val="center"/>
        <w:tblCellMar>
          <w:left w:w="28" w:type="dxa"/>
          <w:right w:w="28" w:type="dxa"/>
        </w:tblCellMar>
        <w:tblLook w:val="0000" w:firstRow="0" w:lastRow="0" w:firstColumn="0" w:lastColumn="0" w:noHBand="0" w:noVBand="0"/>
      </w:tblPr>
      <w:tblGrid>
        <w:gridCol w:w="8505"/>
      </w:tblGrid>
      <w:tr w:rsidR="00684BA3" w:rsidRPr="007213A1" w14:paraId="19FDDC56" w14:textId="77777777" w:rsidTr="00BA304B">
        <w:trPr>
          <w:trHeight w:val="20"/>
          <w:jc w:val="center"/>
        </w:trPr>
        <w:tc>
          <w:tcPr>
            <w:tcW w:w="8624" w:type="dxa"/>
          </w:tcPr>
          <w:p w14:paraId="05EF9519" w14:textId="77777777" w:rsidR="00684BA3" w:rsidRPr="007213A1" w:rsidRDefault="00684BA3" w:rsidP="00003BBF">
            <w:pPr>
              <w:jc w:val="center"/>
              <w:rPr>
                <w:b/>
                <w:bCs/>
                <w:color w:val="000000"/>
                <w:sz w:val="20"/>
                <w:szCs w:val="20"/>
                <w:lang w:val="es-AR"/>
              </w:rPr>
            </w:pPr>
          </w:p>
          <w:p w14:paraId="533786F8" w14:textId="77777777" w:rsidR="00684BA3" w:rsidRPr="007213A1" w:rsidRDefault="00684BA3" w:rsidP="00003BBF">
            <w:pPr>
              <w:jc w:val="center"/>
              <w:rPr>
                <w:b/>
                <w:bCs/>
                <w:color w:val="000000"/>
                <w:sz w:val="20"/>
                <w:szCs w:val="20"/>
                <w:lang w:val="es-AR"/>
              </w:rPr>
            </w:pPr>
          </w:p>
          <w:p w14:paraId="1441BC5A" w14:textId="77777777" w:rsidR="00684BA3" w:rsidRPr="007213A1" w:rsidRDefault="00684BA3" w:rsidP="00003BBF">
            <w:pPr>
              <w:jc w:val="center"/>
              <w:rPr>
                <w:b/>
                <w:bCs/>
                <w:color w:val="000000"/>
                <w:sz w:val="20"/>
                <w:szCs w:val="20"/>
                <w:lang w:val="es-AR"/>
              </w:rPr>
            </w:pPr>
          </w:p>
          <w:p w14:paraId="38E37D85" w14:textId="77777777" w:rsidR="00684BA3" w:rsidRPr="007213A1" w:rsidRDefault="00684BA3" w:rsidP="00003BBF">
            <w:pPr>
              <w:jc w:val="center"/>
              <w:rPr>
                <w:b/>
                <w:bCs/>
                <w:color w:val="000000"/>
                <w:sz w:val="20"/>
                <w:szCs w:val="20"/>
                <w:lang w:val="es-AR"/>
              </w:rPr>
            </w:pPr>
          </w:p>
          <w:p w14:paraId="0A533355" w14:textId="77777777" w:rsidR="00684BA3" w:rsidRPr="007213A1" w:rsidRDefault="00684BA3" w:rsidP="00003BBF">
            <w:pPr>
              <w:jc w:val="center"/>
              <w:rPr>
                <w:b/>
                <w:bCs/>
                <w:color w:val="000000"/>
                <w:sz w:val="20"/>
                <w:szCs w:val="20"/>
                <w:lang w:val="es-AR"/>
              </w:rPr>
            </w:pPr>
          </w:p>
          <w:p w14:paraId="34E4F974" w14:textId="77777777" w:rsidR="00684BA3" w:rsidRPr="007213A1" w:rsidRDefault="00684BA3" w:rsidP="00003BBF">
            <w:pPr>
              <w:jc w:val="center"/>
              <w:rPr>
                <w:b/>
                <w:bCs/>
                <w:color w:val="000000"/>
                <w:sz w:val="20"/>
                <w:szCs w:val="20"/>
                <w:lang w:val="es-AR"/>
              </w:rPr>
            </w:pPr>
          </w:p>
          <w:p w14:paraId="4F42AC1C" w14:textId="77777777" w:rsidR="00684BA3" w:rsidRPr="007213A1" w:rsidRDefault="00684BA3" w:rsidP="00003BBF">
            <w:pPr>
              <w:jc w:val="center"/>
              <w:rPr>
                <w:b/>
                <w:bCs/>
                <w:color w:val="000000"/>
                <w:sz w:val="20"/>
                <w:szCs w:val="20"/>
                <w:lang w:val="es-AR"/>
              </w:rPr>
            </w:pPr>
            <w:r w:rsidRPr="007213A1">
              <w:rPr>
                <w:b/>
                <w:bCs/>
                <w:color w:val="000000"/>
                <w:sz w:val="20"/>
                <w:szCs w:val="20"/>
                <w:lang w:val="es-AR"/>
              </w:rPr>
              <w:t>EMISORA</w:t>
            </w:r>
          </w:p>
          <w:p w14:paraId="4BD18743" w14:textId="77777777" w:rsidR="00684BA3" w:rsidRPr="007213A1" w:rsidRDefault="00684BA3" w:rsidP="00003BBF">
            <w:pPr>
              <w:jc w:val="center"/>
              <w:rPr>
                <w:b/>
                <w:bCs/>
                <w:color w:val="000000"/>
                <w:sz w:val="20"/>
                <w:szCs w:val="20"/>
                <w:lang w:val="es-AR"/>
              </w:rPr>
            </w:pPr>
          </w:p>
          <w:p w14:paraId="403EEE0E" w14:textId="77777777" w:rsidR="00684BA3" w:rsidRPr="007213A1" w:rsidRDefault="00684BA3" w:rsidP="00003BBF">
            <w:pPr>
              <w:jc w:val="center"/>
              <w:rPr>
                <w:b/>
                <w:smallCaps/>
                <w:color w:val="000000"/>
                <w:w w:val="110"/>
                <w:sz w:val="20"/>
                <w:szCs w:val="20"/>
                <w:lang w:val="es-AR"/>
              </w:rPr>
            </w:pPr>
            <w:r w:rsidRPr="007213A1">
              <w:rPr>
                <w:b/>
                <w:smallCaps/>
                <w:color w:val="000000"/>
                <w:w w:val="110"/>
                <w:sz w:val="20"/>
                <w:szCs w:val="20"/>
                <w:lang w:val="es-AR"/>
              </w:rPr>
              <w:t>INVAP S.E.</w:t>
            </w:r>
          </w:p>
          <w:p w14:paraId="493F6B53" w14:textId="77777777" w:rsidR="00684BA3" w:rsidRPr="007213A1" w:rsidRDefault="00684BA3" w:rsidP="00003BBF">
            <w:pPr>
              <w:jc w:val="center"/>
              <w:rPr>
                <w:color w:val="000000"/>
                <w:sz w:val="20"/>
                <w:szCs w:val="20"/>
                <w:lang w:val="es-AR"/>
              </w:rPr>
            </w:pPr>
            <w:r w:rsidRPr="007213A1">
              <w:rPr>
                <w:color w:val="000000"/>
                <w:sz w:val="20"/>
                <w:szCs w:val="20"/>
                <w:lang w:val="es-AR"/>
              </w:rPr>
              <w:t>Comandante Luis Piedrabuena 4950</w:t>
            </w:r>
          </w:p>
          <w:p w14:paraId="210519A2" w14:textId="77777777" w:rsidR="00684BA3" w:rsidRPr="007213A1" w:rsidRDefault="00684BA3" w:rsidP="00003BBF">
            <w:pPr>
              <w:jc w:val="center"/>
              <w:rPr>
                <w:color w:val="000000"/>
                <w:sz w:val="20"/>
                <w:szCs w:val="20"/>
                <w:lang w:val="es-AR"/>
              </w:rPr>
            </w:pPr>
            <w:r w:rsidRPr="007213A1">
              <w:rPr>
                <w:color w:val="000000"/>
                <w:sz w:val="20"/>
                <w:szCs w:val="20"/>
                <w:lang w:val="es-AR"/>
              </w:rPr>
              <w:t>San Carlos de Bariloche, Río Negro</w:t>
            </w:r>
          </w:p>
          <w:p w14:paraId="5BB52475" w14:textId="77777777" w:rsidR="00684BA3" w:rsidRPr="007213A1" w:rsidRDefault="00684BA3" w:rsidP="00003BBF">
            <w:pPr>
              <w:jc w:val="center"/>
              <w:rPr>
                <w:color w:val="000000"/>
                <w:sz w:val="20"/>
                <w:szCs w:val="20"/>
                <w:lang w:val="es-AR"/>
              </w:rPr>
            </w:pPr>
            <w:r w:rsidRPr="007213A1">
              <w:rPr>
                <w:color w:val="000000"/>
                <w:sz w:val="20"/>
                <w:szCs w:val="20"/>
                <w:lang w:val="es-AR"/>
              </w:rPr>
              <w:t>Argentina</w:t>
            </w:r>
          </w:p>
          <w:p w14:paraId="4F4476B8" w14:textId="77777777" w:rsidR="00684BA3" w:rsidRPr="007213A1" w:rsidRDefault="00684BA3" w:rsidP="00003BBF">
            <w:pPr>
              <w:jc w:val="center"/>
              <w:rPr>
                <w:color w:val="000000"/>
                <w:sz w:val="20"/>
                <w:szCs w:val="20"/>
                <w:lang w:val="es-AR"/>
              </w:rPr>
            </w:pPr>
          </w:p>
          <w:p w14:paraId="108B3EFF" w14:textId="77777777" w:rsidR="00684BA3" w:rsidRPr="007213A1" w:rsidRDefault="00684BA3" w:rsidP="00684BA3">
            <w:pPr>
              <w:rPr>
                <w:color w:val="000000"/>
                <w:sz w:val="20"/>
                <w:szCs w:val="20"/>
                <w:lang w:val="es-AR"/>
              </w:rPr>
            </w:pPr>
          </w:p>
          <w:p w14:paraId="3C276CF7" w14:textId="77777777" w:rsidR="00684BA3" w:rsidRDefault="00684BA3" w:rsidP="00003BBF">
            <w:pPr>
              <w:jc w:val="center"/>
              <w:rPr>
                <w:color w:val="000000"/>
                <w:sz w:val="20"/>
                <w:szCs w:val="20"/>
                <w:lang w:val="es-AR"/>
              </w:rPr>
            </w:pPr>
          </w:p>
          <w:p w14:paraId="49F7C7A7" w14:textId="77777777" w:rsidR="005B7266" w:rsidRDefault="005B7266" w:rsidP="00003BBF">
            <w:pPr>
              <w:jc w:val="center"/>
              <w:rPr>
                <w:color w:val="000000"/>
                <w:sz w:val="20"/>
                <w:szCs w:val="20"/>
                <w:lang w:val="es-AR"/>
              </w:rPr>
            </w:pPr>
          </w:p>
          <w:p w14:paraId="1498695F" w14:textId="77777777" w:rsidR="005B7266" w:rsidRDefault="005B7266" w:rsidP="00003BBF">
            <w:pPr>
              <w:jc w:val="center"/>
              <w:rPr>
                <w:color w:val="000000"/>
                <w:sz w:val="20"/>
                <w:szCs w:val="20"/>
                <w:lang w:val="es-AR"/>
              </w:rPr>
            </w:pPr>
          </w:p>
          <w:p w14:paraId="48FC816C" w14:textId="251CC15B" w:rsidR="005B7266" w:rsidRPr="007213A1" w:rsidRDefault="005B7266" w:rsidP="00003BBF">
            <w:pPr>
              <w:jc w:val="center"/>
              <w:rPr>
                <w:color w:val="000000"/>
                <w:sz w:val="20"/>
                <w:szCs w:val="20"/>
                <w:lang w:val="es-AR"/>
              </w:rPr>
            </w:pPr>
          </w:p>
        </w:tc>
      </w:tr>
      <w:tr w:rsidR="00684BA3" w:rsidRPr="007213A1" w14:paraId="38757302" w14:textId="77777777" w:rsidTr="00F0775A">
        <w:trPr>
          <w:trHeight w:val="20"/>
          <w:jc w:val="center"/>
        </w:trPr>
        <w:tc>
          <w:tcPr>
            <w:tcW w:w="8624" w:type="dxa"/>
          </w:tcPr>
          <w:p w14:paraId="3AFA8963" w14:textId="77777777" w:rsidR="00684BA3" w:rsidRPr="007213A1" w:rsidRDefault="00684BA3" w:rsidP="00003BBF">
            <w:pPr>
              <w:jc w:val="center"/>
              <w:rPr>
                <w:color w:val="000000"/>
                <w:sz w:val="20"/>
                <w:szCs w:val="20"/>
                <w:lang w:val="es-AR"/>
              </w:rPr>
            </w:pPr>
          </w:p>
        </w:tc>
      </w:tr>
      <w:tr w:rsidR="00684BA3" w:rsidRPr="007213A1" w14:paraId="36616B3E" w14:textId="77777777" w:rsidTr="00F0775A">
        <w:trPr>
          <w:trHeight w:val="20"/>
          <w:jc w:val="center"/>
        </w:trPr>
        <w:tc>
          <w:tcPr>
            <w:tcW w:w="8624" w:type="dxa"/>
          </w:tcPr>
          <w:p w14:paraId="0CC9D79D" w14:textId="77777777" w:rsidR="00684BA3" w:rsidRPr="007213A1" w:rsidRDefault="00684BA3" w:rsidP="00003BBF">
            <w:pPr>
              <w:jc w:val="center"/>
              <w:rPr>
                <w:color w:val="000000"/>
                <w:sz w:val="20"/>
                <w:szCs w:val="20"/>
                <w:lang w:val="es-AR"/>
              </w:rPr>
            </w:pPr>
          </w:p>
        </w:tc>
      </w:tr>
      <w:tr w:rsidR="00684BA3" w:rsidRPr="00512442" w14:paraId="79423729" w14:textId="77777777" w:rsidTr="00BA304B">
        <w:trPr>
          <w:trHeight w:val="20"/>
          <w:jc w:val="center"/>
        </w:trPr>
        <w:tc>
          <w:tcPr>
            <w:tcW w:w="8624" w:type="dxa"/>
          </w:tcPr>
          <w:p w14:paraId="525BEEC2" w14:textId="77777777" w:rsidR="00684BA3" w:rsidRPr="007213A1" w:rsidRDefault="00684BA3" w:rsidP="00003BBF">
            <w:pPr>
              <w:jc w:val="center"/>
              <w:rPr>
                <w:b/>
                <w:bCs/>
                <w:color w:val="000000"/>
                <w:sz w:val="20"/>
                <w:szCs w:val="20"/>
                <w:lang w:val="es-AR"/>
              </w:rPr>
            </w:pPr>
            <w:r w:rsidRPr="007213A1">
              <w:rPr>
                <w:b/>
                <w:bCs/>
                <w:color w:val="000000"/>
                <w:sz w:val="20"/>
                <w:szCs w:val="20"/>
                <w:lang w:val="es-AR"/>
              </w:rPr>
              <w:t>ASESORES LEGALES DE LA EMISORA</w:t>
            </w:r>
          </w:p>
          <w:p w14:paraId="261375A5" w14:textId="77777777" w:rsidR="00D5180A" w:rsidRPr="007213A1" w:rsidRDefault="00D5180A" w:rsidP="00003BBF">
            <w:pPr>
              <w:jc w:val="center"/>
              <w:rPr>
                <w:b/>
                <w:bCs/>
                <w:color w:val="000000"/>
                <w:sz w:val="20"/>
                <w:szCs w:val="20"/>
                <w:lang w:val="es-AR"/>
              </w:rPr>
            </w:pPr>
          </w:p>
          <w:p w14:paraId="4C4E19F6" w14:textId="379679F4" w:rsidR="00684BA3" w:rsidRPr="007213A1" w:rsidRDefault="00684BA3" w:rsidP="00003BBF">
            <w:pPr>
              <w:jc w:val="center"/>
              <w:rPr>
                <w:color w:val="000000"/>
                <w:sz w:val="20"/>
                <w:szCs w:val="20"/>
                <w:lang w:val="es-AR"/>
              </w:rPr>
            </w:pPr>
            <w:r w:rsidRPr="007213A1">
              <w:rPr>
                <w:b/>
                <w:smallCaps/>
                <w:color w:val="000000"/>
                <w:w w:val="110"/>
                <w:sz w:val="20"/>
                <w:szCs w:val="20"/>
                <w:lang w:val="es-AR"/>
              </w:rPr>
              <w:t>Beccar Varela</w:t>
            </w:r>
          </w:p>
          <w:p w14:paraId="6B46CCA7" w14:textId="64B5BC67" w:rsidR="00684BA3" w:rsidRPr="007213A1" w:rsidRDefault="00684BA3" w:rsidP="00003BBF">
            <w:pPr>
              <w:jc w:val="center"/>
              <w:rPr>
                <w:color w:val="000000"/>
                <w:sz w:val="20"/>
                <w:szCs w:val="20"/>
                <w:lang w:val="es-AR"/>
              </w:rPr>
            </w:pPr>
            <w:r w:rsidRPr="007213A1">
              <w:rPr>
                <w:color w:val="000000"/>
                <w:sz w:val="20"/>
                <w:szCs w:val="20"/>
                <w:lang w:val="es-AR"/>
              </w:rPr>
              <w:t xml:space="preserve">Tucumán 1, Piso </w:t>
            </w:r>
            <w:r w:rsidR="00D5180A">
              <w:rPr>
                <w:color w:val="000000"/>
                <w:sz w:val="20"/>
                <w:szCs w:val="20"/>
                <w:lang w:val="es-AR"/>
              </w:rPr>
              <w:t>3</w:t>
            </w:r>
            <w:r w:rsidRPr="007213A1">
              <w:rPr>
                <w:color w:val="000000"/>
                <w:sz w:val="20"/>
                <w:szCs w:val="20"/>
                <w:lang w:val="es-AR"/>
              </w:rPr>
              <w:t xml:space="preserve"> (C1049AAA)</w:t>
            </w:r>
          </w:p>
          <w:p w14:paraId="16261E27" w14:textId="77777777" w:rsidR="00684BA3" w:rsidRPr="007213A1" w:rsidRDefault="00684BA3" w:rsidP="00003BBF">
            <w:pPr>
              <w:jc w:val="center"/>
              <w:rPr>
                <w:color w:val="000000"/>
                <w:sz w:val="20"/>
                <w:szCs w:val="20"/>
                <w:lang w:val="es-AR"/>
              </w:rPr>
            </w:pPr>
            <w:r w:rsidRPr="007213A1">
              <w:rPr>
                <w:color w:val="000000"/>
                <w:sz w:val="20"/>
                <w:szCs w:val="20"/>
                <w:lang w:val="es-AR"/>
              </w:rPr>
              <w:t>Ciudad Autónoma de Buenos Aires</w:t>
            </w:r>
          </w:p>
          <w:p w14:paraId="4F5F7ED5" w14:textId="77777777" w:rsidR="00684BA3" w:rsidRPr="007213A1" w:rsidRDefault="00684BA3" w:rsidP="00003BBF">
            <w:pPr>
              <w:pStyle w:val="CenteredText"/>
              <w:spacing w:after="0"/>
              <w:rPr>
                <w:color w:val="000000"/>
                <w:lang w:val="es-AR"/>
              </w:rPr>
            </w:pPr>
            <w:r w:rsidRPr="007213A1">
              <w:rPr>
                <w:color w:val="000000"/>
                <w:lang w:val="es-AR"/>
              </w:rPr>
              <w:t>Argentina</w:t>
            </w:r>
          </w:p>
          <w:p w14:paraId="1D9181DB" w14:textId="77777777" w:rsidR="00684BA3" w:rsidRPr="007213A1" w:rsidRDefault="00684BA3" w:rsidP="00003BBF">
            <w:pPr>
              <w:pStyle w:val="CenteredText"/>
              <w:spacing w:after="0"/>
              <w:rPr>
                <w:b/>
                <w:bCs/>
                <w:color w:val="000000"/>
                <w:lang w:val="es-AR"/>
              </w:rPr>
            </w:pPr>
          </w:p>
          <w:p w14:paraId="722F652E" w14:textId="77777777" w:rsidR="00684BA3" w:rsidRPr="007213A1" w:rsidRDefault="00684BA3" w:rsidP="00003BBF">
            <w:pPr>
              <w:pStyle w:val="CenteredText"/>
              <w:spacing w:after="0"/>
              <w:rPr>
                <w:b/>
                <w:bCs/>
                <w:color w:val="000000"/>
                <w:lang w:val="es-AR"/>
              </w:rPr>
            </w:pPr>
          </w:p>
          <w:p w14:paraId="1F497F83" w14:textId="730016FF" w:rsidR="00684BA3" w:rsidRDefault="00684BA3" w:rsidP="00003BBF">
            <w:pPr>
              <w:pStyle w:val="CenteredText"/>
              <w:spacing w:after="0"/>
              <w:rPr>
                <w:b/>
                <w:bCs/>
                <w:color w:val="000000"/>
                <w:lang w:val="es-AR"/>
              </w:rPr>
            </w:pPr>
          </w:p>
          <w:p w14:paraId="657F324A" w14:textId="5BB93DC9" w:rsidR="005B7266" w:rsidRDefault="005B7266" w:rsidP="00003BBF">
            <w:pPr>
              <w:pStyle w:val="CenteredText"/>
              <w:spacing w:after="0"/>
              <w:rPr>
                <w:b/>
                <w:bCs/>
                <w:color w:val="000000"/>
                <w:lang w:val="es-AR"/>
              </w:rPr>
            </w:pPr>
          </w:p>
          <w:p w14:paraId="6C84405A" w14:textId="28A5B1F6" w:rsidR="005B7266" w:rsidRDefault="005B7266" w:rsidP="00003BBF">
            <w:pPr>
              <w:pStyle w:val="CenteredText"/>
              <w:spacing w:after="0"/>
              <w:rPr>
                <w:b/>
                <w:bCs/>
                <w:color w:val="000000"/>
                <w:lang w:val="es-AR"/>
              </w:rPr>
            </w:pPr>
          </w:p>
          <w:p w14:paraId="77A8E82E" w14:textId="25E0274C" w:rsidR="005B7266" w:rsidRDefault="005B7266" w:rsidP="00003BBF">
            <w:pPr>
              <w:pStyle w:val="CenteredText"/>
              <w:spacing w:after="0"/>
              <w:rPr>
                <w:b/>
                <w:bCs/>
                <w:color w:val="000000"/>
                <w:lang w:val="es-AR"/>
              </w:rPr>
            </w:pPr>
          </w:p>
          <w:p w14:paraId="23504862" w14:textId="77777777" w:rsidR="005B7266" w:rsidRPr="007213A1" w:rsidRDefault="005B7266" w:rsidP="00003BBF">
            <w:pPr>
              <w:pStyle w:val="CenteredText"/>
              <w:spacing w:after="0"/>
              <w:rPr>
                <w:b/>
                <w:bCs/>
                <w:color w:val="000000"/>
                <w:lang w:val="es-AR"/>
              </w:rPr>
            </w:pPr>
          </w:p>
          <w:p w14:paraId="61AD8A59" w14:textId="77777777" w:rsidR="00684BA3" w:rsidRPr="007213A1" w:rsidRDefault="00684BA3" w:rsidP="00003BBF">
            <w:pPr>
              <w:pStyle w:val="CenteredText"/>
              <w:spacing w:after="0"/>
              <w:rPr>
                <w:b/>
                <w:bCs/>
                <w:color w:val="000000"/>
                <w:lang w:val="es-AR"/>
              </w:rPr>
            </w:pPr>
          </w:p>
          <w:p w14:paraId="59A1564A" w14:textId="77777777" w:rsidR="00684BA3" w:rsidRPr="007213A1" w:rsidRDefault="00684BA3" w:rsidP="00684BA3">
            <w:pPr>
              <w:jc w:val="center"/>
              <w:rPr>
                <w:b/>
                <w:bCs/>
                <w:color w:val="000000"/>
                <w:sz w:val="20"/>
                <w:szCs w:val="20"/>
                <w:lang w:val="es-AR"/>
              </w:rPr>
            </w:pPr>
            <w:r w:rsidRPr="007213A1">
              <w:rPr>
                <w:b/>
                <w:bCs/>
                <w:color w:val="000000"/>
                <w:sz w:val="20"/>
                <w:szCs w:val="20"/>
                <w:lang w:val="es-AR"/>
              </w:rPr>
              <w:t>AUDITORES</w:t>
            </w:r>
          </w:p>
          <w:p w14:paraId="22C285F5" w14:textId="77777777" w:rsidR="00E16540" w:rsidRDefault="00E16540" w:rsidP="00684BA3">
            <w:pPr>
              <w:jc w:val="center"/>
              <w:rPr>
                <w:b/>
                <w:smallCaps/>
                <w:color w:val="000000"/>
                <w:w w:val="110"/>
                <w:sz w:val="20"/>
                <w:szCs w:val="20"/>
                <w:lang w:val="es-AR"/>
              </w:rPr>
            </w:pPr>
            <w:r w:rsidRPr="00A61C89">
              <w:rPr>
                <w:b/>
                <w:smallCaps/>
                <w:color w:val="000000"/>
                <w:w w:val="110"/>
                <w:sz w:val="20"/>
                <w:szCs w:val="20"/>
                <w:lang w:val="es-AR"/>
              </w:rPr>
              <w:t>Cánepa, Kopec y Asociados</w:t>
            </w:r>
            <w:r>
              <w:rPr>
                <w:b/>
                <w:smallCaps/>
                <w:color w:val="000000"/>
                <w:w w:val="110"/>
                <w:sz w:val="20"/>
                <w:szCs w:val="20"/>
                <w:lang w:val="es-AR"/>
              </w:rPr>
              <w:t xml:space="preserve"> </w:t>
            </w:r>
          </w:p>
          <w:p w14:paraId="7B711D12" w14:textId="765E8288" w:rsidR="00E16540" w:rsidRPr="00E16540" w:rsidRDefault="00E16540" w:rsidP="00684BA3">
            <w:pPr>
              <w:jc w:val="center"/>
              <w:rPr>
                <w:color w:val="000000"/>
                <w:sz w:val="20"/>
                <w:szCs w:val="20"/>
                <w:lang w:val="es-AR"/>
              </w:rPr>
            </w:pPr>
            <w:r w:rsidRPr="00A61C89">
              <w:rPr>
                <w:smallCaps/>
                <w:color w:val="000000"/>
                <w:w w:val="110"/>
                <w:sz w:val="20"/>
                <w:szCs w:val="20"/>
                <w:lang w:val="es-AR"/>
              </w:rPr>
              <w:t>(</w:t>
            </w:r>
            <w:r w:rsidRPr="00E16540">
              <w:rPr>
                <w:color w:val="000000"/>
                <w:sz w:val="20"/>
                <w:szCs w:val="20"/>
                <w:lang w:val="es-AR"/>
              </w:rPr>
              <w:t>miembro de Crowe Horwath Internacional)</w:t>
            </w:r>
          </w:p>
          <w:p w14:paraId="60EBC881" w14:textId="5077DB92" w:rsidR="00E16540" w:rsidRDefault="00E16540" w:rsidP="00684BA3">
            <w:pPr>
              <w:jc w:val="center"/>
              <w:rPr>
                <w:color w:val="000000"/>
                <w:sz w:val="20"/>
                <w:szCs w:val="20"/>
                <w:lang w:val="es-AR"/>
              </w:rPr>
            </w:pPr>
            <w:r w:rsidRPr="009D0D02">
              <w:rPr>
                <w:color w:val="000000"/>
                <w:sz w:val="20"/>
                <w:szCs w:val="20"/>
                <w:lang w:val="es-AR"/>
              </w:rPr>
              <w:t xml:space="preserve">Av. Pte. Roque Sáenz Peña 788, Piso 9º </w:t>
            </w:r>
          </w:p>
          <w:p w14:paraId="44FD6A4C" w14:textId="77777777" w:rsidR="00E16540" w:rsidRDefault="00E16540" w:rsidP="00684BA3">
            <w:pPr>
              <w:jc w:val="center"/>
              <w:rPr>
                <w:color w:val="000000"/>
                <w:sz w:val="20"/>
                <w:szCs w:val="20"/>
                <w:lang w:val="es-AR"/>
              </w:rPr>
            </w:pPr>
            <w:r w:rsidRPr="009D0D02">
              <w:rPr>
                <w:color w:val="000000"/>
                <w:sz w:val="20"/>
                <w:szCs w:val="20"/>
                <w:lang w:val="es-AR"/>
              </w:rPr>
              <w:t>Ciudad Autónoma de Buenos Aires</w:t>
            </w:r>
          </w:p>
          <w:p w14:paraId="1E2F719D" w14:textId="3C3AA0E9" w:rsidR="00684BA3" w:rsidRPr="004C2CEC" w:rsidRDefault="00E16540" w:rsidP="00684BA3">
            <w:pPr>
              <w:jc w:val="center"/>
              <w:rPr>
                <w:color w:val="000000"/>
                <w:sz w:val="20"/>
                <w:lang w:val="es-AR"/>
              </w:rPr>
            </w:pPr>
            <w:r w:rsidRPr="00A61C89">
              <w:rPr>
                <w:color w:val="000000"/>
                <w:sz w:val="20"/>
                <w:szCs w:val="20"/>
                <w:lang w:val="es-AR"/>
              </w:rPr>
              <w:t>Argentina</w:t>
            </w:r>
          </w:p>
          <w:p w14:paraId="303BD234" w14:textId="01FBDA47" w:rsidR="00D86D66" w:rsidRDefault="00D86D66" w:rsidP="00684BA3">
            <w:pPr>
              <w:jc w:val="center"/>
              <w:rPr>
                <w:b/>
                <w:bCs/>
                <w:color w:val="000000"/>
                <w:sz w:val="20"/>
                <w:szCs w:val="20"/>
                <w:lang w:val="es-AR"/>
              </w:rPr>
            </w:pPr>
          </w:p>
          <w:p w14:paraId="35F190EA" w14:textId="6D3D69D2" w:rsidR="00D86D66" w:rsidRDefault="00D86D66" w:rsidP="00684BA3">
            <w:pPr>
              <w:jc w:val="center"/>
              <w:rPr>
                <w:b/>
                <w:bCs/>
                <w:color w:val="000000"/>
                <w:sz w:val="20"/>
                <w:szCs w:val="20"/>
                <w:lang w:val="es-AR"/>
              </w:rPr>
            </w:pPr>
          </w:p>
          <w:p w14:paraId="68119732" w14:textId="05E24763" w:rsidR="005B7266" w:rsidRDefault="005B7266" w:rsidP="00684BA3">
            <w:pPr>
              <w:jc w:val="center"/>
              <w:rPr>
                <w:b/>
                <w:bCs/>
                <w:color w:val="000000"/>
                <w:sz w:val="20"/>
                <w:szCs w:val="20"/>
                <w:lang w:val="es-AR"/>
              </w:rPr>
            </w:pPr>
          </w:p>
          <w:p w14:paraId="54D95BDC" w14:textId="31A5D7EC" w:rsidR="005B7266" w:rsidRDefault="005B7266" w:rsidP="00684BA3">
            <w:pPr>
              <w:jc w:val="center"/>
              <w:rPr>
                <w:b/>
                <w:bCs/>
                <w:color w:val="000000"/>
                <w:sz w:val="20"/>
                <w:szCs w:val="20"/>
                <w:lang w:val="es-AR"/>
              </w:rPr>
            </w:pPr>
          </w:p>
          <w:p w14:paraId="425939C6" w14:textId="740A2DE1" w:rsidR="005B7266" w:rsidRDefault="005B7266" w:rsidP="00684BA3">
            <w:pPr>
              <w:jc w:val="center"/>
              <w:rPr>
                <w:b/>
                <w:bCs/>
                <w:color w:val="000000"/>
                <w:sz w:val="20"/>
                <w:szCs w:val="20"/>
                <w:lang w:val="es-AR"/>
              </w:rPr>
            </w:pPr>
          </w:p>
          <w:p w14:paraId="458EFF7B" w14:textId="19EBFD82" w:rsidR="005B7266" w:rsidRDefault="005B7266" w:rsidP="00684BA3">
            <w:pPr>
              <w:jc w:val="center"/>
              <w:rPr>
                <w:b/>
                <w:bCs/>
                <w:color w:val="000000"/>
                <w:sz w:val="20"/>
                <w:szCs w:val="20"/>
                <w:lang w:val="es-AR"/>
              </w:rPr>
            </w:pPr>
          </w:p>
          <w:p w14:paraId="0D692651" w14:textId="15EFACD9" w:rsidR="005B7266" w:rsidRDefault="005B7266" w:rsidP="00684BA3">
            <w:pPr>
              <w:jc w:val="center"/>
              <w:rPr>
                <w:b/>
                <w:bCs/>
                <w:color w:val="000000"/>
                <w:sz w:val="20"/>
                <w:szCs w:val="20"/>
                <w:lang w:val="es-AR"/>
              </w:rPr>
            </w:pPr>
          </w:p>
          <w:p w14:paraId="4AA55476" w14:textId="43A6031E" w:rsidR="005B7266" w:rsidRDefault="005B7266" w:rsidP="00684BA3">
            <w:pPr>
              <w:jc w:val="center"/>
              <w:rPr>
                <w:b/>
                <w:bCs/>
                <w:color w:val="000000"/>
                <w:sz w:val="20"/>
                <w:szCs w:val="20"/>
                <w:lang w:val="es-AR"/>
              </w:rPr>
            </w:pPr>
          </w:p>
          <w:p w14:paraId="52D25DFB" w14:textId="6B6C35FB" w:rsidR="005B7266" w:rsidRDefault="005B7266" w:rsidP="00684BA3">
            <w:pPr>
              <w:jc w:val="center"/>
              <w:rPr>
                <w:b/>
                <w:bCs/>
                <w:color w:val="000000"/>
                <w:sz w:val="20"/>
                <w:szCs w:val="20"/>
                <w:lang w:val="es-AR"/>
              </w:rPr>
            </w:pPr>
          </w:p>
          <w:p w14:paraId="315FC92F" w14:textId="42B5D23C" w:rsidR="005B7266" w:rsidRDefault="005B7266" w:rsidP="00684BA3">
            <w:pPr>
              <w:jc w:val="center"/>
              <w:rPr>
                <w:b/>
                <w:bCs/>
                <w:color w:val="000000"/>
                <w:sz w:val="20"/>
                <w:szCs w:val="20"/>
                <w:lang w:val="es-AR"/>
              </w:rPr>
            </w:pPr>
          </w:p>
          <w:p w14:paraId="544F308C" w14:textId="7D064226" w:rsidR="005B7266" w:rsidRDefault="005B7266" w:rsidP="00684BA3">
            <w:pPr>
              <w:jc w:val="center"/>
              <w:rPr>
                <w:b/>
                <w:bCs/>
                <w:color w:val="000000"/>
                <w:sz w:val="20"/>
                <w:szCs w:val="20"/>
                <w:lang w:val="es-AR"/>
              </w:rPr>
            </w:pPr>
          </w:p>
          <w:p w14:paraId="74249D18" w14:textId="3BAB9423" w:rsidR="005B7266" w:rsidRDefault="005B7266" w:rsidP="00684BA3">
            <w:pPr>
              <w:jc w:val="center"/>
              <w:rPr>
                <w:b/>
                <w:bCs/>
                <w:color w:val="000000"/>
                <w:sz w:val="20"/>
                <w:szCs w:val="20"/>
                <w:lang w:val="es-AR"/>
              </w:rPr>
            </w:pPr>
          </w:p>
          <w:p w14:paraId="405EC447" w14:textId="0E9CAF2A" w:rsidR="005B7266" w:rsidRDefault="005B7266" w:rsidP="00684BA3">
            <w:pPr>
              <w:jc w:val="center"/>
              <w:rPr>
                <w:b/>
                <w:bCs/>
                <w:color w:val="000000"/>
                <w:sz w:val="20"/>
                <w:szCs w:val="20"/>
                <w:lang w:val="es-AR"/>
              </w:rPr>
            </w:pPr>
          </w:p>
          <w:p w14:paraId="2BF889CB" w14:textId="78CAF8AD" w:rsidR="005B7266" w:rsidRDefault="005B7266" w:rsidP="00684BA3">
            <w:pPr>
              <w:jc w:val="center"/>
              <w:rPr>
                <w:b/>
                <w:bCs/>
                <w:color w:val="000000"/>
                <w:sz w:val="20"/>
                <w:szCs w:val="20"/>
                <w:lang w:val="es-AR"/>
              </w:rPr>
            </w:pPr>
          </w:p>
          <w:p w14:paraId="7FCF9FF0" w14:textId="5B37A602" w:rsidR="005B7266" w:rsidRDefault="005B7266" w:rsidP="00684BA3">
            <w:pPr>
              <w:jc w:val="center"/>
              <w:rPr>
                <w:b/>
                <w:bCs/>
                <w:color w:val="000000"/>
                <w:sz w:val="20"/>
                <w:szCs w:val="20"/>
                <w:lang w:val="es-AR"/>
              </w:rPr>
            </w:pPr>
          </w:p>
          <w:p w14:paraId="00E88341" w14:textId="77777777" w:rsidR="005B7266" w:rsidRPr="007213A1" w:rsidRDefault="005B7266" w:rsidP="00684BA3">
            <w:pPr>
              <w:jc w:val="center"/>
              <w:rPr>
                <w:b/>
                <w:bCs/>
                <w:color w:val="000000"/>
                <w:sz w:val="20"/>
                <w:szCs w:val="20"/>
                <w:lang w:val="es-AR"/>
              </w:rPr>
            </w:pPr>
          </w:p>
          <w:p w14:paraId="65E0B9BB" w14:textId="2D0AE5AB" w:rsidR="00684BA3" w:rsidRPr="00512442" w:rsidRDefault="00684BA3" w:rsidP="00512442">
            <w:pPr>
              <w:jc w:val="center"/>
              <w:rPr>
                <w:rFonts w:ascii="Arial" w:hAnsi="Arial"/>
                <w:b/>
                <w:color w:val="000000"/>
                <w:lang w:val="es-AR"/>
              </w:rPr>
            </w:pPr>
            <w:r w:rsidRPr="007213A1">
              <w:rPr>
                <w:color w:val="000000"/>
                <w:sz w:val="20"/>
                <w:szCs w:val="20"/>
                <w:lang w:val="es-AR"/>
              </w:rPr>
              <w:t>La fecha del presente Prospecto es</w:t>
            </w:r>
            <w:r w:rsidR="007A2F55">
              <w:rPr>
                <w:color w:val="000000"/>
                <w:sz w:val="20"/>
                <w:szCs w:val="20"/>
                <w:lang w:val="es-AR"/>
              </w:rPr>
              <w:t xml:space="preserve"> 7</w:t>
            </w:r>
            <w:bookmarkStart w:id="86" w:name="_GoBack"/>
            <w:bookmarkEnd w:id="86"/>
            <w:r w:rsidR="0072280C">
              <w:rPr>
                <w:color w:val="000000"/>
                <w:sz w:val="20"/>
                <w:szCs w:val="20"/>
                <w:lang w:val="es-AR"/>
              </w:rPr>
              <w:t xml:space="preserve"> de </w:t>
            </w:r>
            <w:r w:rsidR="005B7266">
              <w:rPr>
                <w:color w:val="000000"/>
                <w:sz w:val="20"/>
                <w:szCs w:val="20"/>
                <w:lang w:val="es-AR"/>
              </w:rPr>
              <w:t>enero</w:t>
            </w:r>
            <w:r w:rsidR="0015043B">
              <w:rPr>
                <w:color w:val="000000"/>
                <w:sz w:val="20"/>
                <w:szCs w:val="20"/>
                <w:lang w:val="es-AR"/>
              </w:rPr>
              <w:t xml:space="preserve"> </w:t>
            </w:r>
            <w:r w:rsidRPr="007213A1">
              <w:rPr>
                <w:color w:val="000000"/>
                <w:sz w:val="20"/>
                <w:szCs w:val="20"/>
                <w:lang w:val="es-AR"/>
              </w:rPr>
              <w:t>de 20</w:t>
            </w:r>
            <w:r w:rsidR="005B7266">
              <w:rPr>
                <w:color w:val="000000"/>
                <w:sz w:val="20"/>
                <w:szCs w:val="20"/>
                <w:lang w:val="es-AR"/>
              </w:rPr>
              <w:t>20</w:t>
            </w:r>
          </w:p>
        </w:tc>
      </w:tr>
    </w:tbl>
    <w:p w14:paraId="7C4B263D" w14:textId="77777777" w:rsidR="00684BA3" w:rsidRPr="007213A1" w:rsidRDefault="00684BA3" w:rsidP="005B7266">
      <w:pPr>
        <w:widowControl w:val="0"/>
        <w:suppressLineNumbers/>
        <w:suppressAutoHyphens/>
        <w:jc w:val="both"/>
        <w:rPr>
          <w:b/>
          <w:bCs/>
          <w:iCs/>
          <w:sz w:val="20"/>
          <w:szCs w:val="20"/>
          <w:lang w:val="es-AR" w:eastAsia="es-ES"/>
        </w:rPr>
      </w:pPr>
    </w:p>
    <w:sectPr w:rsidR="00684BA3" w:rsidRPr="007213A1" w:rsidSect="00512442">
      <w:headerReference w:type="default" r:id="rId18"/>
      <w:footerReference w:type="default" r:id="rId19"/>
      <w:pgSz w:w="11907" w:h="16840" w:code="9"/>
      <w:pgMar w:top="1417" w:right="1701" w:bottom="141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EC6F0" w14:textId="77777777" w:rsidR="00512442" w:rsidRDefault="00512442" w:rsidP="003A3C4C">
      <w:r>
        <w:separator/>
      </w:r>
    </w:p>
  </w:endnote>
  <w:endnote w:type="continuationSeparator" w:id="0">
    <w:p w14:paraId="2A130D52" w14:textId="77777777" w:rsidR="00512442" w:rsidRDefault="00512442" w:rsidP="003A3C4C">
      <w:r>
        <w:continuationSeparator/>
      </w:r>
    </w:p>
  </w:endnote>
  <w:endnote w:type="continuationNotice" w:id="1">
    <w:p w14:paraId="768911E3" w14:textId="77777777" w:rsidR="00512442" w:rsidRDefault="00512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Univers">
    <w:charset w:val="00"/>
    <w:family w:val="swiss"/>
    <w:pitch w:val="variable"/>
    <w:sig w:usb0="80000287" w:usb1="00000000" w:usb2="00000000" w:usb3="00000000" w:csb0="0000000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306201"/>
      <w:docPartObj>
        <w:docPartGallery w:val="Page Numbers (Bottom of Page)"/>
        <w:docPartUnique/>
      </w:docPartObj>
    </w:sdtPr>
    <w:sdtContent>
      <w:p w14:paraId="05A4DF5E" w14:textId="35BD91F7" w:rsidR="00512442" w:rsidRDefault="00512442">
        <w:pPr>
          <w:pStyle w:val="Piedepgina"/>
          <w:jc w:val="center"/>
        </w:pPr>
        <w:r>
          <w:fldChar w:fldCharType="begin"/>
        </w:r>
        <w:r>
          <w:instrText>PAGE   \* MERGEFORMAT</w:instrText>
        </w:r>
        <w:r>
          <w:fldChar w:fldCharType="separate"/>
        </w:r>
        <w:r w:rsidRPr="006F32C5">
          <w:rPr>
            <w:noProof/>
            <w:lang w:val="es-ES"/>
          </w:rPr>
          <w:t>121</w:t>
        </w:r>
        <w:r>
          <w:fldChar w:fldCharType="end"/>
        </w:r>
      </w:p>
    </w:sdtContent>
  </w:sdt>
  <w:p w14:paraId="5B686FFA" w14:textId="55B2ECC5" w:rsidR="00512442" w:rsidRPr="004C2CEC" w:rsidRDefault="00512442">
    <w:pPr>
      <w:pStyle w:val="Piedepgina"/>
      <w:rPr>
        <w:lang w:val="es-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05070" w14:textId="77777777" w:rsidR="00512442" w:rsidRDefault="00512442" w:rsidP="003A3C4C">
      <w:r>
        <w:separator/>
      </w:r>
    </w:p>
  </w:footnote>
  <w:footnote w:type="continuationSeparator" w:id="0">
    <w:p w14:paraId="33F44DF0" w14:textId="77777777" w:rsidR="00512442" w:rsidRDefault="00512442" w:rsidP="003A3C4C">
      <w:r>
        <w:continuationSeparator/>
      </w:r>
    </w:p>
  </w:footnote>
  <w:footnote w:type="continuationNotice" w:id="1">
    <w:p w14:paraId="54A769A8" w14:textId="77777777" w:rsidR="00512442" w:rsidRDefault="00512442"/>
  </w:footnote>
  <w:footnote w:id="2">
    <w:p w14:paraId="42249138" w14:textId="77777777" w:rsidR="00512442" w:rsidRDefault="00512442" w:rsidP="00122AA9">
      <w:pPr>
        <w:pStyle w:val="Textonotapie"/>
        <w:rPr>
          <w:lang w:val="es-ES"/>
        </w:rPr>
      </w:pPr>
      <w:r>
        <w:rPr>
          <w:rStyle w:val="Refdenotaalpie"/>
          <w:szCs w:val="16"/>
        </w:rPr>
        <w:footnoteRef/>
      </w:r>
      <w:r>
        <w:rPr>
          <w:lang w:val="es-MX"/>
        </w:rPr>
        <w:t xml:space="preserve"> $2.000.000, en general y $18.000.000 para el caso de inmuebles que constituyan casa-habitación.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ECE5" w14:textId="71479E1D" w:rsidR="00512442" w:rsidRDefault="00512442">
    <w:pPr>
      <w:pStyle w:val="Encabezado"/>
      <w:jc w:val="right"/>
    </w:pPr>
  </w:p>
  <w:p w14:paraId="4D4F37A8" w14:textId="77777777" w:rsidR="00512442" w:rsidRDefault="005124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FE56F5AA"/>
    <w:lvl w:ilvl="0" w:tplc="0C0A0001">
      <w:start w:val="1"/>
      <w:numFmt w:val="bullet"/>
      <w:lvlText w:val=""/>
      <w:lvlJc w:val="left"/>
      <w:pPr>
        <w:tabs>
          <w:tab w:val="num" w:pos="9291"/>
        </w:tabs>
        <w:ind w:left="9291" w:hanging="360"/>
      </w:pPr>
      <w:rPr>
        <w:rFonts w:ascii="Symbol" w:hAnsi="Symbol" w:hint="default"/>
        <w:spacing w:val="0"/>
      </w:rPr>
    </w:lvl>
    <w:lvl w:ilvl="1" w:tplc="0C0A0003">
      <w:start w:val="1"/>
      <w:numFmt w:val="decimal"/>
      <w:lvlText w:val="%2."/>
      <w:lvlJc w:val="left"/>
      <w:pPr>
        <w:tabs>
          <w:tab w:val="num" w:pos="10011"/>
        </w:tabs>
        <w:ind w:left="10011" w:hanging="360"/>
      </w:pPr>
      <w:rPr>
        <w:rFonts w:cs="Times New Roman"/>
        <w:spacing w:val="0"/>
      </w:rPr>
    </w:lvl>
    <w:lvl w:ilvl="2" w:tplc="0C0A0005">
      <w:start w:val="1"/>
      <w:numFmt w:val="decimal"/>
      <w:lvlText w:val="%3."/>
      <w:lvlJc w:val="left"/>
      <w:pPr>
        <w:tabs>
          <w:tab w:val="num" w:pos="10731"/>
        </w:tabs>
        <w:ind w:left="10731" w:hanging="360"/>
      </w:pPr>
      <w:rPr>
        <w:rFonts w:cs="Times New Roman"/>
        <w:spacing w:val="0"/>
      </w:rPr>
    </w:lvl>
    <w:lvl w:ilvl="3" w:tplc="0C0A0001">
      <w:start w:val="1"/>
      <w:numFmt w:val="decimal"/>
      <w:lvlText w:val="%4."/>
      <w:lvlJc w:val="left"/>
      <w:pPr>
        <w:tabs>
          <w:tab w:val="num" w:pos="11451"/>
        </w:tabs>
        <w:ind w:left="11451" w:hanging="360"/>
      </w:pPr>
      <w:rPr>
        <w:rFonts w:cs="Times New Roman"/>
        <w:spacing w:val="0"/>
      </w:rPr>
    </w:lvl>
    <w:lvl w:ilvl="4" w:tplc="0C0A0003">
      <w:start w:val="1"/>
      <w:numFmt w:val="decimal"/>
      <w:lvlText w:val="%5."/>
      <w:lvlJc w:val="left"/>
      <w:pPr>
        <w:tabs>
          <w:tab w:val="num" w:pos="12171"/>
        </w:tabs>
        <w:ind w:left="12171" w:hanging="360"/>
      </w:pPr>
      <w:rPr>
        <w:rFonts w:cs="Times New Roman"/>
        <w:spacing w:val="0"/>
      </w:rPr>
    </w:lvl>
    <w:lvl w:ilvl="5" w:tplc="0C0A0005">
      <w:start w:val="1"/>
      <w:numFmt w:val="decimal"/>
      <w:lvlText w:val="%6."/>
      <w:lvlJc w:val="left"/>
      <w:pPr>
        <w:tabs>
          <w:tab w:val="num" w:pos="12891"/>
        </w:tabs>
        <w:ind w:left="12891" w:hanging="360"/>
      </w:pPr>
      <w:rPr>
        <w:rFonts w:cs="Times New Roman"/>
        <w:spacing w:val="0"/>
      </w:rPr>
    </w:lvl>
    <w:lvl w:ilvl="6" w:tplc="0C0A0001">
      <w:start w:val="1"/>
      <w:numFmt w:val="decimal"/>
      <w:lvlText w:val="%7."/>
      <w:lvlJc w:val="left"/>
      <w:pPr>
        <w:tabs>
          <w:tab w:val="num" w:pos="13611"/>
        </w:tabs>
        <w:ind w:left="13611" w:hanging="360"/>
      </w:pPr>
      <w:rPr>
        <w:rFonts w:cs="Times New Roman"/>
        <w:spacing w:val="0"/>
      </w:rPr>
    </w:lvl>
    <w:lvl w:ilvl="7" w:tplc="0C0A0003">
      <w:start w:val="1"/>
      <w:numFmt w:val="decimal"/>
      <w:lvlText w:val="%8."/>
      <w:lvlJc w:val="left"/>
      <w:pPr>
        <w:tabs>
          <w:tab w:val="num" w:pos="14331"/>
        </w:tabs>
        <w:ind w:left="14331" w:hanging="360"/>
      </w:pPr>
      <w:rPr>
        <w:rFonts w:cs="Times New Roman"/>
        <w:spacing w:val="0"/>
      </w:rPr>
    </w:lvl>
    <w:lvl w:ilvl="8" w:tplc="0C0A0005">
      <w:start w:val="1"/>
      <w:numFmt w:val="decimal"/>
      <w:lvlText w:val="%9."/>
      <w:lvlJc w:val="left"/>
      <w:pPr>
        <w:tabs>
          <w:tab w:val="num" w:pos="15051"/>
        </w:tabs>
        <w:ind w:left="15051" w:hanging="360"/>
      </w:pPr>
      <w:rPr>
        <w:rFonts w:cs="Times New Roman"/>
        <w:spacing w:val="0"/>
      </w:rPr>
    </w:lvl>
  </w:abstractNum>
  <w:abstractNum w:abstractNumId="1" w15:restartNumberingAfterBreak="0">
    <w:nsid w:val="003175D6"/>
    <w:multiLevelType w:val="multilevel"/>
    <w:tmpl w:val="D5D4DEB8"/>
    <w:lvl w:ilvl="0">
      <w:start w:val="15"/>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720"/>
        </w:tabs>
        <w:ind w:left="720" w:hanging="72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2" w15:restartNumberingAfterBreak="0">
    <w:nsid w:val="03044E01"/>
    <w:multiLevelType w:val="hybridMultilevel"/>
    <w:tmpl w:val="3D1226B2"/>
    <w:lvl w:ilvl="0" w:tplc="FFFFFFFF">
      <w:start w:val="1"/>
      <w:numFmt w:val="bullet"/>
      <w:pStyle w:val="bul"/>
      <w:lvlText w:val=""/>
      <w:lvlJc w:val="left"/>
      <w:pPr>
        <w:tabs>
          <w:tab w:val="num" w:pos="1132"/>
        </w:tabs>
        <w:ind w:left="1132" w:hanging="360"/>
      </w:pPr>
      <w:rPr>
        <w:rFonts w:ascii="Symbol" w:hAnsi="Symbol" w:hint="default"/>
      </w:rPr>
    </w:lvl>
    <w:lvl w:ilvl="1" w:tplc="FFFFFFFF" w:tentative="1">
      <w:start w:val="1"/>
      <w:numFmt w:val="bullet"/>
      <w:lvlText w:val="o"/>
      <w:lvlJc w:val="left"/>
      <w:pPr>
        <w:tabs>
          <w:tab w:val="num" w:pos="1852"/>
        </w:tabs>
        <w:ind w:left="1852" w:hanging="360"/>
      </w:pPr>
      <w:rPr>
        <w:rFonts w:ascii="Courier New" w:hAnsi="Courier New" w:cs="Roman 10cpi" w:hint="default"/>
      </w:rPr>
    </w:lvl>
    <w:lvl w:ilvl="2" w:tplc="FFFFFFFF" w:tentative="1">
      <w:start w:val="1"/>
      <w:numFmt w:val="bullet"/>
      <w:lvlText w:val=""/>
      <w:lvlJc w:val="left"/>
      <w:pPr>
        <w:tabs>
          <w:tab w:val="num" w:pos="2572"/>
        </w:tabs>
        <w:ind w:left="2572" w:hanging="360"/>
      </w:pPr>
      <w:rPr>
        <w:rFonts w:ascii="Wingdings" w:hAnsi="Wingdings" w:hint="default"/>
      </w:rPr>
    </w:lvl>
    <w:lvl w:ilvl="3" w:tplc="FFFFFFFF" w:tentative="1">
      <w:start w:val="1"/>
      <w:numFmt w:val="bullet"/>
      <w:lvlText w:val=""/>
      <w:lvlJc w:val="left"/>
      <w:pPr>
        <w:tabs>
          <w:tab w:val="num" w:pos="3292"/>
        </w:tabs>
        <w:ind w:left="3292" w:hanging="360"/>
      </w:pPr>
      <w:rPr>
        <w:rFonts w:ascii="Symbol" w:hAnsi="Symbol" w:hint="default"/>
      </w:rPr>
    </w:lvl>
    <w:lvl w:ilvl="4" w:tplc="FFFFFFFF" w:tentative="1">
      <w:start w:val="1"/>
      <w:numFmt w:val="bullet"/>
      <w:lvlText w:val="o"/>
      <w:lvlJc w:val="left"/>
      <w:pPr>
        <w:tabs>
          <w:tab w:val="num" w:pos="4012"/>
        </w:tabs>
        <w:ind w:left="4012" w:hanging="360"/>
      </w:pPr>
      <w:rPr>
        <w:rFonts w:ascii="Courier New" w:hAnsi="Courier New" w:cs="Roman 10cpi" w:hint="default"/>
      </w:rPr>
    </w:lvl>
    <w:lvl w:ilvl="5" w:tplc="FFFFFFFF" w:tentative="1">
      <w:start w:val="1"/>
      <w:numFmt w:val="bullet"/>
      <w:lvlText w:val=""/>
      <w:lvlJc w:val="left"/>
      <w:pPr>
        <w:tabs>
          <w:tab w:val="num" w:pos="4732"/>
        </w:tabs>
        <w:ind w:left="4732" w:hanging="360"/>
      </w:pPr>
      <w:rPr>
        <w:rFonts w:ascii="Wingdings" w:hAnsi="Wingdings" w:hint="default"/>
      </w:rPr>
    </w:lvl>
    <w:lvl w:ilvl="6" w:tplc="FFFFFFFF" w:tentative="1">
      <w:start w:val="1"/>
      <w:numFmt w:val="bullet"/>
      <w:lvlText w:val=""/>
      <w:lvlJc w:val="left"/>
      <w:pPr>
        <w:tabs>
          <w:tab w:val="num" w:pos="5452"/>
        </w:tabs>
        <w:ind w:left="5452" w:hanging="360"/>
      </w:pPr>
      <w:rPr>
        <w:rFonts w:ascii="Symbol" w:hAnsi="Symbol" w:hint="default"/>
      </w:rPr>
    </w:lvl>
    <w:lvl w:ilvl="7" w:tplc="FFFFFFFF" w:tentative="1">
      <w:start w:val="1"/>
      <w:numFmt w:val="bullet"/>
      <w:lvlText w:val="o"/>
      <w:lvlJc w:val="left"/>
      <w:pPr>
        <w:tabs>
          <w:tab w:val="num" w:pos="6172"/>
        </w:tabs>
        <w:ind w:left="6172" w:hanging="360"/>
      </w:pPr>
      <w:rPr>
        <w:rFonts w:ascii="Courier New" w:hAnsi="Courier New" w:cs="Roman 10cpi" w:hint="default"/>
      </w:rPr>
    </w:lvl>
    <w:lvl w:ilvl="8" w:tplc="FFFFFFFF" w:tentative="1">
      <w:start w:val="1"/>
      <w:numFmt w:val="bullet"/>
      <w:lvlText w:val=""/>
      <w:lvlJc w:val="left"/>
      <w:pPr>
        <w:tabs>
          <w:tab w:val="num" w:pos="6892"/>
        </w:tabs>
        <w:ind w:left="6892" w:hanging="360"/>
      </w:pPr>
      <w:rPr>
        <w:rFonts w:ascii="Wingdings" w:hAnsi="Wingdings" w:hint="default"/>
      </w:rPr>
    </w:lvl>
  </w:abstractNum>
  <w:abstractNum w:abstractNumId="3" w15:restartNumberingAfterBreak="0">
    <w:nsid w:val="037B3F0D"/>
    <w:multiLevelType w:val="hybridMultilevel"/>
    <w:tmpl w:val="CD34E45E"/>
    <w:lvl w:ilvl="0" w:tplc="51360EA2">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4" w15:restartNumberingAfterBreak="0">
    <w:nsid w:val="06B21741"/>
    <w:multiLevelType w:val="hybridMultilevel"/>
    <w:tmpl w:val="B492EC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90770EE"/>
    <w:multiLevelType w:val="hybridMultilevel"/>
    <w:tmpl w:val="2B363CFE"/>
    <w:lvl w:ilvl="0" w:tplc="D87CB71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BB15A1"/>
    <w:multiLevelType w:val="hybridMultilevel"/>
    <w:tmpl w:val="065AF9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0CDA44CC"/>
    <w:multiLevelType w:val="hybridMultilevel"/>
    <w:tmpl w:val="3A1C9728"/>
    <w:lvl w:ilvl="0" w:tplc="297CC396">
      <w:start w:val="1"/>
      <w:numFmt w:val="upperRoman"/>
      <w:lvlText w:val="%1-"/>
      <w:lvlJc w:val="left"/>
      <w:pPr>
        <w:ind w:left="1080" w:hanging="720"/>
      </w:pPr>
      <w:rPr>
        <w:rFonts w:hint="default"/>
      </w:rPr>
    </w:lvl>
    <w:lvl w:ilvl="1" w:tplc="45B4A1AC">
      <w:numFmt w:val="bullet"/>
      <w:lvlText w:val="-"/>
      <w:lvlJc w:val="left"/>
      <w:pPr>
        <w:ind w:left="1440" w:hanging="360"/>
      </w:pPr>
      <w:rPr>
        <w:rFonts w:ascii="Times New Roman" w:eastAsiaTheme="minorHAnsi"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EF539E"/>
    <w:multiLevelType w:val="hybridMultilevel"/>
    <w:tmpl w:val="352C4EC4"/>
    <w:lvl w:ilvl="0" w:tplc="0E5E7DC2">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D5828C3"/>
    <w:multiLevelType w:val="hybridMultilevel"/>
    <w:tmpl w:val="13BC58FC"/>
    <w:lvl w:ilvl="0" w:tplc="1AC8DDD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0DD2658F"/>
    <w:multiLevelType w:val="multilevel"/>
    <w:tmpl w:val="10168BF2"/>
    <w:lvl w:ilvl="0">
      <w:start w:val="1"/>
      <w:numFmt w:val="bullet"/>
      <w:pStyle w:val="Text1"/>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0E3C51AE"/>
    <w:multiLevelType w:val="hybridMultilevel"/>
    <w:tmpl w:val="6B8E918E"/>
    <w:lvl w:ilvl="0" w:tplc="3C527F72">
      <w:start w:val="1"/>
      <w:numFmt w:val="lowerRoman"/>
      <w:pStyle w:val="Estilo1"/>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0F3F05FE"/>
    <w:multiLevelType w:val="hybridMultilevel"/>
    <w:tmpl w:val="3782F360"/>
    <w:lvl w:ilvl="0" w:tplc="74F67E48">
      <w:start w:val="1"/>
      <w:numFmt w:val="lowerLetter"/>
      <w:lvlText w:val="(%1)"/>
      <w:lvlJc w:val="left"/>
      <w:pPr>
        <w:tabs>
          <w:tab w:val="num" w:pos="1860"/>
        </w:tabs>
        <w:ind w:left="186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15:restartNumberingAfterBreak="0">
    <w:nsid w:val="14E1347B"/>
    <w:multiLevelType w:val="hybridMultilevel"/>
    <w:tmpl w:val="B894B4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196C93"/>
    <w:multiLevelType w:val="multilevel"/>
    <w:tmpl w:val="21B811E6"/>
    <w:lvl w:ilvl="0">
      <w:start w:val="1"/>
      <w:numFmt w:val="bullet"/>
      <w:pStyle w:val="textbullet2"/>
      <w:lvlText w:val=""/>
      <w:lvlJc w:val="left"/>
      <w:pPr>
        <w:tabs>
          <w:tab w:val="num" w:pos="720"/>
        </w:tabs>
        <w:ind w:left="720" w:hanging="360"/>
      </w:pPr>
      <w:rPr>
        <w:rFonts w:ascii="Symbol" w:hAnsi="Symbol" w:cs="Symbol"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5" w15:restartNumberingAfterBreak="0">
    <w:nsid w:val="16502B09"/>
    <w:multiLevelType w:val="hybridMultilevel"/>
    <w:tmpl w:val="0B06233A"/>
    <w:lvl w:ilvl="0" w:tplc="C9AA1D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7390EAE"/>
    <w:multiLevelType w:val="hybridMultilevel"/>
    <w:tmpl w:val="42B6CF24"/>
    <w:lvl w:ilvl="0" w:tplc="3D204E46">
      <w:start w:val="1"/>
      <w:numFmt w:val="bullet"/>
      <w:pStyle w:val="Vieta"/>
      <w:lvlText w:val=""/>
      <w:lvlJc w:val="left"/>
      <w:pPr>
        <w:tabs>
          <w:tab w:val="num" w:pos="1560"/>
        </w:tabs>
        <w:ind w:left="1560" w:hanging="360"/>
      </w:pPr>
      <w:rPr>
        <w:rFonts w:ascii="Symbol" w:hAnsi="Symbol" w:hint="default"/>
      </w:rPr>
    </w:lvl>
    <w:lvl w:ilvl="1" w:tplc="0C0A0003" w:tentative="1">
      <w:start w:val="1"/>
      <w:numFmt w:val="bullet"/>
      <w:lvlText w:val="o"/>
      <w:lvlJc w:val="left"/>
      <w:pPr>
        <w:tabs>
          <w:tab w:val="num" w:pos="2280"/>
        </w:tabs>
        <w:ind w:left="2280" w:hanging="360"/>
      </w:pPr>
      <w:rPr>
        <w:rFonts w:ascii="Courier New" w:hAnsi="Courier New" w:hint="default"/>
      </w:rPr>
    </w:lvl>
    <w:lvl w:ilvl="2" w:tplc="0C0A0005" w:tentative="1">
      <w:start w:val="1"/>
      <w:numFmt w:val="bullet"/>
      <w:lvlText w:val=""/>
      <w:lvlJc w:val="left"/>
      <w:pPr>
        <w:tabs>
          <w:tab w:val="num" w:pos="3000"/>
        </w:tabs>
        <w:ind w:left="3000" w:hanging="360"/>
      </w:pPr>
      <w:rPr>
        <w:rFonts w:ascii="Wingdings" w:hAnsi="Wingdings" w:hint="default"/>
      </w:rPr>
    </w:lvl>
    <w:lvl w:ilvl="3" w:tplc="0C0A0001" w:tentative="1">
      <w:start w:val="1"/>
      <w:numFmt w:val="bullet"/>
      <w:lvlText w:val=""/>
      <w:lvlJc w:val="left"/>
      <w:pPr>
        <w:tabs>
          <w:tab w:val="num" w:pos="3720"/>
        </w:tabs>
        <w:ind w:left="3720" w:hanging="360"/>
      </w:pPr>
      <w:rPr>
        <w:rFonts w:ascii="Symbol" w:hAnsi="Symbol" w:hint="default"/>
      </w:rPr>
    </w:lvl>
    <w:lvl w:ilvl="4" w:tplc="0C0A0003" w:tentative="1">
      <w:start w:val="1"/>
      <w:numFmt w:val="bullet"/>
      <w:lvlText w:val="o"/>
      <w:lvlJc w:val="left"/>
      <w:pPr>
        <w:tabs>
          <w:tab w:val="num" w:pos="4440"/>
        </w:tabs>
        <w:ind w:left="4440" w:hanging="360"/>
      </w:pPr>
      <w:rPr>
        <w:rFonts w:ascii="Courier New" w:hAnsi="Courier New" w:hint="default"/>
      </w:rPr>
    </w:lvl>
    <w:lvl w:ilvl="5" w:tplc="0C0A0005" w:tentative="1">
      <w:start w:val="1"/>
      <w:numFmt w:val="bullet"/>
      <w:lvlText w:val=""/>
      <w:lvlJc w:val="left"/>
      <w:pPr>
        <w:tabs>
          <w:tab w:val="num" w:pos="5160"/>
        </w:tabs>
        <w:ind w:left="5160" w:hanging="360"/>
      </w:pPr>
      <w:rPr>
        <w:rFonts w:ascii="Wingdings" w:hAnsi="Wingdings" w:hint="default"/>
      </w:rPr>
    </w:lvl>
    <w:lvl w:ilvl="6" w:tplc="0C0A0001" w:tentative="1">
      <w:start w:val="1"/>
      <w:numFmt w:val="bullet"/>
      <w:lvlText w:val=""/>
      <w:lvlJc w:val="left"/>
      <w:pPr>
        <w:tabs>
          <w:tab w:val="num" w:pos="5880"/>
        </w:tabs>
        <w:ind w:left="5880" w:hanging="360"/>
      </w:pPr>
      <w:rPr>
        <w:rFonts w:ascii="Symbol" w:hAnsi="Symbol" w:hint="default"/>
      </w:rPr>
    </w:lvl>
    <w:lvl w:ilvl="7" w:tplc="0C0A0003" w:tentative="1">
      <w:start w:val="1"/>
      <w:numFmt w:val="bullet"/>
      <w:lvlText w:val="o"/>
      <w:lvlJc w:val="left"/>
      <w:pPr>
        <w:tabs>
          <w:tab w:val="num" w:pos="6600"/>
        </w:tabs>
        <w:ind w:left="6600" w:hanging="360"/>
      </w:pPr>
      <w:rPr>
        <w:rFonts w:ascii="Courier New" w:hAnsi="Courier New" w:hint="default"/>
      </w:rPr>
    </w:lvl>
    <w:lvl w:ilvl="8" w:tplc="0C0A0005" w:tentative="1">
      <w:start w:val="1"/>
      <w:numFmt w:val="bullet"/>
      <w:lvlText w:val=""/>
      <w:lvlJc w:val="left"/>
      <w:pPr>
        <w:tabs>
          <w:tab w:val="num" w:pos="7320"/>
        </w:tabs>
        <w:ind w:left="7320" w:hanging="360"/>
      </w:pPr>
      <w:rPr>
        <w:rFonts w:ascii="Wingdings" w:hAnsi="Wingdings" w:hint="default"/>
      </w:rPr>
    </w:lvl>
  </w:abstractNum>
  <w:abstractNum w:abstractNumId="17" w15:restartNumberingAfterBreak="0">
    <w:nsid w:val="17C62AEE"/>
    <w:multiLevelType w:val="hybridMultilevel"/>
    <w:tmpl w:val="2F3457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17F54A4E"/>
    <w:multiLevelType w:val="hybridMultilevel"/>
    <w:tmpl w:val="6B66859E"/>
    <w:lvl w:ilvl="0" w:tplc="C97888B6">
      <w:start w:val="1"/>
      <w:numFmt w:val="lowerLetter"/>
      <w:lvlText w:val="%1)"/>
      <w:lvlJc w:val="left"/>
      <w:pPr>
        <w:tabs>
          <w:tab w:val="num" w:pos="720"/>
        </w:tabs>
        <w:ind w:left="720" w:hanging="360"/>
      </w:pPr>
      <w:rPr>
        <w:rFonts w:eastAsia="Times New Roman" w:hint="default"/>
      </w:rPr>
    </w:lvl>
    <w:lvl w:ilvl="1" w:tplc="85AEF33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8EA7F87"/>
    <w:multiLevelType w:val="multilevel"/>
    <w:tmpl w:val="5EF0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936273"/>
    <w:multiLevelType w:val="hybridMultilevel"/>
    <w:tmpl w:val="54E403A8"/>
    <w:lvl w:ilvl="0" w:tplc="080A0001">
      <w:start w:val="1"/>
      <w:numFmt w:val="bullet"/>
      <w:lvlText w:val=""/>
      <w:lvlJc w:val="left"/>
      <w:pPr>
        <w:ind w:left="3414" w:hanging="360"/>
      </w:pPr>
      <w:rPr>
        <w:rFonts w:ascii="Symbol" w:hAnsi="Symbol" w:hint="default"/>
      </w:rPr>
    </w:lvl>
    <w:lvl w:ilvl="1" w:tplc="080A0003" w:tentative="1">
      <w:start w:val="1"/>
      <w:numFmt w:val="bullet"/>
      <w:lvlText w:val="o"/>
      <w:lvlJc w:val="left"/>
      <w:pPr>
        <w:ind w:left="4134" w:hanging="360"/>
      </w:pPr>
      <w:rPr>
        <w:rFonts w:ascii="Courier New" w:hAnsi="Courier New" w:cs="Courier New" w:hint="default"/>
      </w:rPr>
    </w:lvl>
    <w:lvl w:ilvl="2" w:tplc="080A0005" w:tentative="1">
      <w:start w:val="1"/>
      <w:numFmt w:val="bullet"/>
      <w:lvlText w:val=""/>
      <w:lvlJc w:val="left"/>
      <w:pPr>
        <w:ind w:left="4854" w:hanging="360"/>
      </w:pPr>
      <w:rPr>
        <w:rFonts w:ascii="Wingdings" w:hAnsi="Wingdings" w:hint="default"/>
      </w:rPr>
    </w:lvl>
    <w:lvl w:ilvl="3" w:tplc="080A0001" w:tentative="1">
      <w:start w:val="1"/>
      <w:numFmt w:val="bullet"/>
      <w:lvlText w:val=""/>
      <w:lvlJc w:val="left"/>
      <w:pPr>
        <w:ind w:left="5574" w:hanging="360"/>
      </w:pPr>
      <w:rPr>
        <w:rFonts w:ascii="Symbol" w:hAnsi="Symbol" w:hint="default"/>
      </w:rPr>
    </w:lvl>
    <w:lvl w:ilvl="4" w:tplc="080A0003" w:tentative="1">
      <w:start w:val="1"/>
      <w:numFmt w:val="bullet"/>
      <w:lvlText w:val="o"/>
      <w:lvlJc w:val="left"/>
      <w:pPr>
        <w:ind w:left="6294" w:hanging="360"/>
      </w:pPr>
      <w:rPr>
        <w:rFonts w:ascii="Courier New" w:hAnsi="Courier New" w:cs="Courier New" w:hint="default"/>
      </w:rPr>
    </w:lvl>
    <w:lvl w:ilvl="5" w:tplc="080A0005" w:tentative="1">
      <w:start w:val="1"/>
      <w:numFmt w:val="bullet"/>
      <w:lvlText w:val=""/>
      <w:lvlJc w:val="left"/>
      <w:pPr>
        <w:ind w:left="7014" w:hanging="360"/>
      </w:pPr>
      <w:rPr>
        <w:rFonts w:ascii="Wingdings" w:hAnsi="Wingdings" w:hint="default"/>
      </w:rPr>
    </w:lvl>
    <w:lvl w:ilvl="6" w:tplc="080A0001" w:tentative="1">
      <w:start w:val="1"/>
      <w:numFmt w:val="bullet"/>
      <w:lvlText w:val=""/>
      <w:lvlJc w:val="left"/>
      <w:pPr>
        <w:ind w:left="7734" w:hanging="360"/>
      </w:pPr>
      <w:rPr>
        <w:rFonts w:ascii="Symbol" w:hAnsi="Symbol" w:hint="default"/>
      </w:rPr>
    </w:lvl>
    <w:lvl w:ilvl="7" w:tplc="080A0003" w:tentative="1">
      <w:start w:val="1"/>
      <w:numFmt w:val="bullet"/>
      <w:lvlText w:val="o"/>
      <w:lvlJc w:val="left"/>
      <w:pPr>
        <w:ind w:left="8454" w:hanging="360"/>
      </w:pPr>
      <w:rPr>
        <w:rFonts w:ascii="Courier New" w:hAnsi="Courier New" w:cs="Courier New" w:hint="default"/>
      </w:rPr>
    </w:lvl>
    <w:lvl w:ilvl="8" w:tplc="080A0005" w:tentative="1">
      <w:start w:val="1"/>
      <w:numFmt w:val="bullet"/>
      <w:lvlText w:val=""/>
      <w:lvlJc w:val="left"/>
      <w:pPr>
        <w:ind w:left="9174" w:hanging="360"/>
      </w:pPr>
      <w:rPr>
        <w:rFonts w:ascii="Wingdings" w:hAnsi="Wingdings" w:hint="default"/>
      </w:rPr>
    </w:lvl>
  </w:abstractNum>
  <w:abstractNum w:abstractNumId="21" w15:restartNumberingAfterBreak="0">
    <w:nsid w:val="1E251E0D"/>
    <w:multiLevelType w:val="singleLevel"/>
    <w:tmpl w:val="F986217A"/>
    <w:lvl w:ilvl="0">
      <w:start w:val="1"/>
      <w:numFmt w:val="bullet"/>
      <w:pStyle w:val="Listaconvietas2"/>
      <w:lvlText w:val=""/>
      <w:lvlJc w:val="left"/>
      <w:pPr>
        <w:tabs>
          <w:tab w:val="num" w:pos="1080"/>
        </w:tabs>
        <w:ind w:left="1080" w:hanging="360"/>
      </w:pPr>
      <w:rPr>
        <w:rFonts w:ascii="Symbol" w:hAnsi="Symbol" w:hint="default"/>
        <w:sz w:val="16"/>
      </w:rPr>
    </w:lvl>
  </w:abstractNum>
  <w:abstractNum w:abstractNumId="22" w15:restartNumberingAfterBreak="0">
    <w:nsid w:val="1EA60926"/>
    <w:multiLevelType w:val="hybridMultilevel"/>
    <w:tmpl w:val="49EC7220"/>
    <w:lvl w:ilvl="0" w:tplc="B590D078">
      <w:start w:val="1"/>
      <w:numFmt w:val="bullet"/>
      <w:pStyle w:val="BulletBodyText2"/>
      <w:lvlText w:val=""/>
      <w:lvlJc w:val="left"/>
      <w:pPr>
        <w:tabs>
          <w:tab w:val="num" w:pos="1259"/>
        </w:tabs>
        <w:ind w:left="1259" w:hanging="360"/>
      </w:pPr>
      <w:rPr>
        <w:rFonts w:ascii="Symbol" w:hAnsi="Symbol" w:hint="default"/>
      </w:rPr>
    </w:lvl>
    <w:lvl w:ilvl="1" w:tplc="0C0A0003" w:tentative="1">
      <w:start w:val="1"/>
      <w:numFmt w:val="bullet"/>
      <w:lvlText w:val="o"/>
      <w:lvlJc w:val="left"/>
      <w:pPr>
        <w:tabs>
          <w:tab w:val="num" w:pos="1979"/>
        </w:tabs>
        <w:ind w:left="1979" w:hanging="360"/>
      </w:pPr>
      <w:rPr>
        <w:rFonts w:ascii="Courier New" w:hAnsi="Courier New" w:hint="default"/>
      </w:rPr>
    </w:lvl>
    <w:lvl w:ilvl="2" w:tplc="0C0A0005" w:tentative="1">
      <w:start w:val="1"/>
      <w:numFmt w:val="bullet"/>
      <w:lvlText w:val=""/>
      <w:lvlJc w:val="left"/>
      <w:pPr>
        <w:tabs>
          <w:tab w:val="num" w:pos="2699"/>
        </w:tabs>
        <w:ind w:left="2699" w:hanging="360"/>
      </w:pPr>
      <w:rPr>
        <w:rFonts w:ascii="Wingdings" w:hAnsi="Wingdings" w:hint="default"/>
      </w:rPr>
    </w:lvl>
    <w:lvl w:ilvl="3" w:tplc="0C0A0001" w:tentative="1">
      <w:start w:val="1"/>
      <w:numFmt w:val="bullet"/>
      <w:lvlText w:val=""/>
      <w:lvlJc w:val="left"/>
      <w:pPr>
        <w:tabs>
          <w:tab w:val="num" w:pos="3419"/>
        </w:tabs>
        <w:ind w:left="3419" w:hanging="360"/>
      </w:pPr>
      <w:rPr>
        <w:rFonts w:ascii="Symbol" w:hAnsi="Symbol" w:hint="default"/>
      </w:rPr>
    </w:lvl>
    <w:lvl w:ilvl="4" w:tplc="0C0A0003" w:tentative="1">
      <w:start w:val="1"/>
      <w:numFmt w:val="bullet"/>
      <w:lvlText w:val="o"/>
      <w:lvlJc w:val="left"/>
      <w:pPr>
        <w:tabs>
          <w:tab w:val="num" w:pos="4139"/>
        </w:tabs>
        <w:ind w:left="4139" w:hanging="360"/>
      </w:pPr>
      <w:rPr>
        <w:rFonts w:ascii="Courier New" w:hAnsi="Courier New" w:hint="default"/>
      </w:rPr>
    </w:lvl>
    <w:lvl w:ilvl="5" w:tplc="0C0A0005" w:tentative="1">
      <w:start w:val="1"/>
      <w:numFmt w:val="bullet"/>
      <w:lvlText w:val=""/>
      <w:lvlJc w:val="left"/>
      <w:pPr>
        <w:tabs>
          <w:tab w:val="num" w:pos="4859"/>
        </w:tabs>
        <w:ind w:left="4859" w:hanging="360"/>
      </w:pPr>
      <w:rPr>
        <w:rFonts w:ascii="Wingdings" w:hAnsi="Wingdings" w:hint="default"/>
      </w:rPr>
    </w:lvl>
    <w:lvl w:ilvl="6" w:tplc="0C0A0001" w:tentative="1">
      <w:start w:val="1"/>
      <w:numFmt w:val="bullet"/>
      <w:lvlText w:val=""/>
      <w:lvlJc w:val="left"/>
      <w:pPr>
        <w:tabs>
          <w:tab w:val="num" w:pos="5579"/>
        </w:tabs>
        <w:ind w:left="5579" w:hanging="360"/>
      </w:pPr>
      <w:rPr>
        <w:rFonts w:ascii="Symbol" w:hAnsi="Symbol" w:hint="default"/>
      </w:rPr>
    </w:lvl>
    <w:lvl w:ilvl="7" w:tplc="0C0A0003" w:tentative="1">
      <w:start w:val="1"/>
      <w:numFmt w:val="bullet"/>
      <w:lvlText w:val="o"/>
      <w:lvlJc w:val="left"/>
      <w:pPr>
        <w:tabs>
          <w:tab w:val="num" w:pos="6299"/>
        </w:tabs>
        <w:ind w:left="6299" w:hanging="360"/>
      </w:pPr>
      <w:rPr>
        <w:rFonts w:ascii="Courier New" w:hAnsi="Courier New" w:hint="default"/>
      </w:rPr>
    </w:lvl>
    <w:lvl w:ilvl="8" w:tplc="0C0A0005" w:tentative="1">
      <w:start w:val="1"/>
      <w:numFmt w:val="bullet"/>
      <w:lvlText w:val=""/>
      <w:lvlJc w:val="left"/>
      <w:pPr>
        <w:tabs>
          <w:tab w:val="num" w:pos="7019"/>
        </w:tabs>
        <w:ind w:left="7019" w:hanging="360"/>
      </w:pPr>
      <w:rPr>
        <w:rFonts w:ascii="Wingdings" w:hAnsi="Wingdings" w:hint="default"/>
      </w:rPr>
    </w:lvl>
  </w:abstractNum>
  <w:abstractNum w:abstractNumId="23" w15:restartNumberingAfterBreak="0">
    <w:nsid w:val="220E2B8B"/>
    <w:multiLevelType w:val="multilevel"/>
    <w:tmpl w:val="4EBC0B3A"/>
    <w:lvl w:ilvl="0">
      <w:start w:val="1"/>
      <w:numFmt w:val="none"/>
      <w:suff w:val="nothing"/>
      <w:lvlText w:val=""/>
      <w:lvlJc w:val="left"/>
      <w:pPr>
        <w:tabs>
          <w:tab w:val="num" w:pos="360"/>
        </w:tabs>
      </w:pPr>
    </w:lvl>
    <w:lvl w:ilvl="1">
      <w:start w:val="1"/>
      <w:numFmt w:val="none"/>
      <w:suff w:val="nothing"/>
      <w:lvlText w:val=""/>
      <w:lvlJc w:val="left"/>
      <w:pPr>
        <w:tabs>
          <w:tab w:val="num" w:pos="1080"/>
        </w:tabs>
        <w:ind w:left="720"/>
      </w:pPr>
    </w:lvl>
    <w:lvl w:ilvl="2">
      <w:start w:val="1"/>
      <w:numFmt w:val="none"/>
      <w:suff w:val="nothing"/>
      <w:lvlText w:val=""/>
      <w:lvlJc w:val="left"/>
      <w:pPr>
        <w:tabs>
          <w:tab w:val="num" w:pos="1800"/>
        </w:tabs>
        <w:ind w:left="1440"/>
      </w:pPr>
    </w:lvl>
    <w:lvl w:ilvl="3">
      <w:start w:val="1"/>
      <w:numFmt w:val="lowerLetter"/>
      <w:pStyle w:val="Ttulo4"/>
      <w:lvlText w:val="(%4)"/>
      <w:lvlJc w:val="left"/>
      <w:pPr>
        <w:tabs>
          <w:tab w:val="num" w:pos="0"/>
        </w:tabs>
        <w:ind w:left="2160"/>
      </w:pPr>
      <w:rPr>
        <w:b w:val="0"/>
        <w:bCs w:val="0"/>
        <w:i w:val="0"/>
        <w:iCs w:val="0"/>
        <w: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Ttulo5"/>
      <w:suff w:val="nothing"/>
      <w:lvlText w:val=""/>
      <w:lvlJc w:val="left"/>
      <w:pPr>
        <w:tabs>
          <w:tab w:val="num" w:pos="3240"/>
        </w:tabs>
        <w:ind w:left="2880"/>
      </w:pPr>
    </w:lvl>
    <w:lvl w:ilvl="5">
      <w:start w:val="1"/>
      <w:numFmt w:val="none"/>
      <w:pStyle w:val="Ttulo6"/>
      <w:suff w:val="nothing"/>
      <w:lvlText w:val=""/>
      <w:lvlJc w:val="left"/>
      <w:pPr>
        <w:tabs>
          <w:tab w:val="num" w:pos="3960"/>
        </w:tabs>
        <w:ind w:left="3600"/>
      </w:pPr>
    </w:lvl>
    <w:lvl w:ilvl="6">
      <w:start w:val="1"/>
      <w:numFmt w:val="none"/>
      <w:pStyle w:val="Ttulo7"/>
      <w:suff w:val="nothing"/>
      <w:lvlText w:val=""/>
      <w:lvlJc w:val="left"/>
      <w:pPr>
        <w:tabs>
          <w:tab w:val="num" w:pos="4680"/>
        </w:tabs>
        <w:ind w:left="4320"/>
      </w:pPr>
    </w:lvl>
    <w:lvl w:ilvl="7">
      <w:start w:val="1"/>
      <w:numFmt w:val="none"/>
      <w:pStyle w:val="Ttulo8"/>
      <w:suff w:val="nothing"/>
      <w:lvlText w:val=""/>
      <w:lvlJc w:val="left"/>
      <w:pPr>
        <w:tabs>
          <w:tab w:val="num" w:pos="5400"/>
        </w:tabs>
        <w:ind w:left="5040"/>
      </w:pPr>
    </w:lvl>
    <w:lvl w:ilvl="8">
      <w:start w:val="1"/>
      <w:numFmt w:val="none"/>
      <w:pStyle w:val="Ttulo9"/>
      <w:suff w:val="nothing"/>
      <w:lvlText w:val=""/>
      <w:lvlJc w:val="left"/>
      <w:pPr>
        <w:tabs>
          <w:tab w:val="num" w:pos="6120"/>
        </w:tabs>
        <w:ind w:left="5760"/>
      </w:pPr>
    </w:lvl>
  </w:abstractNum>
  <w:abstractNum w:abstractNumId="24" w15:restartNumberingAfterBreak="0">
    <w:nsid w:val="223172DE"/>
    <w:multiLevelType w:val="hybridMultilevel"/>
    <w:tmpl w:val="FE56F5AA"/>
    <w:lvl w:ilvl="0" w:tplc="0C0A0001">
      <w:numFmt w:val="decimal"/>
      <w:lvlText w:val=""/>
      <w:lvlJc w:val="left"/>
      <w:pPr>
        <w:tabs>
          <w:tab w:val="num" w:pos="720"/>
        </w:tabs>
        <w:ind w:left="720" w:hanging="360"/>
      </w:pPr>
      <w:rPr>
        <w:rFonts w:ascii="Symbol" w:hAnsi="Symbol" w:hint="default"/>
        <w:spacing w:val="0"/>
      </w:rPr>
    </w:lvl>
    <w:lvl w:ilvl="1" w:tplc="0C0A0003">
      <w:start w:val="1"/>
      <w:numFmt w:val="decimal"/>
      <w:lvlText w:val="%2."/>
      <w:lvlJc w:val="left"/>
      <w:pPr>
        <w:tabs>
          <w:tab w:val="num" w:pos="1440"/>
        </w:tabs>
        <w:ind w:left="1440" w:hanging="360"/>
      </w:pPr>
      <w:rPr>
        <w:rFonts w:cs="Times New Roman"/>
        <w:spacing w:val="0"/>
      </w:rPr>
    </w:lvl>
    <w:lvl w:ilvl="2" w:tplc="0C0A0005">
      <w:start w:val="1"/>
      <w:numFmt w:val="decimal"/>
      <w:lvlText w:val="%3."/>
      <w:lvlJc w:val="left"/>
      <w:pPr>
        <w:tabs>
          <w:tab w:val="num" w:pos="2160"/>
        </w:tabs>
        <w:ind w:left="2160" w:hanging="360"/>
      </w:pPr>
      <w:rPr>
        <w:rFonts w:cs="Times New Roman"/>
        <w:spacing w:val="0"/>
      </w:rPr>
    </w:lvl>
    <w:lvl w:ilvl="3" w:tplc="0C0A0001">
      <w:start w:val="1"/>
      <w:numFmt w:val="decimal"/>
      <w:lvlText w:val="%4."/>
      <w:lvlJc w:val="left"/>
      <w:pPr>
        <w:tabs>
          <w:tab w:val="num" w:pos="2880"/>
        </w:tabs>
        <w:ind w:left="2880" w:hanging="360"/>
      </w:pPr>
      <w:rPr>
        <w:rFonts w:cs="Times New Roman"/>
        <w:spacing w:val="0"/>
      </w:rPr>
    </w:lvl>
    <w:lvl w:ilvl="4" w:tplc="0C0A0003">
      <w:start w:val="1"/>
      <w:numFmt w:val="decimal"/>
      <w:lvlText w:val="%5."/>
      <w:lvlJc w:val="left"/>
      <w:pPr>
        <w:tabs>
          <w:tab w:val="num" w:pos="3600"/>
        </w:tabs>
        <w:ind w:left="3600" w:hanging="360"/>
      </w:pPr>
      <w:rPr>
        <w:rFonts w:cs="Times New Roman"/>
        <w:spacing w:val="0"/>
      </w:rPr>
    </w:lvl>
    <w:lvl w:ilvl="5" w:tplc="0C0A0005">
      <w:start w:val="1"/>
      <w:numFmt w:val="decimal"/>
      <w:lvlText w:val="%6."/>
      <w:lvlJc w:val="left"/>
      <w:pPr>
        <w:tabs>
          <w:tab w:val="num" w:pos="4320"/>
        </w:tabs>
        <w:ind w:left="4320" w:hanging="360"/>
      </w:pPr>
      <w:rPr>
        <w:rFonts w:cs="Times New Roman"/>
        <w:spacing w:val="0"/>
      </w:rPr>
    </w:lvl>
    <w:lvl w:ilvl="6" w:tplc="0C0A0001">
      <w:start w:val="1"/>
      <w:numFmt w:val="decimal"/>
      <w:lvlText w:val="%7."/>
      <w:lvlJc w:val="left"/>
      <w:pPr>
        <w:tabs>
          <w:tab w:val="num" w:pos="5040"/>
        </w:tabs>
        <w:ind w:left="5040" w:hanging="360"/>
      </w:pPr>
      <w:rPr>
        <w:rFonts w:cs="Times New Roman"/>
        <w:spacing w:val="0"/>
      </w:rPr>
    </w:lvl>
    <w:lvl w:ilvl="7" w:tplc="0C0A0003">
      <w:start w:val="1"/>
      <w:numFmt w:val="decimal"/>
      <w:lvlText w:val="%8."/>
      <w:lvlJc w:val="left"/>
      <w:pPr>
        <w:tabs>
          <w:tab w:val="num" w:pos="5760"/>
        </w:tabs>
        <w:ind w:left="5760" w:hanging="360"/>
      </w:pPr>
      <w:rPr>
        <w:rFonts w:cs="Times New Roman"/>
        <w:spacing w:val="0"/>
      </w:rPr>
    </w:lvl>
    <w:lvl w:ilvl="8" w:tplc="0C0A0005">
      <w:start w:val="1"/>
      <w:numFmt w:val="decimal"/>
      <w:lvlText w:val="%9."/>
      <w:lvlJc w:val="left"/>
      <w:pPr>
        <w:tabs>
          <w:tab w:val="num" w:pos="6480"/>
        </w:tabs>
        <w:ind w:left="6480" w:hanging="360"/>
      </w:pPr>
      <w:rPr>
        <w:rFonts w:cs="Times New Roman"/>
        <w:spacing w:val="0"/>
      </w:rPr>
    </w:lvl>
  </w:abstractNum>
  <w:abstractNum w:abstractNumId="25" w15:restartNumberingAfterBreak="0">
    <w:nsid w:val="242A1224"/>
    <w:multiLevelType w:val="hybridMultilevel"/>
    <w:tmpl w:val="C9FC515E"/>
    <w:lvl w:ilvl="0" w:tplc="9F40000A">
      <w:start w:val="1"/>
      <w:numFmt w:val="low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6" w15:restartNumberingAfterBreak="0">
    <w:nsid w:val="26A362FE"/>
    <w:multiLevelType w:val="hybridMultilevel"/>
    <w:tmpl w:val="290635E6"/>
    <w:lvl w:ilvl="0" w:tplc="CBE216D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6E56157"/>
    <w:multiLevelType w:val="hybridMultilevel"/>
    <w:tmpl w:val="908E2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F5D3A3C"/>
    <w:multiLevelType w:val="hybridMultilevel"/>
    <w:tmpl w:val="5B0E95C0"/>
    <w:lvl w:ilvl="0" w:tplc="0E5E7DC2">
      <w:start w:val="1"/>
      <w:numFmt w:val="lowerRoman"/>
      <w:lvlText w:val="(%1)"/>
      <w:lvlJc w:val="left"/>
      <w:pPr>
        <w:tabs>
          <w:tab w:val="num" w:pos="2940"/>
        </w:tabs>
        <w:ind w:left="2940" w:hanging="1440"/>
      </w:pPr>
      <w:rPr>
        <w:rFonts w:hint="default"/>
      </w:rPr>
    </w:lvl>
    <w:lvl w:ilvl="1" w:tplc="777A2664">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3C0D3C"/>
    <w:multiLevelType w:val="hybridMultilevel"/>
    <w:tmpl w:val="CCAEB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25B78B0"/>
    <w:multiLevelType w:val="hybridMultilevel"/>
    <w:tmpl w:val="4FE8EB1E"/>
    <w:lvl w:ilvl="0" w:tplc="64126C54">
      <w:start w:val="1"/>
      <w:numFmt w:val="lowerRoman"/>
      <w:lvlText w:val="(%1)"/>
      <w:lvlJc w:val="left"/>
      <w:pPr>
        <w:tabs>
          <w:tab w:val="num" w:pos="2640"/>
        </w:tabs>
        <w:ind w:left="2640" w:hanging="1440"/>
      </w:pPr>
      <w:rPr>
        <w:rFonts w:ascii="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800A1F"/>
    <w:multiLevelType w:val="hybridMultilevel"/>
    <w:tmpl w:val="1118098A"/>
    <w:lvl w:ilvl="0" w:tplc="9B1C20C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C1111B1"/>
    <w:multiLevelType w:val="hybridMultilevel"/>
    <w:tmpl w:val="17DEE038"/>
    <w:lvl w:ilvl="0" w:tplc="080A0011">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D635049"/>
    <w:multiLevelType w:val="hybridMultilevel"/>
    <w:tmpl w:val="CD5AA594"/>
    <w:lvl w:ilvl="0" w:tplc="BED20DB6">
      <w:start w:val="1"/>
      <w:numFmt w:val="upperRoman"/>
      <w:lvlText w:val="%1."/>
      <w:lvlJc w:val="left"/>
      <w:pPr>
        <w:ind w:left="1080" w:hanging="72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31002E1"/>
    <w:multiLevelType w:val="multilevel"/>
    <w:tmpl w:val="C394784E"/>
    <w:lvl w:ilvl="0">
      <w:start w:val="1"/>
      <w:numFmt w:val="decimal"/>
      <w:lvlText w:val="%1."/>
      <w:lvlJc w:val="left"/>
      <w:pPr>
        <w:ind w:left="502"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4694521B"/>
    <w:multiLevelType w:val="hybridMultilevel"/>
    <w:tmpl w:val="5922C9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73D2F43"/>
    <w:multiLevelType w:val="hybridMultilevel"/>
    <w:tmpl w:val="B9C422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77A61B7"/>
    <w:multiLevelType w:val="singleLevel"/>
    <w:tmpl w:val="E15C33A6"/>
    <w:lvl w:ilvl="0">
      <w:start w:val="1"/>
      <w:numFmt w:val="bullet"/>
      <w:pStyle w:val="titulo5"/>
      <w:lvlText w:val=""/>
      <w:lvlJc w:val="left"/>
      <w:pPr>
        <w:tabs>
          <w:tab w:val="num" w:pos="360"/>
        </w:tabs>
        <w:ind w:left="360" w:hanging="360"/>
      </w:pPr>
      <w:rPr>
        <w:rFonts w:ascii="Symbol" w:hAnsi="Symbol" w:hint="default"/>
      </w:rPr>
    </w:lvl>
  </w:abstractNum>
  <w:abstractNum w:abstractNumId="38" w15:restartNumberingAfterBreak="0">
    <w:nsid w:val="47D85D9B"/>
    <w:multiLevelType w:val="hybridMultilevel"/>
    <w:tmpl w:val="3BFCC304"/>
    <w:lvl w:ilvl="0" w:tplc="0C0A0011">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7">
      <w:start w:val="1"/>
      <w:numFmt w:val="lowerLetter"/>
      <w:lvlText w:val="%3)"/>
      <w:lvlJc w:val="left"/>
      <w:pPr>
        <w:tabs>
          <w:tab w:val="num" w:pos="360"/>
        </w:tabs>
        <w:ind w:left="360" w:hanging="36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9" w15:restartNumberingAfterBreak="0">
    <w:nsid w:val="49BF6615"/>
    <w:multiLevelType w:val="multilevel"/>
    <w:tmpl w:val="085AB2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8AF71C8"/>
    <w:multiLevelType w:val="hybridMultilevel"/>
    <w:tmpl w:val="7BA258D8"/>
    <w:lvl w:ilvl="0" w:tplc="DF00A786">
      <w:start w:val="1"/>
      <w:numFmt w:val="lowerLetter"/>
      <w:lvlText w:val="%1)"/>
      <w:lvlJc w:val="left"/>
      <w:pPr>
        <w:ind w:left="1080" w:hanging="360"/>
      </w:pPr>
      <w:rPr>
        <w:rFonts w:ascii="Times New Roman" w:hAnsi="Times New Roman" w:cs="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5A1A5040"/>
    <w:multiLevelType w:val="hybridMultilevel"/>
    <w:tmpl w:val="E89671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D36525"/>
    <w:multiLevelType w:val="hybridMultilevel"/>
    <w:tmpl w:val="29E250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2390282"/>
    <w:multiLevelType w:val="hybridMultilevel"/>
    <w:tmpl w:val="C1B83DDA"/>
    <w:lvl w:ilvl="0" w:tplc="5BE0164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3545240"/>
    <w:multiLevelType w:val="hybridMultilevel"/>
    <w:tmpl w:val="3E3006AE"/>
    <w:lvl w:ilvl="0" w:tplc="4B045B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43C27C2"/>
    <w:multiLevelType w:val="hybridMultilevel"/>
    <w:tmpl w:val="FAE026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47" w15:restartNumberingAfterBreak="0">
    <w:nsid w:val="697A3934"/>
    <w:multiLevelType w:val="hybridMultilevel"/>
    <w:tmpl w:val="9C804176"/>
    <w:lvl w:ilvl="0" w:tplc="080A0001">
      <w:start w:val="1"/>
      <w:numFmt w:val="bullet"/>
      <w:lvlText w:val=""/>
      <w:lvlJc w:val="left"/>
      <w:pPr>
        <w:ind w:left="787" w:hanging="360"/>
      </w:pPr>
      <w:rPr>
        <w:rFonts w:ascii="Symbol" w:hAnsi="Symbol" w:hint="default"/>
      </w:rPr>
    </w:lvl>
    <w:lvl w:ilvl="1" w:tplc="080A0003">
      <w:start w:val="1"/>
      <w:numFmt w:val="bullet"/>
      <w:lvlText w:val="o"/>
      <w:lvlJc w:val="left"/>
      <w:pPr>
        <w:ind w:left="1507" w:hanging="360"/>
      </w:pPr>
      <w:rPr>
        <w:rFonts w:ascii="Courier New" w:hAnsi="Courier New" w:cs="Courier New" w:hint="default"/>
      </w:rPr>
    </w:lvl>
    <w:lvl w:ilvl="2" w:tplc="080A0005">
      <w:start w:val="1"/>
      <w:numFmt w:val="bullet"/>
      <w:lvlText w:val=""/>
      <w:lvlJc w:val="left"/>
      <w:pPr>
        <w:ind w:left="2227" w:hanging="360"/>
      </w:pPr>
      <w:rPr>
        <w:rFonts w:ascii="Wingdings" w:hAnsi="Wingdings" w:hint="default"/>
      </w:rPr>
    </w:lvl>
    <w:lvl w:ilvl="3" w:tplc="080A0001">
      <w:start w:val="1"/>
      <w:numFmt w:val="bullet"/>
      <w:lvlText w:val=""/>
      <w:lvlJc w:val="left"/>
      <w:pPr>
        <w:ind w:left="2947" w:hanging="360"/>
      </w:pPr>
      <w:rPr>
        <w:rFonts w:ascii="Symbol" w:hAnsi="Symbol" w:hint="default"/>
      </w:rPr>
    </w:lvl>
    <w:lvl w:ilvl="4" w:tplc="080A0003">
      <w:start w:val="1"/>
      <w:numFmt w:val="bullet"/>
      <w:lvlText w:val="o"/>
      <w:lvlJc w:val="left"/>
      <w:pPr>
        <w:ind w:left="3667" w:hanging="360"/>
      </w:pPr>
      <w:rPr>
        <w:rFonts w:ascii="Courier New" w:hAnsi="Courier New" w:cs="Courier New" w:hint="default"/>
      </w:rPr>
    </w:lvl>
    <w:lvl w:ilvl="5" w:tplc="080A0005">
      <w:start w:val="1"/>
      <w:numFmt w:val="bullet"/>
      <w:lvlText w:val=""/>
      <w:lvlJc w:val="left"/>
      <w:pPr>
        <w:ind w:left="4387" w:hanging="360"/>
      </w:pPr>
      <w:rPr>
        <w:rFonts w:ascii="Wingdings" w:hAnsi="Wingdings" w:hint="default"/>
      </w:rPr>
    </w:lvl>
    <w:lvl w:ilvl="6" w:tplc="080A0001">
      <w:start w:val="1"/>
      <w:numFmt w:val="bullet"/>
      <w:lvlText w:val=""/>
      <w:lvlJc w:val="left"/>
      <w:pPr>
        <w:ind w:left="5107" w:hanging="360"/>
      </w:pPr>
      <w:rPr>
        <w:rFonts w:ascii="Symbol" w:hAnsi="Symbol" w:hint="default"/>
      </w:rPr>
    </w:lvl>
    <w:lvl w:ilvl="7" w:tplc="080A0003">
      <w:start w:val="1"/>
      <w:numFmt w:val="bullet"/>
      <w:lvlText w:val="o"/>
      <w:lvlJc w:val="left"/>
      <w:pPr>
        <w:ind w:left="5827" w:hanging="360"/>
      </w:pPr>
      <w:rPr>
        <w:rFonts w:ascii="Courier New" w:hAnsi="Courier New" w:cs="Courier New" w:hint="default"/>
      </w:rPr>
    </w:lvl>
    <w:lvl w:ilvl="8" w:tplc="080A0005">
      <w:start w:val="1"/>
      <w:numFmt w:val="bullet"/>
      <w:lvlText w:val=""/>
      <w:lvlJc w:val="left"/>
      <w:pPr>
        <w:ind w:left="6547" w:hanging="360"/>
      </w:pPr>
      <w:rPr>
        <w:rFonts w:ascii="Wingdings" w:hAnsi="Wingdings" w:hint="default"/>
      </w:rPr>
    </w:lvl>
  </w:abstractNum>
  <w:abstractNum w:abstractNumId="48" w15:restartNumberingAfterBreak="0">
    <w:nsid w:val="6A336A77"/>
    <w:multiLevelType w:val="hybridMultilevel"/>
    <w:tmpl w:val="C838CAAE"/>
    <w:lvl w:ilvl="0" w:tplc="0409000F">
      <w:start w:val="1"/>
      <w:numFmt w:val="decimal"/>
      <w:lvlText w:val="%1."/>
      <w:lvlJc w:val="left"/>
      <w:pPr>
        <w:tabs>
          <w:tab w:val="num" w:pos="720"/>
        </w:tabs>
        <w:ind w:left="720" w:hanging="360"/>
      </w:pPr>
    </w:lvl>
    <w:lvl w:ilvl="1" w:tplc="0DFAB1A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AFE636F"/>
    <w:multiLevelType w:val="hybridMultilevel"/>
    <w:tmpl w:val="E8663A9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2E663D"/>
    <w:multiLevelType w:val="hybridMultilevel"/>
    <w:tmpl w:val="5992AA5A"/>
    <w:lvl w:ilvl="0" w:tplc="22E88246">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15:restartNumberingAfterBreak="0">
    <w:nsid w:val="6E4A4F64"/>
    <w:multiLevelType w:val="hybridMultilevel"/>
    <w:tmpl w:val="DFA8B4B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52" w15:restartNumberingAfterBreak="0">
    <w:nsid w:val="74146D58"/>
    <w:multiLevelType w:val="hybridMultilevel"/>
    <w:tmpl w:val="DCF07AE2"/>
    <w:lvl w:ilvl="0" w:tplc="FC0C1A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A7B1D6C"/>
    <w:multiLevelType w:val="hybridMultilevel"/>
    <w:tmpl w:val="BBA2B3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FF5C54"/>
    <w:multiLevelType w:val="hybridMultilevel"/>
    <w:tmpl w:val="87288A1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B7D404D"/>
    <w:multiLevelType w:val="hybridMultilevel"/>
    <w:tmpl w:val="F21808F8"/>
    <w:lvl w:ilvl="0" w:tplc="5BBEE1CC">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D0613C4"/>
    <w:multiLevelType w:val="singleLevel"/>
    <w:tmpl w:val="D1125A46"/>
    <w:lvl w:ilvl="0">
      <w:start w:val="1"/>
      <w:numFmt w:val="bullet"/>
      <w:pStyle w:val="Bullet"/>
      <w:lvlText w:val=""/>
      <w:lvlJc w:val="left"/>
      <w:pPr>
        <w:tabs>
          <w:tab w:val="num" w:pos="360"/>
        </w:tabs>
        <w:ind w:left="360" w:hanging="360"/>
      </w:pPr>
      <w:rPr>
        <w:rFonts w:ascii="Symbol" w:hAnsi="Symbol" w:hint="default"/>
      </w:rPr>
    </w:lvl>
  </w:abstractNum>
  <w:abstractNum w:abstractNumId="57" w15:restartNumberingAfterBreak="0">
    <w:nsid w:val="7FF11FD1"/>
    <w:multiLevelType w:val="hybridMultilevel"/>
    <w:tmpl w:val="465E030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23"/>
  </w:num>
  <w:num w:numId="4">
    <w:abstractNumId w:val="56"/>
  </w:num>
  <w:num w:numId="5">
    <w:abstractNumId w:val="37"/>
  </w:num>
  <w:num w:numId="6">
    <w:abstractNumId w:val="53"/>
  </w:num>
  <w:num w:numId="7">
    <w:abstractNumId w:val="16"/>
  </w:num>
  <w:num w:numId="8">
    <w:abstractNumId w:val="11"/>
  </w:num>
  <w:num w:numId="9">
    <w:abstractNumId w:val="48"/>
  </w:num>
  <w:num w:numId="10">
    <w:abstractNumId w:val="2"/>
  </w:num>
  <w:num w:numId="11">
    <w:abstractNumId w:val="46"/>
  </w:num>
  <w:num w:numId="12">
    <w:abstractNumId w:val="21"/>
  </w:num>
  <w:num w:numId="13">
    <w:abstractNumId w:val="22"/>
  </w:num>
  <w:num w:numId="14">
    <w:abstractNumId w:val="3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49"/>
  </w:num>
  <w:num w:numId="24">
    <w:abstractNumId w:val="4"/>
  </w:num>
  <w:num w:numId="25">
    <w:abstractNumId w:val="30"/>
  </w:num>
  <w:num w:numId="26">
    <w:abstractNumId w:val="31"/>
  </w:num>
  <w:num w:numId="27">
    <w:abstractNumId w:val="25"/>
  </w:num>
  <w:num w:numId="28">
    <w:abstractNumId w:val="18"/>
  </w:num>
  <w:num w:numId="29">
    <w:abstractNumId w:val="9"/>
  </w:num>
  <w:num w:numId="30">
    <w:abstractNumId w:val="6"/>
  </w:num>
  <w:num w:numId="31">
    <w:abstractNumId w:val="43"/>
  </w:num>
  <w:num w:numId="32">
    <w:abstractNumId w:val="26"/>
  </w:num>
  <w:num w:numId="33">
    <w:abstractNumId w:val="5"/>
  </w:num>
  <w:num w:numId="34">
    <w:abstractNumId w:val="15"/>
  </w:num>
  <w:num w:numId="35">
    <w:abstractNumId w:val="40"/>
  </w:num>
  <w:num w:numId="36">
    <w:abstractNumId w:val="7"/>
  </w:num>
  <w:num w:numId="37">
    <w:abstractNumId w:val="51"/>
  </w:num>
  <w:num w:numId="38">
    <w:abstractNumId w:val="55"/>
  </w:num>
  <w:num w:numId="39">
    <w:abstractNumId w:val="42"/>
  </w:num>
  <w:num w:numId="40">
    <w:abstractNumId w:val="27"/>
  </w:num>
  <w:num w:numId="41">
    <w:abstractNumId w:val="44"/>
  </w:num>
  <w:num w:numId="42">
    <w:abstractNumId w:val="34"/>
  </w:num>
  <w:num w:numId="43">
    <w:abstractNumId w:val="8"/>
  </w:num>
  <w:num w:numId="44">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30"/>
    <w:lvlOverride w:ilvl="0">
      <w:startOverride w:val="1"/>
    </w:lvlOverride>
    <w:lvlOverride w:ilvl="1"/>
    <w:lvlOverride w:ilvl="2"/>
    <w:lvlOverride w:ilvl="3"/>
    <w:lvlOverride w:ilvl="4"/>
    <w:lvlOverride w:ilvl="5"/>
    <w:lvlOverride w:ilvl="6"/>
    <w:lvlOverride w:ilvl="7"/>
    <w:lvlOverride w:ilvl="8"/>
  </w:num>
  <w:num w:numId="52">
    <w:abstractNumId w:val="3"/>
  </w:num>
  <w:num w:numId="53">
    <w:abstractNumId w:val="20"/>
  </w:num>
  <w:num w:numId="54">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55">
    <w:abstractNumId w:val="36"/>
  </w:num>
  <w:num w:numId="56">
    <w:abstractNumId w:val="29"/>
  </w:num>
  <w:num w:numId="57">
    <w:abstractNumId w:val="39"/>
  </w:num>
  <w:num w:numId="58">
    <w:abstractNumId w:val="17"/>
  </w:num>
  <w:num w:numId="5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17"/>
  </w:num>
  <w:num w:numId="62">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11"/>
    <w:rsid w:val="000038D4"/>
    <w:rsid w:val="00003BBF"/>
    <w:rsid w:val="00007445"/>
    <w:rsid w:val="0002505D"/>
    <w:rsid w:val="000334EA"/>
    <w:rsid w:val="00050A32"/>
    <w:rsid w:val="000517F6"/>
    <w:rsid w:val="00061745"/>
    <w:rsid w:val="00063D3E"/>
    <w:rsid w:val="000701CF"/>
    <w:rsid w:val="00072A3E"/>
    <w:rsid w:val="000745D7"/>
    <w:rsid w:val="000863EB"/>
    <w:rsid w:val="0009026C"/>
    <w:rsid w:val="00091666"/>
    <w:rsid w:val="00096E98"/>
    <w:rsid w:val="000A16DF"/>
    <w:rsid w:val="000A6C12"/>
    <w:rsid w:val="000D3CB3"/>
    <w:rsid w:val="000F6B7C"/>
    <w:rsid w:val="001019AD"/>
    <w:rsid w:val="0010445C"/>
    <w:rsid w:val="00110981"/>
    <w:rsid w:val="00111F1E"/>
    <w:rsid w:val="00112B9F"/>
    <w:rsid w:val="0011379F"/>
    <w:rsid w:val="00115453"/>
    <w:rsid w:val="00120C96"/>
    <w:rsid w:val="00122AA9"/>
    <w:rsid w:val="001366EF"/>
    <w:rsid w:val="001434D6"/>
    <w:rsid w:val="0015043B"/>
    <w:rsid w:val="00153475"/>
    <w:rsid w:val="0015704E"/>
    <w:rsid w:val="00157673"/>
    <w:rsid w:val="001622AF"/>
    <w:rsid w:val="001624B9"/>
    <w:rsid w:val="00194C39"/>
    <w:rsid w:val="00196A35"/>
    <w:rsid w:val="001A7844"/>
    <w:rsid w:val="001B0456"/>
    <w:rsid w:val="001C1D47"/>
    <w:rsid w:val="001C2EC6"/>
    <w:rsid w:val="001C7D00"/>
    <w:rsid w:val="001E5B83"/>
    <w:rsid w:val="001F22C6"/>
    <w:rsid w:val="001F43BD"/>
    <w:rsid w:val="001F6362"/>
    <w:rsid w:val="00203621"/>
    <w:rsid w:val="00204651"/>
    <w:rsid w:val="00214904"/>
    <w:rsid w:val="00216C2F"/>
    <w:rsid w:val="00221551"/>
    <w:rsid w:val="002228BD"/>
    <w:rsid w:val="00223F38"/>
    <w:rsid w:val="00246846"/>
    <w:rsid w:val="0025614E"/>
    <w:rsid w:val="00267303"/>
    <w:rsid w:val="00270C47"/>
    <w:rsid w:val="00271F35"/>
    <w:rsid w:val="002C1390"/>
    <w:rsid w:val="002C3CC7"/>
    <w:rsid w:val="002D1556"/>
    <w:rsid w:val="002D344D"/>
    <w:rsid w:val="002E1B15"/>
    <w:rsid w:val="00317271"/>
    <w:rsid w:val="003258D5"/>
    <w:rsid w:val="003412C6"/>
    <w:rsid w:val="003418C5"/>
    <w:rsid w:val="00350935"/>
    <w:rsid w:val="00364A01"/>
    <w:rsid w:val="0037280C"/>
    <w:rsid w:val="0037327D"/>
    <w:rsid w:val="00376A23"/>
    <w:rsid w:val="003824A6"/>
    <w:rsid w:val="00392EE3"/>
    <w:rsid w:val="003934AB"/>
    <w:rsid w:val="003A2BB9"/>
    <w:rsid w:val="003A339E"/>
    <w:rsid w:val="003A3C4C"/>
    <w:rsid w:val="003B0BDB"/>
    <w:rsid w:val="003C1365"/>
    <w:rsid w:val="003C7953"/>
    <w:rsid w:val="003D5F53"/>
    <w:rsid w:val="003E0362"/>
    <w:rsid w:val="003E29C8"/>
    <w:rsid w:val="003F2DB8"/>
    <w:rsid w:val="003F61C4"/>
    <w:rsid w:val="003F6353"/>
    <w:rsid w:val="003F7895"/>
    <w:rsid w:val="004007F3"/>
    <w:rsid w:val="00403794"/>
    <w:rsid w:val="004045BA"/>
    <w:rsid w:val="00407E08"/>
    <w:rsid w:val="004108F8"/>
    <w:rsid w:val="00421767"/>
    <w:rsid w:val="00432926"/>
    <w:rsid w:val="00435CF9"/>
    <w:rsid w:val="00446C4B"/>
    <w:rsid w:val="00450196"/>
    <w:rsid w:val="004534F4"/>
    <w:rsid w:val="004544C6"/>
    <w:rsid w:val="00472C53"/>
    <w:rsid w:val="00486471"/>
    <w:rsid w:val="004A4AF5"/>
    <w:rsid w:val="004B4081"/>
    <w:rsid w:val="004C07E5"/>
    <w:rsid w:val="004C2CEC"/>
    <w:rsid w:val="004D1B28"/>
    <w:rsid w:val="004D24B4"/>
    <w:rsid w:val="004F54BA"/>
    <w:rsid w:val="00512442"/>
    <w:rsid w:val="0053024B"/>
    <w:rsid w:val="00537BFB"/>
    <w:rsid w:val="00542C47"/>
    <w:rsid w:val="005448F4"/>
    <w:rsid w:val="00552048"/>
    <w:rsid w:val="00554005"/>
    <w:rsid w:val="00554317"/>
    <w:rsid w:val="00561CA0"/>
    <w:rsid w:val="0056561E"/>
    <w:rsid w:val="00567388"/>
    <w:rsid w:val="00574793"/>
    <w:rsid w:val="0058060D"/>
    <w:rsid w:val="00580C3F"/>
    <w:rsid w:val="00590E64"/>
    <w:rsid w:val="005A1ECC"/>
    <w:rsid w:val="005A6319"/>
    <w:rsid w:val="005B070E"/>
    <w:rsid w:val="005B7266"/>
    <w:rsid w:val="005D498A"/>
    <w:rsid w:val="005E53E5"/>
    <w:rsid w:val="00604E51"/>
    <w:rsid w:val="00606056"/>
    <w:rsid w:val="006060D5"/>
    <w:rsid w:val="0062035D"/>
    <w:rsid w:val="00650E29"/>
    <w:rsid w:val="00651472"/>
    <w:rsid w:val="006571B4"/>
    <w:rsid w:val="00657B9D"/>
    <w:rsid w:val="00671FA3"/>
    <w:rsid w:val="00684BA3"/>
    <w:rsid w:val="006A625B"/>
    <w:rsid w:val="006B513B"/>
    <w:rsid w:val="006C678A"/>
    <w:rsid w:val="006D23A9"/>
    <w:rsid w:val="006D2FFE"/>
    <w:rsid w:val="006D5DFD"/>
    <w:rsid w:val="006E04CC"/>
    <w:rsid w:val="006E5CD4"/>
    <w:rsid w:val="006F32C5"/>
    <w:rsid w:val="0071518C"/>
    <w:rsid w:val="007213A1"/>
    <w:rsid w:val="00721D21"/>
    <w:rsid w:val="0072280C"/>
    <w:rsid w:val="00727BCF"/>
    <w:rsid w:val="00731934"/>
    <w:rsid w:val="007626BC"/>
    <w:rsid w:val="00776A7F"/>
    <w:rsid w:val="00777D7D"/>
    <w:rsid w:val="00782D52"/>
    <w:rsid w:val="00783F8F"/>
    <w:rsid w:val="00785A78"/>
    <w:rsid w:val="00790D78"/>
    <w:rsid w:val="00797499"/>
    <w:rsid w:val="007975EE"/>
    <w:rsid w:val="007A2F55"/>
    <w:rsid w:val="007A7270"/>
    <w:rsid w:val="007B7552"/>
    <w:rsid w:val="007C0420"/>
    <w:rsid w:val="007D7465"/>
    <w:rsid w:val="007F031D"/>
    <w:rsid w:val="007F69AD"/>
    <w:rsid w:val="007F7411"/>
    <w:rsid w:val="008004B8"/>
    <w:rsid w:val="00804E1F"/>
    <w:rsid w:val="00860806"/>
    <w:rsid w:val="008621EE"/>
    <w:rsid w:val="008971F9"/>
    <w:rsid w:val="008A1437"/>
    <w:rsid w:val="008A1ED5"/>
    <w:rsid w:val="008B0A2D"/>
    <w:rsid w:val="008B7CF7"/>
    <w:rsid w:val="008C1812"/>
    <w:rsid w:val="008C322C"/>
    <w:rsid w:val="008C4471"/>
    <w:rsid w:val="008C71A8"/>
    <w:rsid w:val="008D2ABC"/>
    <w:rsid w:val="008E66E9"/>
    <w:rsid w:val="008F16FC"/>
    <w:rsid w:val="008F2CB6"/>
    <w:rsid w:val="008F51BD"/>
    <w:rsid w:val="00900401"/>
    <w:rsid w:val="009015E5"/>
    <w:rsid w:val="0090664B"/>
    <w:rsid w:val="009154C9"/>
    <w:rsid w:val="00915760"/>
    <w:rsid w:val="00916996"/>
    <w:rsid w:val="00935737"/>
    <w:rsid w:val="00937E02"/>
    <w:rsid w:val="00942644"/>
    <w:rsid w:val="009503B7"/>
    <w:rsid w:val="009555B5"/>
    <w:rsid w:val="00956460"/>
    <w:rsid w:val="00973908"/>
    <w:rsid w:val="009A0613"/>
    <w:rsid w:val="009A7942"/>
    <w:rsid w:val="009C0314"/>
    <w:rsid w:val="009D014D"/>
    <w:rsid w:val="009D369D"/>
    <w:rsid w:val="009D3F74"/>
    <w:rsid w:val="009E4860"/>
    <w:rsid w:val="009E7452"/>
    <w:rsid w:val="009F3577"/>
    <w:rsid w:val="00A026AD"/>
    <w:rsid w:val="00A13540"/>
    <w:rsid w:val="00A164F6"/>
    <w:rsid w:val="00A227AF"/>
    <w:rsid w:val="00A24DB3"/>
    <w:rsid w:val="00A2503F"/>
    <w:rsid w:val="00A30D67"/>
    <w:rsid w:val="00A32234"/>
    <w:rsid w:val="00A34445"/>
    <w:rsid w:val="00A363D3"/>
    <w:rsid w:val="00A42686"/>
    <w:rsid w:val="00A61C89"/>
    <w:rsid w:val="00A65D97"/>
    <w:rsid w:val="00A77745"/>
    <w:rsid w:val="00A8712D"/>
    <w:rsid w:val="00A90CC9"/>
    <w:rsid w:val="00A963CC"/>
    <w:rsid w:val="00AA3F9A"/>
    <w:rsid w:val="00AB7B31"/>
    <w:rsid w:val="00AC222E"/>
    <w:rsid w:val="00AE498C"/>
    <w:rsid w:val="00AE6F90"/>
    <w:rsid w:val="00B11192"/>
    <w:rsid w:val="00B21DB1"/>
    <w:rsid w:val="00B47395"/>
    <w:rsid w:val="00B55910"/>
    <w:rsid w:val="00B55AD4"/>
    <w:rsid w:val="00B571EC"/>
    <w:rsid w:val="00B64709"/>
    <w:rsid w:val="00B711A8"/>
    <w:rsid w:val="00B72068"/>
    <w:rsid w:val="00B81C96"/>
    <w:rsid w:val="00B82A19"/>
    <w:rsid w:val="00BA16EA"/>
    <w:rsid w:val="00BA304B"/>
    <w:rsid w:val="00BC5448"/>
    <w:rsid w:val="00BC69AA"/>
    <w:rsid w:val="00BD26FE"/>
    <w:rsid w:val="00BE014A"/>
    <w:rsid w:val="00BE10B6"/>
    <w:rsid w:val="00C02229"/>
    <w:rsid w:val="00C1661F"/>
    <w:rsid w:val="00C26C7D"/>
    <w:rsid w:val="00C5653F"/>
    <w:rsid w:val="00C71017"/>
    <w:rsid w:val="00C85B80"/>
    <w:rsid w:val="00C93779"/>
    <w:rsid w:val="00C956C9"/>
    <w:rsid w:val="00CA19D1"/>
    <w:rsid w:val="00CB5011"/>
    <w:rsid w:val="00CD01A0"/>
    <w:rsid w:val="00CD1968"/>
    <w:rsid w:val="00D00E91"/>
    <w:rsid w:val="00D43D95"/>
    <w:rsid w:val="00D5180A"/>
    <w:rsid w:val="00D718D8"/>
    <w:rsid w:val="00D72818"/>
    <w:rsid w:val="00D81D9F"/>
    <w:rsid w:val="00D86D66"/>
    <w:rsid w:val="00DA1AF1"/>
    <w:rsid w:val="00DA26A9"/>
    <w:rsid w:val="00DC4168"/>
    <w:rsid w:val="00DC6433"/>
    <w:rsid w:val="00DF3CA0"/>
    <w:rsid w:val="00DF5C9D"/>
    <w:rsid w:val="00E16540"/>
    <w:rsid w:val="00E217C0"/>
    <w:rsid w:val="00E2531D"/>
    <w:rsid w:val="00E33B97"/>
    <w:rsid w:val="00E52253"/>
    <w:rsid w:val="00E52560"/>
    <w:rsid w:val="00E670CC"/>
    <w:rsid w:val="00E746E6"/>
    <w:rsid w:val="00E75E15"/>
    <w:rsid w:val="00E93295"/>
    <w:rsid w:val="00EA6900"/>
    <w:rsid w:val="00EC1C06"/>
    <w:rsid w:val="00ED1EF1"/>
    <w:rsid w:val="00EE173A"/>
    <w:rsid w:val="00EE3F54"/>
    <w:rsid w:val="00EE5940"/>
    <w:rsid w:val="00F0775A"/>
    <w:rsid w:val="00F161A5"/>
    <w:rsid w:val="00F174AA"/>
    <w:rsid w:val="00F25103"/>
    <w:rsid w:val="00F31F98"/>
    <w:rsid w:val="00F4354A"/>
    <w:rsid w:val="00F47A67"/>
    <w:rsid w:val="00F51C9F"/>
    <w:rsid w:val="00F542E5"/>
    <w:rsid w:val="00F61975"/>
    <w:rsid w:val="00F72F31"/>
    <w:rsid w:val="00F73199"/>
    <w:rsid w:val="00F82FBC"/>
    <w:rsid w:val="00F85F93"/>
    <w:rsid w:val="00FA7BAB"/>
    <w:rsid w:val="00FB3B77"/>
    <w:rsid w:val="00FB53A4"/>
    <w:rsid w:val="00FC181C"/>
    <w:rsid w:val="00FC2BBE"/>
    <w:rsid w:val="00FC3946"/>
    <w:rsid w:val="00FD5ECF"/>
    <w:rsid w:val="00FE2090"/>
    <w:rsid w:val="00FE74C4"/>
    <w:rsid w:val="00FF47E1"/>
    <w:rsid w:val="00FF6308"/>
    <w:rsid w:val="00FF7E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0D3D9EC3"/>
  <w15:docId w15:val="{821B00D2-D1C9-4D73-8F33-3C2CA867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color w:val="000000" w:themeColor="text1"/>
        <w:sz w:val="22"/>
        <w:szCs w:val="22"/>
        <w:lang w:val="es-A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011"/>
    <w:rPr>
      <w:rFonts w:eastAsia="Times New Roman" w:cs="Times New Roman"/>
      <w:color w:val="auto"/>
      <w:sz w:val="24"/>
      <w:szCs w:val="24"/>
      <w:lang w:val="en-US"/>
    </w:rPr>
  </w:style>
  <w:style w:type="paragraph" w:styleId="Ttulo1">
    <w:name w:val="heading 1"/>
    <w:aliases w:val="título 1,1,título 11,título 12"/>
    <w:basedOn w:val="Normal"/>
    <w:next w:val="Normal"/>
    <w:link w:val="Ttulo1Car"/>
    <w:qFormat/>
    <w:rsid w:val="00CB5011"/>
    <w:pPr>
      <w:keepNext/>
      <w:widowControl w:val="0"/>
      <w:autoSpaceDE w:val="0"/>
      <w:autoSpaceDN w:val="0"/>
      <w:adjustRightInd w:val="0"/>
      <w:jc w:val="both"/>
      <w:outlineLvl w:val="0"/>
    </w:pPr>
    <w:rPr>
      <w:i/>
      <w:iCs/>
      <w:sz w:val="20"/>
      <w:szCs w:val="20"/>
      <w:lang w:val="es-ES"/>
    </w:rPr>
  </w:style>
  <w:style w:type="paragraph" w:styleId="Ttulo2">
    <w:name w:val="heading 2"/>
    <w:basedOn w:val="Normal"/>
    <w:next w:val="Normal"/>
    <w:link w:val="Ttulo2Car"/>
    <w:qFormat/>
    <w:rsid w:val="00CB5011"/>
    <w:pPr>
      <w:keepNext/>
      <w:jc w:val="both"/>
      <w:outlineLvl w:val="1"/>
    </w:pPr>
    <w:rPr>
      <w:b/>
      <w:bCs/>
      <w:sz w:val="20"/>
      <w:szCs w:val="20"/>
      <w:lang w:val="es-AR"/>
    </w:rPr>
  </w:style>
  <w:style w:type="paragraph" w:styleId="Ttulo3">
    <w:name w:val="heading 3"/>
    <w:basedOn w:val="Normal"/>
    <w:next w:val="Normal"/>
    <w:link w:val="Ttulo3Car"/>
    <w:qFormat/>
    <w:rsid w:val="00CB5011"/>
    <w:pPr>
      <w:keepNext/>
      <w:widowControl w:val="0"/>
      <w:autoSpaceDE w:val="0"/>
      <w:autoSpaceDN w:val="0"/>
      <w:adjustRightInd w:val="0"/>
      <w:jc w:val="both"/>
      <w:outlineLvl w:val="2"/>
    </w:pPr>
    <w:rPr>
      <w:b/>
      <w:bCs/>
      <w:lang w:val="es-ES"/>
    </w:rPr>
  </w:style>
  <w:style w:type="paragraph" w:styleId="Ttulo4">
    <w:name w:val="heading 4"/>
    <w:basedOn w:val="Normal"/>
    <w:next w:val="Normal"/>
    <w:link w:val="Ttulo4Car"/>
    <w:qFormat/>
    <w:rsid w:val="00CB5011"/>
    <w:pPr>
      <w:widowControl w:val="0"/>
      <w:numPr>
        <w:ilvl w:val="3"/>
        <w:numId w:val="3"/>
      </w:numPr>
      <w:tabs>
        <w:tab w:val="left" w:pos="1418"/>
      </w:tabs>
      <w:spacing w:before="240" w:after="60"/>
      <w:outlineLvl w:val="3"/>
    </w:pPr>
    <w:rPr>
      <w:rFonts w:ascii="Arial" w:hAnsi="Arial" w:cs="Arial"/>
      <w:b/>
      <w:bCs/>
      <w:caps/>
      <w:lang w:val="es-ES_tradnl"/>
    </w:rPr>
  </w:style>
  <w:style w:type="paragraph" w:styleId="Ttulo5">
    <w:name w:val="heading 5"/>
    <w:basedOn w:val="Normal"/>
    <w:next w:val="Normal"/>
    <w:link w:val="Ttulo5Car"/>
    <w:qFormat/>
    <w:rsid w:val="00CB5011"/>
    <w:pPr>
      <w:keepNext/>
      <w:widowControl w:val="0"/>
      <w:numPr>
        <w:ilvl w:val="4"/>
        <w:numId w:val="3"/>
      </w:numPr>
      <w:tabs>
        <w:tab w:val="center" w:pos="5940"/>
      </w:tabs>
      <w:suppressAutoHyphens/>
      <w:overflowPunct w:val="0"/>
      <w:autoSpaceDE w:val="0"/>
      <w:autoSpaceDN w:val="0"/>
      <w:adjustRightInd w:val="0"/>
      <w:jc w:val="both"/>
      <w:textAlignment w:val="baseline"/>
      <w:outlineLvl w:val="4"/>
    </w:pPr>
    <w:rPr>
      <w:b/>
      <w:bCs/>
      <w:spacing w:val="-1"/>
      <w:sz w:val="14"/>
      <w:szCs w:val="14"/>
      <w:lang w:eastAsia="es-ES"/>
    </w:rPr>
  </w:style>
  <w:style w:type="paragraph" w:styleId="Ttulo6">
    <w:name w:val="heading 6"/>
    <w:basedOn w:val="Normal"/>
    <w:next w:val="Normal"/>
    <w:link w:val="Ttulo6Car"/>
    <w:qFormat/>
    <w:rsid w:val="00CB5011"/>
    <w:pPr>
      <w:keepNext/>
      <w:widowControl w:val="0"/>
      <w:numPr>
        <w:ilvl w:val="5"/>
        <w:numId w:val="3"/>
      </w:numPr>
      <w:suppressAutoHyphens/>
      <w:overflowPunct w:val="0"/>
      <w:autoSpaceDE w:val="0"/>
      <w:autoSpaceDN w:val="0"/>
      <w:adjustRightInd w:val="0"/>
      <w:spacing w:after="240"/>
      <w:jc w:val="both"/>
      <w:textAlignment w:val="baseline"/>
      <w:outlineLvl w:val="5"/>
    </w:pPr>
    <w:rPr>
      <w:b/>
      <w:bCs/>
      <w:spacing w:val="-2"/>
      <w:sz w:val="20"/>
      <w:szCs w:val="20"/>
      <w:u w:val="single"/>
      <w:lang w:eastAsia="es-ES"/>
    </w:rPr>
  </w:style>
  <w:style w:type="paragraph" w:styleId="Ttulo7">
    <w:name w:val="heading 7"/>
    <w:basedOn w:val="Normal"/>
    <w:next w:val="Normal"/>
    <w:link w:val="Ttulo7Car"/>
    <w:qFormat/>
    <w:rsid w:val="00CB5011"/>
    <w:pPr>
      <w:keepNext/>
      <w:widowControl w:val="0"/>
      <w:numPr>
        <w:ilvl w:val="6"/>
        <w:numId w:val="3"/>
      </w:numPr>
      <w:suppressAutoHyphens/>
      <w:overflowPunct w:val="0"/>
      <w:autoSpaceDE w:val="0"/>
      <w:autoSpaceDN w:val="0"/>
      <w:adjustRightInd w:val="0"/>
      <w:spacing w:after="240"/>
      <w:jc w:val="both"/>
      <w:textAlignment w:val="baseline"/>
      <w:outlineLvl w:val="6"/>
    </w:pPr>
    <w:rPr>
      <w:i/>
      <w:iCs/>
      <w:spacing w:val="-2"/>
      <w:sz w:val="20"/>
      <w:szCs w:val="20"/>
      <w:u w:val="single"/>
      <w:lang w:eastAsia="es-ES"/>
    </w:rPr>
  </w:style>
  <w:style w:type="paragraph" w:styleId="Ttulo8">
    <w:name w:val="heading 8"/>
    <w:basedOn w:val="Normal"/>
    <w:next w:val="Normal"/>
    <w:link w:val="Ttulo8Car"/>
    <w:qFormat/>
    <w:rsid w:val="00CB5011"/>
    <w:pPr>
      <w:keepNext/>
      <w:widowControl w:val="0"/>
      <w:numPr>
        <w:ilvl w:val="7"/>
        <w:numId w:val="3"/>
      </w:numPr>
      <w:overflowPunct w:val="0"/>
      <w:autoSpaceDE w:val="0"/>
      <w:autoSpaceDN w:val="0"/>
      <w:adjustRightInd w:val="0"/>
      <w:jc w:val="both"/>
      <w:textAlignment w:val="baseline"/>
      <w:outlineLvl w:val="7"/>
    </w:pPr>
    <w:rPr>
      <w:b/>
      <w:bCs/>
      <w:sz w:val="20"/>
      <w:szCs w:val="20"/>
      <w:lang w:eastAsia="es-ES"/>
    </w:rPr>
  </w:style>
  <w:style w:type="paragraph" w:styleId="Ttulo9">
    <w:name w:val="heading 9"/>
    <w:basedOn w:val="Normal"/>
    <w:next w:val="Normal"/>
    <w:link w:val="Ttulo9Car"/>
    <w:qFormat/>
    <w:rsid w:val="00CB5011"/>
    <w:pPr>
      <w:keepNext/>
      <w:widowControl w:val="0"/>
      <w:numPr>
        <w:ilvl w:val="8"/>
        <w:numId w:val="3"/>
      </w:numPr>
      <w:suppressAutoHyphens/>
      <w:overflowPunct w:val="0"/>
      <w:autoSpaceDE w:val="0"/>
      <w:autoSpaceDN w:val="0"/>
      <w:adjustRightInd w:val="0"/>
      <w:spacing w:after="240"/>
      <w:jc w:val="both"/>
      <w:textAlignment w:val="baseline"/>
      <w:outlineLvl w:val="8"/>
    </w:pPr>
    <w:rPr>
      <w:b/>
      <w:bCs/>
      <w:i/>
      <w:iCs/>
      <w:spacing w:val="-2"/>
      <w:sz w:val="20"/>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1 Car,título 11 Car,título 12 Car"/>
    <w:basedOn w:val="Fuentedeprrafopredeter"/>
    <w:link w:val="Ttulo1"/>
    <w:rsid w:val="00CB5011"/>
    <w:rPr>
      <w:rFonts w:eastAsia="Times New Roman" w:cs="Times New Roman"/>
      <w:i/>
      <w:iCs/>
      <w:color w:val="auto"/>
      <w:sz w:val="20"/>
      <w:szCs w:val="20"/>
      <w:lang w:val="es-ES"/>
    </w:rPr>
  </w:style>
  <w:style w:type="character" w:customStyle="1" w:styleId="Ttulo2Car">
    <w:name w:val="Título 2 Car"/>
    <w:basedOn w:val="Fuentedeprrafopredeter"/>
    <w:link w:val="Ttulo2"/>
    <w:rsid w:val="00CB5011"/>
    <w:rPr>
      <w:rFonts w:eastAsia="Times New Roman" w:cs="Times New Roman"/>
      <w:b/>
      <w:bCs/>
      <w:color w:val="auto"/>
      <w:sz w:val="20"/>
      <w:szCs w:val="20"/>
    </w:rPr>
  </w:style>
  <w:style w:type="character" w:customStyle="1" w:styleId="Ttulo3Car">
    <w:name w:val="Título 3 Car"/>
    <w:basedOn w:val="Fuentedeprrafopredeter"/>
    <w:link w:val="Ttulo3"/>
    <w:rsid w:val="00CB5011"/>
    <w:rPr>
      <w:rFonts w:eastAsia="Times New Roman" w:cs="Times New Roman"/>
      <w:b/>
      <w:bCs/>
      <w:color w:val="auto"/>
      <w:sz w:val="24"/>
      <w:szCs w:val="24"/>
      <w:lang w:val="es-ES"/>
    </w:rPr>
  </w:style>
  <w:style w:type="character" w:customStyle="1" w:styleId="Ttulo4Car">
    <w:name w:val="Título 4 Car"/>
    <w:basedOn w:val="Fuentedeprrafopredeter"/>
    <w:link w:val="Ttulo4"/>
    <w:rsid w:val="00CB5011"/>
    <w:rPr>
      <w:rFonts w:ascii="Arial" w:eastAsia="Times New Roman" w:hAnsi="Arial" w:cs="Arial"/>
      <w:b/>
      <w:bCs/>
      <w:caps/>
      <w:color w:val="auto"/>
      <w:sz w:val="24"/>
      <w:szCs w:val="24"/>
      <w:lang w:val="es-ES_tradnl"/>
    </w:rPr>
  </w:style>
  <w:style w:type="character" w:customStyle="1" w:styleId="Ttulo5Car">
    <w:name w:val="Título 5 Car"/>
    <w:basedOn w:val="Fuentedeprrafopredeter"/>
    <w:link w:val="Ttulo5"/>
    <w:rsid w:val="00CB5011"/>
    <w:rPr>
      <w:rFonts w:eastAsia="Times New Roman" w:cs="Times New Roman"/>
      <w:b/>
      <w:bCs/>
      <w:color w:val="auto"/>
      <w:spacing w:val="-1"/>
      <w:sz w:val="14"/>
      <w:szCs w:val="14"/>
      <w:lang w:val="en-US" w:eastAsia="es-ES"/>
    </w:rPr>
  </w:style>
  <w:style w:type="character" w:customStyle="1" w:styleId="Ttulo6Car">
    <w:name w:val="Título 6 Car"/>
    <w:basedOn w:val="Fuentedeprrafopredeter"/>
    <w:link w:val="Ttulo6"/>
    <w:rsid w:val="00CB5011"/>
    <w:rPr>
      <w:rFonts w:eastAsia="Times New Roman" w:cs="Times New Roman"/>
      <w:b/>
      <w:bCs/>
      <w:color w:val="auto"/>
      <w:spacing w:val="-2"/>
      <w:sz w:val="20"/>
      <w:szCs w:val="20"/>
      <w:u w:val="single"/>
      <w:lang w:val="en-US" w:eastAsia="es-ES"/>
    </w:rPr>
  </w:style>
  <w:style w:type="character" w:customStyle="1" w:styleId="Ttulo7Car">
    <w:name w:val="Título 7 Car"/>
    <w:basedOn w:val="Fuentedeprrafopredeter"/>
    <w:link w:val="Ttulo7"/>
    <w:rsid w:val="00CB5011"/>
    <w:rPr>
      <w:rFonts w:eastAsia="Times New Roman" w:cs="Times New Roman"/>
      <w:i/>
      <w:iCs/>
      <w:color w:val="auto"/>
      <w:spacing w:val="-2"/>
      <w:sz w:val="20"/>
      <w:szCs w:val="20"/>
      <w:u w:val="single"/>
      <w:lang w:val="en-US" w:eastAsia="es-ES"/>
    </w:rPr>
  </w:style>
  <w:style w:type="character" w:customStyle="1" w:styleId="Ttulo8Car">
    <w:name w:val="Título 8 Car"/>
    <w:basedOn w:val="Fuentedeprrafopredeter"/>
    <w:link w:val="Ttulo8"/>
    <w:rsid w:val="00CB5011"/>
    <w:rPr>
      <w:rFonts w:eastAsia="Times New Roman" w:cs="Times New Roman"/>
      <w:b/>
      <w:bCs/>
      <w:color w:val="auto"/>
      <w:sz w:val="20"/>
      <w:szCs w:val="20"/>
      <w:lang w:val="en-US" w:eastAsia="es-ES"/>
    </w:rPr>
  </w:style>
  <w:style w:type="character" w:customStyle="1" w:styleId="Ttulo9Car">
    <w:name w:val="Título 9 Car"/>
    <w:basedOn w:val="Fuentedeprrafopredeter"/>
    <w:link w:val="Ttulo9"/>
    <w:rsid w:val="00CB5011"/>
    <w:rPr>
      <w:rFonts w:eastAsia="Times New Roman" w:cs="Times New Roman"/>
      <w:b/>
      <w:bCs/>
      <w:i/>
      <w:iCs/>
      <w:color w:val="auto"/>
      <w:spacing w:val="-2"/>
      <w:sz w:val="20"/>
      <w:szCs w:val="20"/>
      <w:u w:val="single"/>
      <w:lang w:val="en-US" w:eastAsia="es-ES"/>
    </w:rPr>
  </w:style>
  <w:style w:type="paragraph" w:customStyle="1" w:styleId="Text1">
    <w:name w:val="Text1"/>
    <w:basedOn w:val="Normal"/>
    <w:rsid w:val="00CB5011"/>
    <w:pPr>
      <w:numPr>
        <w:numId w:val="1"/>
      </w:numPr>
      <w:overflowPunct w:val="0"/>
      <w:autoSpaceDE w:val="0"/>
      <w:autoSpaceDN w:val="0"/>
      <w:adjustRightInd w:val="0"/>
      <w:spacing w:after="240"/>
      <w:jc w:val="both"/>
      <w:textAlignment w:val="baseline"/>
    </w:pPr>
    <w:rPr>
      <w:sz w:val="20"/>
      <w:szCs w:val="20"/>
    </w:rPr>
  </w:style>
  <w:style w:type="paragraph" w:customStyle="1" w:styleId="textbullet2">
    <w:name w:val="text_bullet2"/>
    <w:basedOn w:val="Normal"/>
    <w:rsid w:val="00CB5011"/>
    <w:pPr>
      <w:numPr>
        <w:numId w:val="2"/>
      </w:numPr>
      <w:tabs>
        <w:tab w:val="clear" w:pos="720"/>
        <w:tab w:val="num" w:pos="360"/>
      </w:tabs>
      <w:autoSpaceDE w:val="0"/>
      <w:autoSpaceDN w:val="0"/>
      <w:adjustRightInd w:val="0"/>
      <w:spacing w:after="240"/>
      <w:ind w:left="1080" w:right="389" w:firstLine="0"/>
      <w:jc w:val="both"/>
    </w:pPr>
    <w:rPr>
      <w:color w:val="000000"/>
      <w:sz w:val="20"/>
      <w:szCs w:val="20"/>
      <w:lang w:val="es-AR"/>
    </w:rPr>
  </w:style>
  <w:style w:type="paragraph" w:customStyle="1" w:styleId="DPWArticle">
    <w:name w:val="DPW Article"/>
    <w:basedOn w:val="DPWNormal"/>
    <w:next w:val="DPWfdPF"/>
    <w:rsid w:val="00CB5011"/>
    <w:pPr>
      <w:keepNext/>
      <w:tabs>
        <w:tab w:val="num" w:pos="360"/>
      </w:tabs>
      <w:spacing w:before="360" w:after="240"/>
      <w:jc w:val="center"/>
      <w:outlineLvl w:val="0"/>
    </w:pPr>
    <w:rPr>
      <w:smallCaps/>
      <w:sz w:val="24"/>
    </w:rPr>
  </w:style>
  <w:style w:type="paragraph" w:customStyle="1" w:styleId="DPWNormal">
    <w:name w:val="DPW Normal"/>
    <w:basedOn w:val="Normal"/>
    <w:rsid w:val="00CB5011"/>
    <w:rPr>
      <w:sz w:val="20"/>
      <w:szCs w:val="20"/>
      <w:lang w:eastAsia="es-ES"/>
    </w:rPr>
  </w:style>
  <w:style w:type="paragraph" w:customStyle="1" w:styleId="DPWfdPF">
    <w:name w:val="DPW fd PF"/>
    <w:aliases w:val="pf,p,f,DPW PF,D,DPW fd PF Char1 Char Char,DPW fd PF Char1 Char Char1,DPW fd PF Char1 Char Char Char Char Char Char,DPW fd PF Char1 Char Char Char Char Char Char Char Char,f Car"/>
    <w:basedOn w:val="Normal"/>
    <w:link w:val="DPWfdPFChar"/>
    <w:rsid w:val="00CB5011"/>
    <w:pPr>
      <w:spacing w:after="200"/>
      <w:ind w:firstLine="360"/>
    </w:pPr>
    <w:rPr>
      <w:sz w:val="20"/>
      <w:szCs w:val="20"/>
      <w:lang w:eastAsia="es-ES"/>
    </w:rPr>
  </w:style>
  <w:style w:type="paragraph" w:customStyle="1" w:styleId="Titulo8R">
    <w:name w:val="Titulo 8R"/>
    <w:basedOn w:val="Ttulo8"/>
    <w:autoRedefine/>
    <w:rsid w:val="00CB5011"/>
    <w:pPr>
      <w:keepNext w:val="0"/>
      <w:numPr>
        <w:ilvl w:val="0"/>
        <w:numId w:val="0"/>
      </w:numPr>
      <w:overflowPunct/>
      <w:textAlignment w:val="auto"/>
      <w:outlineLvl w:val="9"/>
    </w:pPr>
    <w:rPr>
      <w:rFonts w:eastAsia="Arial Unicode MS"/>
      <w:b w:val="0"/>
      <w:bCs w:val="0"/>
      <w:iCs/>
      <w:sz w:val="18"/>
      <w:lang w:val="es-AR"/>
    </w:rPr>
  </w:style>
  <w:style w:type="paragraph" w:styleId="Textoindependiente">
    <w:name w:val="Body Text"/>
    <w:aliases w:val="body text,bt,Texto independienteR,Body Text1,b,bt wide,Body Text Char1,Body Text Char Char,b Char Char,b Char1,Ctrl+1,CG-Single Sp 0.5,s2,!Body Text .5(J),!Body Text .5s2(J),5,bb,Body Bullet,Second Heading 2,Second Heading,!Body Text"/>
    <w:basedOn w:val="Normal"/>
    <w:link w:val="TextoindependienteCar"/>
    <w:uiPriority w:val="99"/>
    <w:rsid w:val="00CB5011"/>
    <w:pPr>
      <w:spacing w:before="240"/>
      <w:ind w:right="-109"/>
      <w:jc w:val="both"/>
    </w:pPr>
    <w:rPr>
      <w:b/>
      <w:bCs/>
      <w:color w:val="FF0000"/>
      <w:sz w:val="20"/>
      <w:szCs w:val="20"/>
      <w:lang w:val="es-ES"/>
    </w:rPr>
  </w:style>
  <w:style w:type="character" w:customStyle="1" w:styleId="TextoindependienteCar">
    <w:name w:val="Texto independiente Car"/>
    <w:aliases w:val="body text Car,bt Car,Texto independienteR Car,Body Text1 Car,b Car,bt wide Car,Body Text Char1 Car,Body Text Char Char Car,b Char Char Car,b Char1 Car,Ctrl+1 Car,CG-Single Sp 0.5 Car,s2 Car,!Body Text .5(J) Car,5 Car,bb Car"/>
    <w:basedOn w:val="Fuentedeprrafopredeter"/>
    <w:link w:val="Textoindependiente"/>
    <w:uiPriority w:val="99"/>
    <w:rsid w:val="00CB5011"/>
    <w:rPr>
      <w:rFonts w:eastAsia="Times New Roman" w:cs="Times New Roman"/>
      <w:b/>
      <w:bCs/>
      <w:color w:val="FF0000"/>
      <w:sz w:val="20"/>
      <w:szCs w:val="20"/>
      <w:lang w:val="es-ES"/>
    </w:rPr>
  </w:style>
  <w:style w:type="paragraph" w:customStyle="1" w:styleId="Text">
    <w:name w:val="Text"/>
    <w:aliases w:val="t"/>
    <w:basedOn w:val="Normal"/>
    <w:rsid w:val="00CB5011"/>
    <w:pPr>
      <w:overflowPunct w:val="0"/>
      <w:autoSpaceDE w:val="0"/>
      <w:autoSpaceDN w:val="0"/>
      <w:adjustRightInd w:val="0"/>
      <w:spacing w:after="240"/>
      <w:ind w:firstLine="1440"/>
      <w:textAlignment w:val="baseline"/>
    </w:pPr>
  </w:style>
  <w:style w:type="paragraph" w:customStyle="1" w:styleId="Textodeglobo1">
    <w:name w:val="Texto de globo1"/>
    <w:basedOn w:val="Normal"/>
    <w:semiHidden/>
    <w:rsid w:val="00CB5011"/>
    <w:rPr>
      <w:rFonts w:ascii="Tahoma" w:hAnsi="Tahoma"/>
      <w:sz w:val="16"/>
      <w:szCs w:val="20"/>
      <w:lang w:eastAsia="es-ES"/>
    </w:rPr>
  </w:style>
  <w:style w:type="paragraph" w:customStyle="1" w:styleId="TextoIndependiente0">
    <w:name w:val="Texto Independiente"/>
    <w:basedOn w:val="Normal"/>
    <w:rsid w:val="00CB5011"/>
    <w:pPr>
      <w:jc w:val="both"/>
    </w:pPr>
    <w:rPr>
      <w:sz w:val="20"/>
      <w:szCs w:val="20"/>
      <w:lang w:val="es-ES" w:eastAsia="es-ES"/>
    </w:rPr>
  </w:style>
  <w:style w:type="paragraph" w:customStyle="1" w:styleId="Textpara">
    <w:name w:val="Textpara"/>
    <w:basedOn w:val="Text"/>
    <w:rsid w:val="00CB5011"/>
    <w:pPr>
      <w:widowControl w:val="0"/>
      <w:tabs>
        <w:tab w:val="center" w:pos="9000"/>
      </w:tabs>
      <w:overflowPunct/>
      <w:ind w:firstLine="0"/>
      <w:jc w:val="both"/>
      <w:textAlignment w:val="auto"/>
    </w:pPr>
    <w:rPr>
      <w:sz w:val="20"/>
      <w:szCs w:val="20"/>
      <w:lang w:val="es-ES"/>
    </w:rPr>
  </w:style>
  <w:style w:type="paragraph" w:styleId="Textoindependiente2">
    <w:name w:val="Body Text 2"/>
    <w:aliases w:val="b2"/>
    <w:basedOn w:val="Normal"/>
    <w:link w:val="Textoindependiente2Car"/>
    <w:rsid w:val="00CB5011"/>
    <w:pPr>
      <w:widowControl w:val="0"/>
      <w:tabs>
        <w:tab w:val="left" w:pos="664"/>
        <w:tab w:val="left" w:pos="9000"/>
      </w:tabs>
      <w:ind w:right="3"/>
      <w:jc w:val="both"/>
    </w:pPr>
    <w:rPr>
      <w:b/>
      <w:bCs/>
      <w:sz w:val="20"/>
      <w:lang w:val="es-ES"/>
    </w:rPr>
  </w:style>
  <w:style w:type="character" w:customStyle="1" w:styleId="Textoindependiente2Car">
    <w:name w:val="Texto independiente 2 Car"/>
    <w:aliases w:val="b2 Car"/>
    <w:basedOn w:val="Fuentedeprrafopredeter"/>
    <w:link w:val="Textoindependiente2"/>
    <w:rsid w:val="00CB5011"/>
    <w:rPr>
      <w:rFonts w:eastAsia="Times New Roman" w:cs="Times New Roman"/>
      <w:b/>
      <w:bCs/>
      <w:color w:val="auto"/>
      <w:sz w:val="20"/>
      <w:szCs w:val="24"/>
      <w:lang w:val="es-ES"/>
    </w:rPr>
  </w:style>
  <w:style w:type="paragraph" w:customStyle="1" w:styleId="Title3">
    <w:name w:val="Title 3"/>
    <w:basedOn w:val="Text"/>
    <w:rsid w:val="00CB5011"/>
    <w:pPr>
      <w:keepNext/>
      <w:overflowPunct/>
      <w:autoSpaceDE/>
      <w:autoSpaceDN/>
      <w:adjustRightInd/>
      <w:ind w:firstLine="0"/>
      <w:jc w:val="both"/>
      <w:textAlignment w:val="auto"/>
    </w:pPr>
    <w:rPr>
      <w:b/>
      <w:bCs/>
      <w:sz w:val="20"/>
      <w:szCs w:val="20"/>
    </w:rPr>
  </w:style>
  <w:style w:type="paragraph" w:customStyle="1" w:styleId="BodyText21">
    <w:name w:val="Body Text 21"/>
    <w:basedOn w:val="Normal"/>
    <w:rsid w:val="00CB5011"/>
    <w:pPr>
      <w:jc w:val="both"/>
    </w:pPr>
    <w:rPr>
      <w:sz w:val="20"/>
      <w:szCs w:val="20"/>
      <w:lang w:val="es-ES_tradnl" w:eastAsia="es-ES"/>
    </w:rPr>
  </w:style>
  <w:style w:type="paragraph" w:customStyle="1" w:styleId="font7">
    <w:name w:val="font7"/>
    <w:basedOn w:val="Normal"/>
    <w:rsid w:val="00CB5011"/>
    <w:pPr>
      <w:spacing w:before="100" w:beforeAutospacing="1" w:after="100" w:afterAutospacing="1"/>
    </w:pPr>
    <w:rPr>
      <w:rFonts w:ascii="Arial" w:eastAsia="Arial Unicode MS" w:hAnsi="Arial" w:cs="Arial"/>
      <w:sz w:val="18"/>
      <w:szCs w:val="18"/>
      <w:lang w:val="es-ES" w:eastAsia="es-ES"/>
    </w:rPr>
  </w:style>
  <w:style w:type="paragraph" w:customStyle="1" w:styleId="font6">
    <w:name w:val="font6"/>
    <w:basedOn w:val="Normal"/>
    <w:rsid w:val="00CB5011"/>
    <w:pPr>
      <w:spacing w:before="100" w:beforeAutospacing="1" w:after="100" w:afterAutospacing="1"/>
    </w:pPr>
    <w:rPr>
      <w:rFonts w:ascii="Arial" w:eastAsia="Arial Unicode MS" w:hAnsi="Arial" w:cs="Arial"/>
      <w:b/>
      <w:bCs/>
      <w:sz w:val="18"/>
      <w:szCs w:val="18"/>
      <w:lang w:val="es-ES" w:eastAsia="es-ES"/>
    </w:rPr>
  </w:style>
  <w:style w:type="paragraph" w:customStyle="1" w:styleId="BlockTextSglJ">
    <w:name w:val="Block Text Sgl J"/>
    <w:basedOn w:val="Normal"/>
    <w:rsid w:val="00CB5011"/>
    <w:pPr>
      <w:spacing w:after="240"/>
      <w:jc w:val="both"/>
    </w:pPr>
    <w:rPr>
      <w:sz w:val="20"/>
    </w:rPr>
  </w:style>
  <w:style w:type="paragraph" w:customStyle="1" w:styleId="Title4">
    <w:name w:val="Title 4"/>
    <w:basedOn w:val="Text"/>
    <w:rsid w:val="00CB5011"/>
    <w:pPr>
      <w:keepNext/>
      <w:overflowPunct/>
      <w:autoSpaceDE/>
      <w:autoSpaceDN/>
      <w:adjustRightInd/>
      <w:ind w:firstLine="0"/>
      <w:textAlignment w:val="auto"/>
    </w:pPr>
    <w:rPr>
      <w:rFonts w:ascii="Times New (W1)" w:hAnsi="Times New (W1)"/>
      <w:b/>
      <w:i/>
      <w:sz w:val="20"/>
      <w:szCs w:val="20"/>
      <w:lang w:val="es-ES" w:eastAsia="es-ES"/>
    </w:rPr>
  </w:style>
  <w:style w:type="character" w:customStyle="1" w:styleId="DeltaViewInsertion">
    <w:name w:val="DeltaView Insertion"/>
    <w:rsid w:val="00CB5011"/>
    <w:rPr>
      <w:b/>
      <w:bCs/>
      <w:spacing w:val="0"/>
      <w:u w:val="double"/>
    </w:rPr>
  </w:style>
  <w:style w:type="paragraph" w:customStyle="1" w:styleId="CPNormalLeft">
    <w:name w:val="CPNormalLeft"/>
    <w:basedOn w:val="Normal"/>
    <w:rsid w:val="00CB5011"/>
    <w:pPr>
      <w:tabs>
        <w:tab w:val="right" w:pos="900"/>
        <w:tab w:val="left" w:pos="1170"/>
      </w:tabs>
      <w:spacing w:after="200"/>
      <w:jc w:val="both"/>
    </w:pPr>
    <w:rPr>
      <w:sz w:val="20"/>
      <w:szCs w:val="20"/>
      <w:lang w:eastAsia="es-ES"/>
    </w:rPr>
  </w:style>
  <w:style w:type="paragraph" w:customStyle="1" w:styleId="Estilo1">
    <w:name w:val="Estilo1"/>
    <w:basedOn w:val="Textonotapie"/>
    <w:rsid w:val="00CB5011"/>
    <w:pPr>
      <w:numPr>
        <w:numId w:val="8"/>
      </w:numPr>
    </w:pPr>
    <w:rPr>
      <w:rFonts w:ascii="Univers" w:hAnsi="Univers"/>
      <w:lang w:val="es-AR"/>
    </w:rPr>
  </w:style>
  <w:style w:type="paragraph" w:styleId="Textonotapie">
    <w:name w:val="footnote text"/>
    <w:aliases w:val=" Car4,Footnote Text Char Char Char Char Char,Footnote Text Char Char Char Char,Footnote reference,FA Fu,Footnote Text Char Char Char,Footnote Text Cha,FA Fußnotentext,FA Fuﬂnotentext,Footnote Text Char Char,FA Fu?notentext, Car1,Car4,Car1"/>
    <w:basedOn w:val="Normal"/>
    <w:link w:val="TextonotapieCar"/>
    <w:autoRedefine/>
    <w:uiPriority w:val="99"/>
    <w:rsid w:val="008E66E9"/>
    <w:pPr>
      <w:ind w:left="67"/>
    </w:pPr>
    <w:rPr>
      <w:iCs/>
      <w:sz w:val="16"/>
      <w:szCs w:val="20"/>
      <w:lang w:eastAsia="es-ES"/>
    </w:rPr>
  </w:style>
  <w:style w:type="character" w:customStyle="1" w:styleId="TextonotapieCar">
    <w:name w:val="Texto nota pie Car"/>
    <w:aliases w:val=" Car4 Car,Footnote Text Char Char Char Char Char Car,Footnote Text Char Char Char Char Car,Footnote reference Car,FA Fu Car,Footnote Text Char Char Char Car,Footnote Text Cha Car,FA Fußnotentext Car,FA Fuﬂnotentext Car, Car1 Car"/>
    <w:basedOn w:val="Fuentedeprrafopredeter"/>
    <w:link w:val="Textonotapie"/>
    <w:uiPriority w:val="99"/>
    <w:rsid w:val="008E66E9"/>
    <w:rPr>
      <w:rFonts w:eastAsia="Times New Roman" w:cs="Times New Roman"/>
      <w:iCs/>
      <w:color w:val="auto"/>
      <w:sz w:val="16"/>
      <w:szCs w:val="20"/>
      <w:lang w:val="en-US" w:eastAsia="es-ES"/>
    </w:rPr>
  </w:style>
  <w:style w:type="paragraph" w:customStyle="1" w:styleId="xl29">
    <w:name w:val="xl29"/>
    <w:basedOn w:val="Normal"/>
    <w:rsid w:val="00CB5011"/>
    <w:pPr>
      <w:spacing w:before="100" w:beforeAutospacing="1" w:after="100" w:afterAutospacing="1"/>
      <w:jc w:val="center"/>
      <w:textAlignment w:val="top"/>
    </w:pPr>
    <w:rPr>
      <w:rFonts w:eastAsia="Arial Unicode MS"/>
      <w:sz w:val="16"/>
      <w:szCs w:val="16"/>
      <w:lang w:val="es-ES" w:eastAsia="es-ES"/>
    </w:rPr>
  </w:style>
  <w:style w:type="paragraph" w:customStyle="1" w:styleId="Table7Par">
    <w:name w:val="Table7Par"/>
    <w:basedOn w:val="Normal"/>
    <w:rsid w:val="00CB5011"/>
    <w:pPr>
      <w:tabs>
        <w:tab w:val="left" w:pos="43"/>
        <w:tab w:val="decimal" w:pos="763"/>
      </w:tabs>
      <w:autoSpaceDE w:val="0"/>
      <w:autoSpaceDN w:val="0"/>
      <w:adjustRightInd w:val="0"/>
    </w:pPr>
    <w:rPr>
      <w:color w:val="000000"/>
      <w:sz w:val="16"/>
      <w:szCs w:val="20"/>
      <w:lang w:eastAsia="es-ES"/>
    </w:rPr>
  </w:style>
  <w:style w:type="paragraph" w:customStyle="1" w:styleId="Text3">
    <w:name w:val="Text3"/>
    <w:basedOn w:val="Normal"/>
    <w:rsid w:val="00CB5011"/>
    <w:pPr>
      <w:tabs>
        <w:tab w:val="num" w:pos="360"/>
      </w:tabs>
      <w:spacing w:after="240"/>
      <w:ind w:left="360" w:hanging="360"/>
      <w:jc w:val="both"/>
    </w:pPr>
    <w:rPr>
      <w:sz w:val="20"/>
    </w:rPr>
  </w:style>
  <w:style w:type="paragraph" w:customStyle="1" w:styleId="BodyTextNumbered">
    <w:name w:val="Body Text Numbered"/>
    <w:basedOn w:val="Textoindependiente"/>
    <w:rsid w:val="00CB5011"/>
    <w:pPr>
      <w:tabs>
        <w:tab w:val="num" w:pos="720"/>
      </w:tabs>
      <w:spacing w:before="60" w:after="200"/>
      <w:ind w:left="720" w:right="0" w:hanging="720"/>
      <w:jc w:val="left"/>
    </w:pPr>
    <w:rPr>
      <w:b w:val="0"/>
      <w:bCs w:val="0"/>
      <w:color w:val="auto"/>
      <w:lang w:val="en-US"/>
    </w:rPr>
  </w:style>
  <w:style w:type="paragraph" w:customStyle="1" w:styleId="BaseTimes">
    <w:name w:val="BaseTimes"/>
    <w:rsid w:val="00CB5011"/>
    <w:rPr>
      <w:rFonts w:eastAsia="Times New Roman" w:cs="Times New Roman"/>
      <w:color w:val="auto"/>
      <w:sz w:val="24"/>
      <w:szCs w:val="20"/>
      <w:lang w:val="en-US"/>
    </w:rPr>
  </w:style>
  <w:style w:type="paragraph" w:customStyle="1" w:styleId="Textopredeterminado">
    <w:name w:val="Texto predeterminado"/>
    <w:basedOn w:val="Normal"/>
    <w:rsid w:val="00CB5011"/>
    <w:rPr>
      <w:sz w:val="20"/>
      <w:szCs w:val="20"/>
    </w:rPr>
  </w:style>
  <w:style w:type="paragraph" w:customStyle="1" w:styleId="Bullet">
    <w:name w:val="Bullet"/>
    <w:basedOn w:val="Heading"/>
    <w:rsid w:val="00CB5011"/>
    <w:pPr>
      <w:widowControl/>
      <w:numPr>
        <w:numId w:val="4"/>
      </w:numPr>
      <w:spacing w:line="240" w:lineRule="auto"/>
      <w:jc w:val="both"/>
    </w:pPr>
    <w:rPr>
      <w:b w:val="0"/>
      <w:lang w:val="es-ES"/>
    </w:rPr>
  </w:style>
  <w:style w:type="paragraph" w:customStyle="1" w:styleId="Heading">
    <w:name w:val="Heading"/>
    <w:basedOn w:val="Normal"/>
    <w:rsid w:val="00CB5011"/>
    <w:pPr>
      <w:widowControl w:val="0"/>
      <w:autoSpaceDE w:val="0"/>
      <w:autoSpaceDN w:val="0"/>
      <w:adjustRightInd w:val="0"/>
      <w:spacing w:after="240" w:line="243" w:lineRule="exact"/>
      <w:jc w:val="center"/>
    </w:pPr>
    <w:rPr>
      <w:b/>
      <w:bCs/>
      <w:sz w:val="20"/>
      <w:szCs w:val="20"/>
    </w:rPr>
  </w:style>
  <w:style w:type="paragraph" w:customStyle="1" w:styleId="bullettext">
    <w:name w:val="bullettext"/>
    <w:basedOn w:val="Normal"/>
    <w:autoRedefine/>
    <w:rsid w:val="00CB5011"/>
    <w:pPr>
      <w:widowControl w:val="0"/>
      <w:tabs>
        <w:tab w:val="left" w:pos="720"/>
        <w:tab w:val="left" w:pos="8100"/>
      </w:tabs>
      <w:ind w:left="720" w:hanging="360"/>
      <w:jc w:val="both"/>
    </w:pPr>
    <w:rPr>
      <w:sz w:val="20"/>
      <w:szCs w:val="22"/>
      <w:lang w:val="es-AR"/>
    </w:rPr>
  </w:style>
  <w:style w:type="paragraph" w:customStyle="1" w:styleId="titulo5">
    <w:name w:val="titulo 5"/>
    <w:basedOn w:val="Normal"/>
    <w:rsid w:val="00CB5011"/>
    <w:pPr>
      <w:widowControl w:val="0"/>
      <w:numPr>
        <w:numId w:val="5"/>
      </w:numPr>
      <w:tabs>
        <w:tab w:val="left" w:pos="664"/>
      </w:tabs>
      <w:spacing w:before="120" w:after="60"/>
      <w:ind w:right="357"/>
      <w:jc w:val="both"/>
    </w:pPr>
    <w:rPr>
      <w:rFonts w:ascii="Arial" w:hAnsi="Arial"/>
      <w:szCs w:val="20"/>
      <w:lang w:val="es-AR" w:eastAsia="es-ES"/>
    </w:rPr>
  </w:style>
  <w:style w:type="paragraph" w:customStyle="1" w:styleId="Tabla">
    <w:name w:val="Tabla"/>
    <w:basedOn w:val="Normal"/>
    <w:rsid w:val="00CB5011"/>
    <w:pPr>
      <w:widowControl w:val="0"/>
      <w:tabs>
        <w:tab w:val="left" w:pos="664"/>
      </w:tabs>
      <w:spacing w:before="120" w:after="60"/>
      <w:ind w:right="357"/>
      <w:jc w:val="both"/>
    </w:pPr>
    <w:rPr>
      <w:rFonts w:ascii="CG Times (W1)" w:hAnsi="CG Times (W1)"/>
      <w:lang w:val="es-AR"/>
    </w:rPr>
  </w:style>
  <w:style w:type="paragraph" w:customStyle="1" w:styleId="footnotetex">
    <w:name w:val="footnote tex"/>
    <w:rsid w:val="00CB5011"/>
    <w:pPr>
      <w:widowControl w:val="0"/>
      <w:tabs>
        <w:tab w:val="left" w:pos="-720"/>
      </w:tabs>
      <w:suppressAutoHyphens/>
      <w:autoSpaceDE w:val="0"/>
      <w:autoSpaceDN w:val="0"/>
      <w:adjustRightInd w:val="0"/>
      <w:spacing w:line="240" w:lineRule="atLeast"/>
    </w:pPr>
    <w:rPr>
      <w:rFonts w:eastAsia="Times New Roman" w:cs="Times New Roman"/>
      <w:b/>
      <w:bCs/>
      <w:color w:val="auto"/>
      <w:sz w:val="20"/>
      <w:szCs w:val="20"/>
      <w:lang w:val="es-ES_tradnl" w:eastAsia="es-ES"/>
    </w:rPr>
  </w:style>
  <w:style w:type="paragraph" w:customStyle="1" w:styleId="Textodenotaalfinal">
    <w:name w:val="Texto de nota al final"/>
    <w:basedOn w:val="Normal"/>
    <w:rsid w:val="00CB5011"/>
    <w:pPr>
      <w:widowControl w:val="0"/>
      <w:autoSpaceDE w:val="0"/>
      <w:autoSpaceDN w:val="0"/>
      <w:adjustRightInd w:val="0"/>
    </w:pPr>
    <w:rPr>
      <w:rFonts w:ascii="Courier" w:hAnsi="Courier"/>
      <w:sz w:val="20"/>
      <w:szCs w:val="20"/>
      <w:lang w:val="es-AR" w:eastAsia="es-ES"/>
    </w:rPr>
  </w:style>
  <w:style w:type="paragraph" w:customStyle="1" w:styleId="FR1">
    <w:name w:val="FR1"/>
    <w:rsid w:val="00CB5011"/>
    <w:pPr>
      <w:widowControl w:val="0"/>
      <w:autoSpaceDE w:val="0"/>
      <w:autoSpaceDN w:val="0"/>
      <w:adjustRightInd w:val="0"/>
      <w:spacing w:line="320" w:lineRule="auto"/>
    </w:pPr>
    <w:rPr>
      <w:rFonts w:ascii="Arial" w:eastAsia="Times New Roman" w:hAnsi="Arial" w:cs="Times New Roman"/>
      <w:color w:val="auto"/>
      <w:sz w:val="18"/>
      <w:szCs w:val="18"/>
      <w:lang w:val="en-US" w:eastAsia="es-ES"/>
    </w:rPr>
  </w:style>
  <w:style w:type="paragraph" w:customStyle="1" w:styleId="TitleB">
    <w:name w:val="Title B"/>
    <w:basedOn w:val="Normal"/>
    <w:next w:val="Textoindependiente"/>
    <w:rsid w:val="00CB5011"/>
    <w:pPr>
      <w:keepNext/>
      <w:spacing w:after="240"/>
    </w:pPr>
    <w:rPr>
      <w:b/>
      <w:bCs/>
      <w:sz w:val="20"/>
      <w:szCs w:val="20"/>
    </w:rPr>
  </w:style>
  <w:style w:type="paragraph" w:customStyle="1" w:styleId="CenteredText">
    <w:name w:val="Centered Text"/>
    <w:basedOn w:val="Normal"/>
    <w:rsid w:val="00CB5011"/>
    <w:pPr>
      <w:spacing w:after="240"/>
      <w:jc w:val="center"/>
    </w:pPr>
    <w:rPr>
      <w:sz w:val="20"/>
      <w:szCs w:val="20"/>
    </w:rPr>
  </w:style>
  <w:style w:type="paragraph" w:styleId="Textodebloque">
    <w:name w:val="Block Text"/>
    <w:aliases w:val="75 Sgl J"/>
    <w:basedOn w:val="Normal"/>
    <w:rsid w:val="00CB5011"/>
    <w:pPr>
      <w:widowControl w:val="0"/>
      <w:tabs>
        <w:tab w:val="left" w:pos="426"/>
        <w:tab w:val="left" w:pos="664"/>
      </w:tabs>
      <w:ind w:left="420" w:right="357" w:hanging="420"/>
      <w:jc w:val="both"/>
    </w:pPr>
    <w:rPr>
      <w:rFonts w:ascii="Times New Roman Bold" w:hAnsi="Times New Roman Bold"/>
      <w:b/>
      <w:smallCaps/>
      <w:sz w:val="20"/>
      <w:szCs w:val="20"/>
      <w:u w:val="single"/>
      <w:lang w:val="es-ES"/>
    </w:rPr>
  </w:style>
  <w:style w:type="paragraph" w:styleId="Textodeglobo">
    <w:name w:val="Balloon Text"/>
    <w:basedOn w:val="Normal"/>
    <w:link w:val="TextodegloboCar"/>
    <w:uiPriority w:val="99"/>
    <w:semiHidden/>
    <w:unhideWhenUsed/>
    <w:rsid w:val="00CB5011"/>
    <w:rPr>
      <w:rFonts w:ascii="Tahoma" w:hAnsi="Tahoma" w:cs="Tahoma"/>
      <w:sz w:val="16"/>
      <w:szCs w:val="16"/>
    </w:rPr>
  </w:style>
  <w:style w:type="character" w:customStyle="1" w:styleId="TextodegloboCar">
    <w:name w:val="Texto de globo Car"/>
    <w:basedOn w:val="Fuentedeprrafopredeter"/>
    <w:link w:val="Textodeglobo"/>
    <w:uiPriority w:val="99"/>
    <w:semiHidden/>
    <w:rsid w:val="00CB5011"/>
    <w:rPr>
      <w:rFonts w:ascii="Tahoma" w:eastAsia="Times New Roman" w:hAnsi="Tahoma" w:cs="Tahoma"/>
      <w:color w:val="auto"/>
      <w:sz w:val="16"/>
      <w:szCs w:val="16"/>
      <w:lang w:val="en-US"/>
    </w:rPr>
  </w:style>
  <w:style w:type="paragraph" w:styleId="Revisin">
    <w:name w:val="Revision"/>
    <w:hidden/>
    <w:semiHidden/>
    <w:rsid w:val="00CB5011"/>
    <w:rPr>
      <w:rFonts w:eastAsia="Times New Roman" w:cs="Times New Roman"/>
      <w:color w:val="auto"/>
      <w:sz w:val="24"/>
      <w:szCs w:val="24"/>
      <w:lang w:val="en-US"/>
    </w:rPr>
  </w:style>
  <w:style w:type="paragraph" w:customStyle="1" w:styleId="TitleBIIndented">
    <w:name w:val="Title BI Indented"/>
    <w:basedOn w:val="TitleB"/>
    <w:rsid w:val="00CB5011"/>
    <w:pPr>
      <w:ind w:left="720"/>
    </w:pPr>
    <w:rPr>
      <w:i/>
      <w:iCs/>
    </w:rPr>
  </w:style>
  <w:style w:type="paragraph" w:customStyle="1" w:styleId="Textopredeterminado1">
    <w:name w:val="Texto predeterminado:1"/>
    <w:basedOn w:val="Normal"/>
    <w:rsid w:val="00CB5011"/>
    <w:pPr>
      <w:jc w:val="both"/>
    </w:pPr>
    <w:rPr>
      <w:rFonts w:ascii="Arial" w:hAnsi="Arial"/>
      <w:noProof/>
      <w:szCs w:val="20"/>
      <w:lang w:val="es-AR" w:eastAsia="es-ES"/>
    </w:rPr>
  </w:style>
  <w:style w:type="paragraph" w:styleId="Textocomentario">
    <w:name w:val="annotation text"/>
    <w:basedOn w:val="Normal"/>
    <w:link w:val="TextocomentarioCar"/>
    <w:uiPriority w:val="99"/>
    <w:semiHidden/>
    <w:unhideWhenUsed/>
    <w:rsid w:val="00CB5011"/>
    <w:rPr>
      <w:sz w:val="20"/>
      <w:szCs w:val="20"/>
    </w:rPr>
  </w:style>
  <w:style w:type="character" w:customStyle="1" w:styleId="TextocomentarioCar">
    <w:name w:val="Texto comentario Car"/>
    <w:basedOn w:val="Fuentedeprrafopredeter"/>
    <w:link w:val="Textocomentario"/>
    <w:uiPriority w:val="99"/>
    <w:semiHidden/>
    <w:rsid w:val="00CB5011"/>
    <w:rPr>
      <w:rFonts w:eastAsia="Times New Roman" w:cs="Times New Roman"/>
      <w:color w:val="auto"/>
      <w:sz w:val="20"/>
      <w:szCs w:val="20"/>
      <w:lang w:val="en-US"/>
    </w:rPr>
  </w:style>
  <w:style w:type="paragraph" w:styleId="Asuntodelcomentario">
    <w:name w:val="annotation subject"/>
    <w:basedOn w:val="Textocomentario"/>
    <w:next w:val="Textocomentario"/>
    <w:link w:val="AsuntodelcomentarioCar"/>
    <w:uiPriority w:val="99"/>
    <w:semiHidden/>
    <w:unhideWhenUsed/>
    <w:rsid w:val="00CB5011"/>
    <w:rPr>
      <w:b/>
      <w:bCs/>
    </w:rPr>
  </w:style>
  <w:style w:type="character" w:customStyle="1" w:styleId="AsuntodelcomentarioCar">
    <w:name w:val="Asunto del comentario Car"/>
    <w:basedOn w:val="TextocomentarioCar"/>
    <w:link w:val="Asuntodelcomentario"/>
    <w:uiPriority w:val="99"/>
    <w:semiHidden/>
    <w:rsid w:val="00CB5011"/>
    <w:rPr>
      <w:rFonts w:eastAsia="Times New Roman" w:cs="Times New Roman"/>
      <w:b/>
      <w:bCs/>
      <w:color w:val="auto"/>
      <w:sz w:val="20"/>
      <w:szCs w:val="20"/>
      <w:lang w:val="en-US"/>
    </w:rPr>
  </w:style>
  <w:style w:type="paragraph" w:customStyle="1" w:styleId="bti">
    <w:name w:val="bti"/>
    <w:aliases w:val="BodyTextInd"/>
    <w:basedOn w:val="Sangradetextonormal"/>
    <w:rsid w:val="00CB5011"/>
    <w:pPr>
      <w:autoSpaceDE w:val="0"/>
      <w:autoSpaceDN w:val="0"/>
      <w:adjustRightInd w:val="0"/>
      <w:ind w:firstLine="360"/>
      <w:jc w:val="both"/>
    </w:pPr>
    <w:rPr>
      <w:color w:val="000000"/>
      <w:szCs w:val="18"/>
      <w:lang w:eastAsia="pt-BR"/>
    </w:rPr>
  </w:style>
  <w:style w:type="paragraph" w:styleId="Sangradetextonormal">
    <w:name w:val="Body Text Indent"/>
    <w:basedOn w:val="Normal"/>
    <w:link w:val="SangradetextonormalCar"/>
    <w:rsid w:val="00CB5011"/>
    <w:pPr>
      <w:spacing w:after="240"/>
    </w:pPr>
    <w:rPr>
      <w:sz w:val="20"/>
      <w:szCs w:val="20"/>
    </w:rPr>
  </w:style>
  <w:style w:type="character" w:customStyle="1" w:styleId="SangradetextonormalCar">
    <w:name w:val="Sangría de texto normal Car"/>
    <w:basedOn w:val="Fuentedeprrafopredeter"/>
    <w:link w:val="Sangradetextonormal"/>
    <w:rsid w:val="00CB5011"/>
    <w:rPr>
      <w:rFonts w:eastAsia="Times New Roman" w:cs="Times New Roman"/>
      <w:color w:val="auto"/>
      <w:sz w:val="20"/>
      <w:szCs w:val="20"/>
      <w:lang w:val="en-US"/>
    </w:rPr>
  </w:style>
  <w:style w:type="paragraph" w:customStyle="1" w:styleId="flbldit">
    <w:name w:val="flbldit"/>
    <w:basedOn w:val="Normal"/>
    <w:rsid w:val="00CB5011"/>
    <w:pPr>
      <w:keepNext/>
      <w:keepLines/>
      <w:autoSpaceDE w:val="0"/>
      <w:autoSpaceDN w:val="0"/>
      <w:adjustRightInd w:val="0"/>
      <w:spacing w:after="240"/>
      <w:ind w:left="187"/>
      <w:jc w:val="both"/>
    </w:pPr>
    <w:rPr>
      <w:b/>
      <w:bCs/>
      <w:i/>
      <w:iCs/>
      <w:color w:val="000000"/>
      <w:sz w:val="20"/>
      <w:szCs w:val="18"/>
      <w:lang w:eastAsia="pt-BR"/>
    </w:rPr>
  </w:style>
  <w:style w:type="paragraph" w:customStyle="1" w:styleId="ItalicsBold">
    <w:name w:val="Italics/Bold"/>
    <w:basedOn w:val="Normal"/>
    <w:rsid w:val="00CB5011"/>
    <w:pPr>
      <w:keepNext/>
      <w:spacing w:after="240"/>
    </w:pPr>
    <w:rPr>
      <w:b/>
      <w:i/>
      <w:sz w:val="20"/>
    </w:rPr>
  </w:style>
  <w:style w:type="paragraph" w:customStyle="1" w:styleId="leftmargin">
    <w:name w:val="left margin"/>
    <w:basedOn w:val="Normal"/>
    <w:rsid w:val="00CB5011"/>
    <w:pPr>
      <w:jc w:val="both"/>
    </w:pPr>
    <w:rPr>
      <w:rFonts w:ascii="Arial" w:hAnsi="Arial"/>
      <w:sz w:val="20"/>
      <w:szCs w:val="20"/>
      <w:lang w:eastAsia="es-ES"/>
    </w:rPr>
  </w:style>
  <w:style w:type="paragraph" w:customStyle="1" w:styleId="xl33">
    <w:name w:val="xl33"/>
    <w:basedOn w:val="Normal"/>
    <w:rsid w:val="00CB5011"/>
    <w:pPr>
      <w:spacing w:before="100" w:beforeAutospacing="1" w:after="100" w:afterAutospacing="1"/>
    </w:pPr>
    <w:rPr>
      <w:rFonts w:eastAsia="Arial Unicode MS"/>
      <w:sz w:val="16"/>
      <w:szCs w:val="16"/>
      <w:lang w:val="es-ES" w:eastAsia="es-ES"/>
    </w:rPr>
  </w:style>
  <w:style w:type="paragraph" w:customStyle="1" w:styleId="xl35">
    <w:name w:val="xl35"/>
    <w:basedOn w:val="Normal"/>
    <w:rsid w:val="00CB5011"/>
    <w:pPr>
      <w:spacing w:after="100" w:afterAutospacing="1"/>
    </w:pPr>
    <w:rPr>
      <w:rFonts w:ascii="MS Sans Serif" w:eastAsia="Arial Unicode MS" w:hAnsi="MS Sans Serif"/>
      <w:sz w:val="14"/>
      <w:szCs w:val="14"/>
      <w:lang w:val="es-ES" w:eastAsia="es-ES"/>
    </w:rPr>
  </w:style>
  <w:style w:type="paragraph" w:customStyle="1" w:styleId="xl24">
    <w:name w:val="xl24"/>
    <w:basedOn w:val="Normal"/>
    <w:rsid w:val="00CB5011"/>
    <w:pPr>
      <w:spacing w:before="100" w:beforeAutospacing="1" w:after="100" w:afterAutospacing="1"/>
    </w:pPr>
    <w:rPr>
      <w:rFonts w:ascii="Times New (W1)" w:eastAsia="Arial Unicode MS" w:hAnsi="Times New (W1)"/>
      <w:sz w:val="18"/>
      <w:szCs w:val="20"/>
      <w:lang w:val="es-ES" w:eastAsia="es-ES"/>
    </w:rPr>
  </w:style>
  <w:style w:type="paragraph" w:customStyle="1" w:styleId="texths">
    <w:name w:val="texths"/>
    <w:basedOn w:val="Normal"/>
    <w:rsid w:val="00CB5011"/>
    <w:pPr>
      <w:keepNext/>
      <w:widowControl w:val="0"/>
      <w:overflowPunct w:val="0"/>
      <w:autoSpaceDE w:val="0"/>
      <w:autoSpaceDN w:val="0"/>
      <w:adjustRightInd w:val="0"/>
      <w:spacing w:before="120" w:after="240"/>
      <w:ind w:firstLine="709"/>
      <w:jc w:val="both"/>
      <w:textAlignment w:val="baseline"/>
    </w:pPr>
    <w:rPr>
      <w:b/>
      <w:bCs/>
      <w:sz w:val="22"/>
      <w:szCs w:val="22"/>
    </w:rPr>
  </w:style>
  <w:style w:type="paragraph" w:customStyle="1" w:styleId="Textoindependiente21">
    <w:name w:val="Texto independiente 21"/>
    <w:basedOn w:val="Normal"/>
    <w:autoRedefine/>
    <w:rsid w:val="00CB5011"/>
    <w:pPr>
      <w:widowControl w:val="0"/>
      <w:tabs>
        <w:tab w:val="left" w:pos="900"/>
      </w:tabs>
      <w:autoSpaceDE w:val="0"/>
      <w:autoSpaceDN w:val="0"/>
      <w:adjustRightInd w:val="0"/>
      <w:jc w:val="both"/>
    </w:pPr>
    <w:rPr>
      <w:b/>
      <w:bCs/>
      <w:i/>
      <w:iCs/>
      <w:sz w:val="20"/>
      <w:szCs w:val="20"/>
      <w:lang w:val="es-ES" w:eastAsia="es-ES"/>
    </w:rPr>
  </w:style>
  <w:style w:type="paragraph" w:customStyle="1" w:styleId="Table">
    <w:name w:val="Table"/>
    <w:basedOn w:val="Normal"/>
    <w:autoRedefine/>
    <w:rsid w:val="00CB5011"/>
    <w:pPr>
      <w:spacing w:before="240" w:after="240"/>
      <w:ind w:left="110"/>
    </w:pPr>
    <w:rPr>
      <w:rFonts w:eastAsia="Arial Unicode MS"/>
      <w:snapToGrid w:val="0"/>
      <w:sz w:val="20"/>
      <w:szCs w:val="20"/>
      <w:lang w:val="es-AR" w:eastAsia="es-ES"/>
    </w:rPr>
  </w:style>
  <w:style w:type="paragraph" w:customStyle="1" w:styleId="xl32">
    <w:name w:val="xl32"/>
    <w:basedOn w:val="Normal"/>
    <w:rsid w:val="00CB5011"/>
    <w:pPr>
      <w:spacing w:before="100" w:beforeAutospacing="1" w:after="100" w:afterAutospacing="1"/>
      <w:ind w:firstLine="709"/>
      <w:jc w:val="right"/>
    </w:pPr>
    <w:rPr>
      <w:rFonts w:ascii="Arial" w:eastAsia="Arial Unicode MS" w:hAnsi="Arial" w:cs="Arial"/>
      <w:b/>
      <w:bCs/>
      <w:color w:val="000000"/>
      <w:sz w:val="16"/>
      <w:szCs w:val="16"/>
      <w:lang w:val="es-AR" w:eastAsia="es-ES"/>
    </w:rPr>
  </w:style>
  <w:style w:type="paragraph" w:customStyle="1" w:styleId="toa">
    <w:name w:val="toa"/>
    <w:basedOn w:val="Normal"/>
    <w:rsid w:val="00CB5011"/>
    <w:pPr>
      <w:widowControl w:val="0"/>
      <w:tabs>
        <w:tab w:val="left" w:pos="9000"/>
        <w:tab w:val="right" w:pos="9360"/>
      </w:tabs>
      <w:suppressAutoHyphens/>
      <w:overflowPunct w:val="0"/>
      <w:autoSpaceDE w:val="0"/>
      <w:autoSpaceDN w:val="0"/>
      <w:adjustRightInd w:val="0"/>
      <w:spacing w:after="240"/>
      <w:ind w:firstLine="709"/>
      <w:jc w:val="both"/>
      <w:textAlignment w:val="baseline"/>
    </w:pPr>
    <w:rPr>
      <w:rFonts w:ascii="Times New (W1)" w:hAnsi="Times New (W1)"/>
      <w:sz w:val="20"/>
      <w:szCs w:val="20"/>
    </w:rPr>
  </w:style>
  <w:style w:type="paragraph" w:customStyle="1" w:styleId="BodyText2SglJ">
    <w:name w:val="Body Text 2 Sgl J"/>
    <w:basedOn w:val="Normal"/>
    <w:rsid w:val="00CB5011"/>
    <w:pPr>
      <w:keepNext/>
      <w:spacing w:after="240"/>
      <w:ind w:firstLine="720"/>
      <w:jc w:val="both"/>
    </w:pPr>
    <w:rPr>
      <w:sz w:val="19"/>
      <w:szCs w:val="19"/>
    </w:rPr>
  </w:style>
  <w:style w:type="paragraph" w:customStyle="1" w:styleId="BlockText5JHang">
    <w:name w:val="Block Text .5J Hang"/>
    <w:basedOn w:val="Normal"/>
    <w:rsid w:val="00CB5011"/>
    <w:pPr>
      <w:spacing w:after="240"/>
      <w:ind w:left="1080" w:hanging="360"/>
      <w:jc w:val="both"/>
    </w:pPr>
    <w:rPr>
      <w:sz w:val="20"/>
      <w:szCs w:val="20"/>
    </w:rPr>
  </w:style>
  <w:style w:type="paragraph" w:customStyle="1" w:styleId="Ital">
    <w:name w:val="Ital"/>
    <w:basedOn w:val="Normal"/>
    <w:rsid w:val="00CB5011"/>
    <w:pPr>
      <w:keepNext/>
      <w:spacing w:after="240"/>
      <w:ind w:firstLine="709"/>
      <w:jc w:val="both"/>
    </w:pPr>
    <w:rPr>
      <w:i/>
      <w:iCs/>
      <w:sz w:val="20"/>
      <w:szCs w:val="20"/>
      <w:lang w:eastAsia="es-ES"/>
    </w:rPr>
  </w:style>
  <w:style w:type="paragraph" w:customStyle="1" w:styleId="Estndar">
    <w:name w:val="Estándar"/>
    <w:basedOn w:val="Normal"/>
    <w:rsid w:val="00CB5011"/>
    <w:rPr>
      <w:rFonts w:ascii="Arial" w:hAnsi="Arial"/>
      <w:sz w:val="20"/>
      <w:szCs w:val="20"/>
      <w:lang w:eastAsia="es-ES"/>
    </w:rPr>
  </w:style>
  <w:style w:type="paragraph" w:customStyle="1" w:styleId="MainPara">
    <w:name w:val="Main Para"/>
    <w:basedOn w:val="Normal"/>
    <w:rsid w:val="00CB5011"/>
    <w:pPr>
      <w:ind w:firstLine="432"/>
      <w:jc w:val="both"/>
    </w:pPr>
    <w:rPr>
      <w:rFonts w:ascii="Arial" w:hAnsi="Arial"/>
      <w:sz w:val="20"/>
      <w:szCs w:val="20"/>
      <w:lang w:eastAsia="es-ES"/>
    </w:rPr>
  </w:style>
  <w:style w:type="paragraph" w:customStyle="1" w:styleId="ListBullet1">
    <w:name w:val="List Bullet 1"/>
    <w:basedOn w:val="Normal"/>
    <w:rsid w:val="00CB5011"/>
    <w:pPr>
      <w:tabs>
        <w:tab w:val="num" w:pos="360"/>
      </w:tabs>
      <w:spacing w:after="240"/>
      <w:ind w:left="360" w:hanging="360"/>
      <w:jc w:val="both"/>
    </w:pPr>
    <w:rPr>
      <w:sz w:val="20"/>
      <w:szCs w:val="20"/>
      <w:lang w:eastAsia="es-ES"/>
    </w:rPr>
  </w:style>
  <w:style w:type="paragraph" w:customStyle="1" w:styleId="font5">
    <w:name w:val="font5"/>
    <w:basedOn w:val="Normal"/>
    <w:rsid w:val="00CB5011"/>
    <w:pPr>
      <w:spacing w:before="100" w:beforeAutospacing="1" w:after="100" w:afterAutospacing="1"/>
    </w:pPr>
    <w:rPr>
      <w:rFonts w:eastAsia="Arial Unicode MS"/>
      <w:sz w:val="20"/>
      <w:szCs w:val="20"/>
      <w:lang w:val="es-ES" w:eastAsia="es-ES"/>
    </w:rPr>
  </w:style>
  <w:style w:type="paragraph" w:customStyle="1" w:styleId="xl25">
    <w:name w:val="xl25"/>
    <w:basedOn w:val="Normal"/>
    <w:rsid w:val="00CB5011"/>
    <w:pPr>
      <w:spacing w:before="100" w:beforeAutospacing="1" w:after="100" w:afterAutospacing="1"/>
    </w:pPr>
    <w:rPr>
      <w:rFonts w:eastAsia="Arial Unicode MS"/>
      <w:sz w:val="16"/>
      <w:szCs w:val="16"/>
      <w:lang w:val="es-ES" w:eastAsia="es-ES"/>
    </w:rPr>
  </w:style>
  <w:style w:type="paragraph" w:customStyle="1" w:styleId="xl26">
    <w:name w:val="xl26"/>
    <w:basedOn w:val="Normal"/>
    <w:rsid w:val="00CB5011"/>
    <w:pPr>
      <w:spacing w:before="100" w:beforeAutospacing="1" w:after="100" w:afterAutospacing="1"/>
      <w:jc w:val="right"/>
      <w:textAlignment w:val="center"/>
    </w:pPr>
    <w:rPr>
      <w:rFonts w:eastAsia="Arial Unicode MS"/>
      <w:sz w:val="16"/>
      <w:szCs w:val="16"/>
      <w:lang w:val="es-ES" w:eastAsia="es-ES"/>
    </w:rPr>
  </w:style>
  <w:style w:type="paragraph" w:customStyle="1" w:styleId="xl27">
    <w:name w:val="xl27"/>
    <w:basedOn w:val="Normal"/>
    <w:rsid w:val="00CB5011"/>
    <w:pPr>
      <w:spacing w:before="100" w:beforeAutospacing="1" w:after="100" w:afterAutospacing="1"/>
    </w:pPr>
    <w:rPr>
      <w:rFonts w:eastAsia="Arial Unicode MS"/>
      <w:sz w:val="16"/>
      <w:szCs w:val="16"/>
      <w:lang w:val="es-ES" w:eastAsia="es-ES"/>
    </w:rPr>
  </w:style>
  <w:style w:type="paragraph" w:customStyle="1" w:styleId="xl28">
    <w:name w:val="xl28"/>
    <w:basedOn w:val="Normal"/>
    <w:rsid w:val="00CB5011"/>
    <w:pPr>
      <w:spacing w:before="100" w:beforeAutospacing="1" w:after="100" w:afterAutospacing="1"/>
    </w:pPr>
    <w:rPr>
      <w:rFonts w:eastAsia="Arial Unicode MS"/>
      <w:sz w:val="16"/>
      <w:szCs w:val="16"/>
      <w:lang w:val="es-ES" w:eastAsia="es-ES"/>
    </w:rPr>
  </w:style>
  <w:style w:type="paragraph" w:customStyle="1" w:styleId="xl30">
    <w:name w:val="xl30"/>
    <w:basedOn w:val="Normal"/>
    <w:rsid w:val="00CB501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lang w:val="es-ES" w:eastAsia="es-ES"/>
    </w:rPr>
  </w:style>
  <w:style w:type="paragraph" w:customStyle="1" w:styleId="xl31">
    <w:name w:val="xl31"/>
    <w:basedOn w:val="Normal"/>
    <w:rsid w:val="00CB5011"/>
    <w:pPr>
      <w:spacing w:before="100" w:beforeAutospacing="1" w:after="100" w:afterAutospacing="1"/>
      <w:textAlignment w:val="center"/>
    </w:pPr>
    <w:rPr>
      <w:rFonts w:eastAsia="Arial Unicode MS"/>
      <w:sz w:val="16"/>
      <w:szCs w:val="16"/>
      <w:lang w:val="es-ES" w:eastAsia="es-ES"/>
    </w:rPr>
  </w:style>
  <w:style w:type="paragraph" w:customStyle="1" w:styleId="xl34">
    <w:name w:val="xl34"/>
    <w:basedOn w:val="Normal"/>
    <w:rsid w:val="00CB5011"/>
    <w:pPr>
      <w:spacing w:before="100" w:beforeAutospacing="1" w:after="100" w:afterAutospacing="1"/>
      <w:jc w:val="center"/>
      <w:textAlignment w:val="center"/>
    </w:pPr>
    <w:rPr>
      <w:rFonts w:eastAsia="Arial Unicode MS"/>
      <w:lang w:val="es-ES" w:eastAsia="es-ES"/>
    </w:rPr>
  </w:style>
  <w:style w:type="paragraph" w:customStyle="1" w:styleId="xl36">
    <w:name w:val="xl36"/>
    <w:basedOn w:val="Normal"/>
    <w:rsid w:val="00CB5011"/>
    <w:pPr>
      <w:spacing w:before="100" w:beforeAutospacing="1" w:after="100" w:afterAutospacing="1"/>
      <w:ind w:firstLineChars="200" w:firstLine="200"/>
      <w:textAlignment w:val="center"/>
    </w:pPr>
    <w:rPr>
      <w:rFonts w:ascii="Arial Unicode MS" w:eastAsia="Arial Unicode MS" w:hAnsi="Arial Unicode MS"/>
      <w:lang w:val="es-ES" w:eastAsia="es-ES"/>
    </w:rPr>
  </w:style>
  <w:style w:type="paragraph" w:customStyle="1" w:styleId="xl37">
    <w:name w:val="xl37"/>
    <w:basedOn w:val="Normal"/>
    <w:rsid w:val="00CB5011"/>
    <w:pPr>
      <w:spacing w:before="100" w:beforeAutospacing="1" w:after="100" w:afterAutospacing="1"/>
      <w:textAlignment w:val="center"/>
    </w:pPr>
    <w:rPr>
      <w:rFonts w:ascii="Arial Unicode MS" w:eastAsia="Arial Unicode MS" w:hAnsi="Arial Unicode MS"/>
      <w:lang w:val="es-ES" w:eastAsia="es-ES"/>
    </w:rPr>
  </w:style>
  <w:style w:type="paragraph" w:customStyle="1" w:styleId="xl38">
    <w:name w:val="xl38"/>
    <w:basedOn w:val="Normal"/>
    <w:rsid w:val="00CB5011"/>
    <w:pPr>
      <w:spacing w:before="100" w:beforeAutospacing="1" w:after="100" w:afterAutospacing="1"/>
      <w:jc w:val="center"/>
      <w:textAlignment w:val="center"/>
    </w:pPr>
    <w:rPr>
      <w:rFonts w:eastAsia="Arial Unicode MS"/>
      <w:lang w:val="es-ES" w:eastAsia="es-ES"/>
    </w:rPr>
  </w:style>
  <w:style w:type="paragraph" w:customStyle="1" w:styleId="xl39">
    <w:name w:val="xl39"/>
    <w:basedOn w:val="Normal"/>
    <w:rsid w:val="00CB5011"/>
    <w:pPr>
      <w:spacing w:before="100" w:beforeAutospacing="1" w:after="100" w:afterAutospacing="1"/>
      <w:jc w:val="center"/>
      <w:textAlignment w:val="center"/>
    </w:pPr>
    <w:rPr>
      <w:rFonts w:eastAsia="Arial Unicode MS"/>
      <w:lang w:val="es-ES" w:eastAsia="es-ES"/>
    </w:rPr>
  </w:style>
  <w:style w:type="paragraph" w:customStyle="1" w:styleId="xl40">
    <w:name w:val="xl40"/>
    <w:basedOn w:val="Normal"/>
    <w:rsid w:val="00CB5011"/>
    <w:pPr>
      <w:spacing w:before="100" w:beforeAutospacing="1" w:after="100" w:afterAutospacing="1"/>
      <w:jc w:val="right"/>
      <w:textAlignment w:val="center"/>
    </w:pPr>
    <w:rPr>
      <w:rFonts w:eastAsia="Arial Unicode MS"/>
      <w:sz w:val="16"/>
      <w:szCs w:val="16"/>
      <w:lang w:val="es-ES" w:eastAsia="es-ES"/>
    </w:rPr>
  </w:style>
  <w:style w:type="paragraph" w:customStyle="1" w:styleId="xl41">
    <w:name w:val="xl41"/>
    <w:basedOn w:val="Normal"/>
    <w:rsid w:val="00CB5011"/>
    <w:pPr>
      <w:spacing w:before="100" w:beforeAutospacing="1" w:after="100" w:afterAutospacing="1"/>
      <w:jc w:val="right"/>
    </w:pPr>
    <w:rPr>
      <w:rFonts w:eastAsia="Arial Unicode MS"/>
      <w:sz w:val="16"/>
      <w:szCs w:val="16"/>
      <w:lang w:val="es-ES" w:eastAsia="es-ES"/>
    </w:rPr>
  </w:style>
  <w:style w:type="paragraph" w:customStyle="1" w:styleId="xl42">
    <w:name w:val="xl42"/>
    <w:basedOn w:val="Normal"/>
    <w:rsid w:val="00CB5011"/>
    <w:pPr>
      <w:spacing w:before="100" w:beforeAutospacing="1" w:after="100" w:afterAutospacing="1"/>
    </w:pPr>
    <w:rPr>
      <w:rFonts w:eastAsia="Arial Unicode MS"/>
      <w:sz w:val="16"/>
      <w:szCs w:val="16"/>
      <w:lang w:val="es-ES" w:eastAsia="es-ES"/>
    </w:rPr>
  </w:style>
  <w:style w:type="paragraph" w:customStyle="1" w:styleId="xl43">
    <w:name w:val="xl43"/>
    <w:basedOn w:val="Normal"/>
    <w:rsid w:val="00CB5011"/>
    <w:pPr>
      <w:spacing w:before="100" w:beforeAutospacing="1" w:after="100" w:afterAutospacing="1"/>
      <w:jc w:val="right"/>
      <w:textAlignment w:val="top"/>
    </w:pPr>
    <w:rPr>
      <w:rFonts w:eastAsia="Arial Unicode MS"/>
      <w:sz w:val="16"/>
      <w:szCs w:val="16"/>
      <w:lang w:val="es-ES" w:eastAsia="es-ES"/>
    </w:rPr>
  </w:style>
  <w:style w:type="paragraph" w:customStyle="1" w:styleId="xl44">
    <w:name w:val="xl44"/>
    <w:basedOn w:val="Normal"/>
    <w:rsid w:val="00CB5011"/>
    <w:pPr>
      <w:spacing w:before="100" w:beforeAutospacing="1" w:after="100" w:afterAutospacing="1"/>
      <w:jc w:val="center"/>
      <w:textAlignment w:val="center"/>
    </w:pPr>
    <w:rPr>
      <w:rFonts w:eastAsia="Arial Unicode MS"/>
      <w:lang w:val="es-ES" w:eastAsia="es-ES"/>
    </w:rPr>
  </w:style>
  <w:style w:type="paragraph" w:customStyle="1" w:styleId="xl45">
    <w:name w:val="xl45"/>
    <w:basedOn w:val="Normal"/>
    <w:rsid w:val="00CB5011"/>
    <w:pPr>
      <w:spacing w:before="100" w:beforeAutospacing="1" w:after="100" w:afterAutospacing="1"/>
      <w:textAlignment w:val="center"/>
    </w:pPr>
    <w:rPr>
      <w:rFonts w:eastAsia="Arial Unicode MS"/>
      <w:sz w:val="16"/>
      <w:szCs w:val="16"/>
      <w:lang w:val="es-ES" w:eastAsia="es-ES"/>
    </w:rPr>
  </w:style>
  <w:style w:type="paragraph" w:customStyle="1" w:styleId="xl46">
    <w:name w:val="xl46"/>
    <w:basedOn w:val="Normal"/>
    <w:rsid w:val="00CB501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Arial Unicode MS"/>
      <w:lang w:val="es-ES" w:eastAsia="es-ES"/>
    </w:rPr>
  </w:style>
  <w:style w:type="paragraph" w:customStyle="1" w:styleId="xl47">
    <w:name w:val="xl47"/>
    <w:basedOn w:val="Normal"/>
    <w:rsid w:val="00CB5011"/>
    <w:pPr>
      <w:spacing w:before="100" w:beforeAutospacing="1" w:after="100" w:afterAutospacing="1"/>
      <w:textAlignment w:val="top"/>
    </w:pPr>
    <w:rPr>
      <w:rFonts w:eastAsia="Arial Unicode MS"/>
      <w:sz w:val="16"/>
      <w:szCs w:val="16"/>
      <w:lang w:val="es-ES" w:eastAsia="es-ES"/>
    </w:rPr>
  </w:style>
  <w:style w:type="paragraph" w:customStyle="1" w:styleId="xl48">
    <w:name w:val="xl48"/>
    <w:basedOn w:val="Normal"/>
    <w:rsid w:val="00CB5011"/>
    <w:pPr>
      <w:spacing w:before="100" w:beforeAutospacing="1" w:after="100" w:afterAutospacing="1"/>
      <w:jc w:val="right"/>
      <w:textAlignment w:val="top"/>
    </w:pPr>
    <w:rPr>
      <w:rFonts w:eastAsia="Arial Unicode MS"/>
      <w:sz w:val="16"/>
      <w:szCs w:val="16"/>
      <w:lang w:val="es-ES" w:eastAsia="es-ES"/>
    </w:rPr>
  </w:style>
  <w:style w:type="paragraph" w:customStyle="1" w:styleId="xl49">
    <w:name w:val="xl49"/>
    <w:basedOn w:val="Normal"/>
    <w:rsid w:val="00CB5011"/>
    <w:pPr>
      <w:spacing w:before="100" w:beforeAutospacing="1" w:after="100" w:afterAutospacing="1"/>
    </w:pPr>
    <w:rPr>
      <w:rFonts w:eastAsia="Arial Unicode MS"/>
      <w:lang w:val="es-ES" w:eastAsia="es-ES"/>
    </w:rPr>
  </w:style>
  <w:style w:type="paragraph" w:customStyle="1" w:styleId="xl50">
    <w:name w:val="xl50"/>
    <w:basedOn w:val="Normal"/>
    <w:rsid w:val="00CB5011"/>
    <w:pPr>
      <w:pBdr>
        <w:top w:val="single" w:sz="8" w:space="0" w:color="auto"/>
        <w:left w:val="single" w:sz="8" w:space="0" w:color="auto"/>
        <w:right w:val="single" w:sz="8" w:space="0" w:color="auto"/>
      </w:pBdr>
      <w:spacing w:before="100" w:beforeAutospacing="1" w:after="100" w:afterAutospacing="1"/>
      <w:jc w:val="center"/>
    </w:pPr>
    <w:rPr>
      <w:rFonts w:eastAsia="Arial Unicode MS"/>
      <w:lang w:val="es-ES" w:eastAsia="es-ES"/>
    </w:rPr>
  </w:style>
  <w:style w:type="paragraph" w:customStyle="1" w:styleId="xl51">
    <w:name w:val="xl51"/>
    <w:basedOn w:val="Normal"/>
    <w:rsid w:val="00CB5011"/>
    <w:pPr>
      <w:pBdr>
        <w:left w:val="single" w:sz="8" w:space="0" w:color="auto"/>
        <w:right w:val="single" w:sz="8" w:space="0" w:color="auto"/>
      </w:pBdr>
      <w:spacing w:before="100" w:beforeAutospacing="1" w:after="100" w:afterAutospacing="1"/>
      <w:jc w:val="center"/>
    </w:pPr>
    <w:rPr>
      <w:rFonts w:eastAsia="Arial Unicode MS"/>
      <w:lang w:val="es-ES" w:eastAsia="es-ES"/>
    </w:rPr>
  </w:style>
  <w:style w:type="paragraph" w:customStyle="1" w:styleId="xl52">
    <w:name w:val="xl52"/>
    <w:basedOn w:val="Normal"/>
    <w:rsid w:val="00CB5011"/>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lang w:val="es-ES" w:eastAsia="es-ES"/>
    </w:rPr>
  </w:style>
  <w:style w:type="paragraph" w:customStyle="1" w:styleId="xl53">
    <w:name w:val="xl53"/>
    <w:basedOn w:val="Normal"/>
    <w:rsid w:val="00CB5011"/>
    <w:pPr>
      <w:spacing w:before="100" w:beforeAutospacing="1" w:after="100" w:afterAutospacing="1"/>
      <w:jc w:val="center"/>
    </w:pPr>
    <w:rPr>
      <w:rFonts w:eastAsia="Arial Unicode MS"/>
      <w:sz w:val="16"/>
      <w:szCs w:val="16"/>
      <w:lang w:val="es-ES" w:eastAsia="es-ES"/>
    </w:rPr>
  </w:style>
  <w:style w:type="paragraph" w:customStyle="1" w:styleId="xl54">
    <w:name w:val="xl54"/>
    <w:basedOn w:val="Normal"/>
    <w:rsid w:val="00CB501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lang w:val="es-ES" w:eastAsia="es-ES"/>
    </w:rPr>
  </w:style>
  <w:style w:type="paragraph" w:customStyle="1" w:styleId="xl55">
    <w:name w:val="xl55"/>
    <w:basedOn w:val="Normal"/>
    <w:rsid w:val="00CB5011"/>
    <w:pPr>
      <w:spacing w:before="100" w:beforeAutospacing="1" w:after="100" w:afterAutospacing="1"/>
      <w:textAlignment w:val="center"/>
    </w:pPr>
    <w:rPr>
      <w:rFonts w:eastAsia="Arial Unicode MS"/>
      <w:lang w:val="es-ES" w:eastAsia="es-ES"/>
    </w:rPr>
  </w:style>
  <w:style w:type="paragraph" w:customStyle="1" w:styleId="xl56">
    <w:name w:val="xl56"/>
    <w:basedOn w:val="Normal"/>
    <w:rsid w:val="00CB5011"/>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lang w:val="es-ES" w:eastAsia="es-ES"/>
    </w:rPr>
  </w:style>
  <w:style w:type="paragraph" w:customStyle="1" w:styleId="xl57">
    <w:name w:val="xl57"/>
    <w:basedOn w:val="Normal"/>
    <w:rsid w:val="00CB5011"/>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lang w:val="es-ES" w:eastAsia="es-ES"/>
    </w:rPr>
  </w:style>
  <w:style w:type="paragraph" w:customStyle="1" w:styleId="xl58">
    <w:name w:val="xl58"/>
    <w:basedOn w:val="Normal"/>
    <w:rsid w:val="00CB501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lang w:val="es-ES" w:eastAsia="es-ES"/>
    </w:rPr>
  </w:style>
  <w:style w:type="paragraph" w:customStyle="1" w:styleId="xl59">
    <w:name w:val="xl59"/>
    <w:basedOn w:val="Normal"/>
    <w:rsid w:val="00CB501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lang w:val="es-ES" w:eastAsia="es-ES"/>
    </w:rPr>
  </w:style>
  <w:style w:type="paragraph" w:customStyle="1" w:styleId="xl60">
    <w:name w:val="xl60"/>
    <w:basedOn w:val="Normal"/>
    <w:rsid w:val="00CB5011"/>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lang w:val="es-ES" w:eastAsia="es-ES"/>
    </w:rPr>
  </w:style>
  <w:style w:type="paragraph" w:customStyle="1" w:styleId="Pie">
    <w:name w:val="Pie"/>
    <w:basedOn w:val="Normal"/>
    <w:rsid w:val="00CB5011"/>
    <w:rPr>
      <w:szCs w:val="20"/>
      <w:lang w:val="es-ES_tradnl" w:eastAsia="es-ES"/>
    </w:rPr>
  </w:style>
  <w:style w:type="paragraph" w:customStyle="1" w:styleId="Parrafotpico">
    <w:name w:val="Parrafo típico"/>
    <w:rsid w:val="00CB5011"/>
    <w:pPr>
      <w:widowControl w:val="0"/>
      <w:autoSpaceDE w:val="0"/>
      <w:autoSpaceDN w:val="0"/>
      <w:adjustRightInd w:val="0"/>
      <w:spacing w:after="108"/>
      <w:ind w:firstLine="360"/>
      <w:jc w:val="both"/>
    </w:pPr>
    <w:rPr>
      <w:rFonts w:ascii="Arial" w:eastAsia="Times New Roman" w:hAnsi="Arial" w:cs="Times New Roman"/>
      <w:color w:val="auto"/>
      <w:lang w:val="es-ES" w:eastAsia="es-ES"/>
    </w:rPr>
  </w:style>
  <w:style w:type="paragraph" w:customStyle="1" w:styleId="xl61">
    <w:name w:val="xl61"/>
    <w:basedOn w:val="Normal"/>
    <w:rsid w:val="00CB5011"/>
    <w:pPr>
      <w:spacing w:before="100" w:beforeAutospacing="1" w:after="100" w:afterAutospacing="1"/>
    </w:pPr>
    <w:rPr>
      <w:rFonts w:ascii="Arial" w:eastAsia="Arial Unicode MS" w:hAnsi="Arial" w:cs="Arial"/>
      <w:sz w:val="14"/>
      <w:szCs w:val="14"/>
      <w:lang w:val="es-ES" w:eastAsia="es-ES"/>
    </w:rPr>
  </w:style>
  <w:style w:type="paragraph" w:customStyle="1" w:styleId="n">
    <w:name w:val="n"/>
    <w:basedOn w:val="Normal"/>
    <w:rsid w:val="00CB5011"/>
    <w:pPr>
      <w:ind w:firstLine="709"/>
      <w:jc w:val="both"/>
    </w:pPr>
    <w:rPr>
      <w:b/>
      <w:sz w:val="18"/>
      <w:szCs w:val="20"/>
      <w:lang w:val="es-AR" w:eastAsia="es-ES"/>
    </w:rPr>
  </w:style>
  <w:style w:type="paragraph" w:customStyle="1" w:styleId="Vieta">
    <w:name w:val="Viñeta"/>
    <w:basedOn w:val="Normal"/>
    <w:rsid w:val="00CB5011"/>
    <w:pPr>
      <w:numPr>
        <w:numId w:val="7"/>
      </w:numPr>
      <w:jc w:val="both"/>
    </w:pPr>
    <w:rPr>
      <w:rFonts w:ascii="Univers" w:hAnsi="Univers" w:cs="Arial"/>
      <w:bCs/>
      <w:sz w:val="20"/>
      <w:lang w:val="es-AR" w:eastAsia="es-ES"/>
    </w:rPr>
  </w:style>
  <w:style w:type="paragraph" w:customStyle="1" w:styleId="texth">
    <w:name w:val="texth"/>
    <w:basedOn w:val="Normal"/>
    <w:rsid w:val="00CB5011"/>
    <w:pPr>
      <w:keepNext/>
      <w:widowControl w:val="0"/>
      <w:overflowPunct w:val="0"/>
      <w:autoSpaceDE w:val="0"/>
      <w:autoSpaceDN w:val="0"/>
      <w:adjustRightInd w:val="0"/>
      <w:spacing w:after="240"/>
      <w:textAlignment w:val="baseline"/>
    </w:pPr>
    <w:rPr>
      <w:rFonts w:ascii="Times New (W1)" w:hAnsi="Times New (W1)"/>
      <w:b/>
      <w:sz w:val="20"/>
      <w:szCs w:val="20"/>
      <w:lang w:eastAsia="es-ES"/>
    </w:rPr>
  </w:style>
  <w:style w:type="paragraph" w:customStyle="1" w:styleId="Ttulo10">
    <w:name w:val="Título1"/>
    <w:basedOn w:val="Ttulo2"/>
    <w:next w:val="Normal"/>
    <w:rsid w:val="00CB5011"/>
    <w:pPr>
      <w:spacing w:before="240" w:after="240"/>
    </w:pPr>
    <w:rPr>
      <w:bCs w:val="0"/>
      <w:iCs/>
      <w:caps/>
      <w:szCs w:val="24"/>
      <w:lang w:eastAsia="es-ES"/>
    </w:rPr>
  </w:style>
  <w:style w:type="paragraph" w:customStyle="1" w:styleId="nor">
    <w:name w:val="nor"/>
    <w:basedOn w:val="Normal"/>
    <w:rsid w:val="00CB5011"/>
    <w:pPr>
      <w:spacing w:after="240"/>
      <w:ind w:firstLine="709"/>
      <w:jc w:val="both"/>
    </w:pPr>
    <w:rPr>
      <w:rFonts w:eastAsia="Arial Unicode MS"/>
      <w:sz w:val="20"/>
      <w:szCs w:val="20"/>
      <w:lang w:val="es-AR" w:eastAsia="es-ES"/>
    </w:rPr>
  </w:style>
  <w:style w:type="paragraph" w:customStyle="1" w:styleId="Default">
    <w:name w:val="Default"/>
    <w:rsid w:val="00CB5011"/>
    <w:pPr>
      <w:autoSpaceDE w:val="0"/>
      <w:autoSpaceDN w:val="0"/>
      <w:adjustRightInd w:val="0"/>
    </w:pPr>
    <w:rPr>
      <w:rFonts w:ascii="Arial" w:eastAsia="Times New Roman" w:hAnsi="Arial" w:cs="Arial"/>
      <w:color w:val="000000"/>
      <w:sz w:val="24"/>
      <w:szCs w:val="24"/>
      <w:lang w:val="es-ES" w:eastAsia="es-ES"/>
    </w:rPr>
  </w:style>
  <w:style w:type="character" w:customStyle="1" w:styleId="redtext1">
    <w:name w:val="redtext1"/>
    <w:rsid w:val="00CB5011"/>
    <w:rPr>
      <w:rFonts w:ascii="Arial" w:hAnsi="Arial" w:cs="Arial" w:hint="default"/>
      <w:b/>
      <w:bCs/>
      <w:strike w:val="0"/>
      <w:dstrike w:val="0"/>
      <w:color w:val="006600"/>
      <w:spacing w:val="180"/>
      <w:sz w:val="18"/>
      <w:szCs w:val="18"/>
      <w:u w:val="none"/>
      <w:effect w:val="none"/>
    </w:rPr>
  </w:style>
  <w:style w:type="character" w:styleId="Textoennegrita">
    <w:name w:val="Strong"/>
    <w:qFormat/>
    <w:rsid w:val="00CB5011"/>
    <w:rPr>
      <w:b/>
      <w:bCs/>
    </w:rPr>
  </w:style>
  <w:style w:type="character" w:customStyle="1" w:styleId="hdrmenutext1">
    <w:name w:val="hdrmenutext1"/>
    <w:rsid w:val="00CB5011"/>
    <w:rPr>
      <w:rFonts w:ascii="Arial" w:hAnsi="Arial" w:cs="Arial" w:hint="default"/>
      <w:spacing w:val="180"/>
      <w:sz w:val="14"/>
      <w:szCs w:val="14"/>
    </w:rPr>
  </w:style>
  <w:style w:type="character" w:styleId="nfasis">
    <w:name w:val="Emphasis"/>
    <w:qFormat/>
    <w:rsid w:val="00CB5011"/>
    <w:rPr>
      <w:i/>
      <w:iCs/>
    </w:rPr>
  </w:style>
  <w:style w:type="paragraph" w:styleId="Sangra2detindependiente">
    <w:name w:val="Body Text Indent 2"/>
    <w:basedOn w:val="Normal"/>
    <w:link w:val="Sangra2detindependienteCar"/>
    <w:rsid w:val="00CB5011"/>
    <w:pPr>
      <w:tabs>
        <w:tab w:val="left" w:pos="900"/>
      </w:tabs>
      <w:ind w:left="540"/>
      <w:jc w:val="both"/>
    </w:pPr>
    <w:rPr>
      <w:sz w:val="20"/>
      <w:lang w:val="es-AR"/>
    </w:rPr>
  </w:style>
  <w:style w:type="character" w:customStyle="1" w:styleId="Sangra2detindependienteCar">
    <w:name w:val="Sangría 2 de t. independiente Car"/>
    <w:basedOn w:val="Fuentedeprrafopredeter"/>
    <w:link w:val="Sangra2detindependiente"/>
    <w:rsid w:val="00CB5011"/>
    <w:rPr>
      <w:rFonts w:eastAsia="Times New Roman" w:cs="Times New Roman"/>
      <w:color w:val="auto"/>
      <w:sz w:val="20"/>
      <w:szCs w:val="24"/>
    </w:rPr>
  </w:style>
  <w:style w:type="character" w:styleId="Hipervnculo">
    <w:name w:val="Hyperlink"/>
    <w:uiPriority w:val="99"/>
    <w:rsid w:val="00CB5011"/>
    <w:rPr>
      <w:color w:val="0000FF"/>
      <w:u w:val="single"/>
    </w:rPr>
  </w:style>
  <w:style w:type="paragraph" w:styleId="NormalWeb">
    <w:name w:val="Normal (Web)"/>
    <w:basedOn w:val="Normal"/>
    <w:rsid w:val="00CB5011"/>
    <w:pPr>
      <w:spacing w:before="100" w:after="100"/>
    </w:pPr>
    <w:rPr>
      <w:rFonts w:ascii="Arial Unicode MS" w:eastAsia="Arial Unicode MS" w:hAnsi="Arial Unicode MS"/>
      <w:szCs w:val="20"/>
      <w:lang w:val="es-ES" w:eastAsia="es-ES"/>
    </w:rPr>
  </w:style>
  <w:style w:type="paragraph" w:styleId="Textoindependiente3">
    <w:name w:val="Body Text 3"/>
    <w:basedOn w:val="Normal"/>
    <w:link w:val="Textoindependiente3Car"/>
    <w:rsid w:val="00CB5011"/>
    <w:pPr>
      <w:widowControl w:val="0"/>
      <w:tabs>
        <w:tab w:val="left" w:pos="-720"/>
      </w:tabs>
      <w:suppressAutoHyphens/>
      <w:jc w:val="both"/>
    </w:pPr>
    <w:rPr>
      <w:rFonts w:ascii="Arial" w:hAnsi="Arial" w:cs="Arial"/>
      <w:spacing w:val="-3"/>
      <w:sz w:val="28"/>
      <w:szCs w:val="28"/>
      <w:lang w:val="es-ES" w:eastAsia="es-ES"/>
    </w:rPr>
  </w:style>
  <w:style w:type="character" w:customStyle="1" w:styleId="Textoindependiente3Car">
    <w:name w:val="Texto independiente 3 Car"/>
    <w:basedOn w:val="Fuentedeprrafopredeter"/>
    <w:link w:val="Textoindependiente3"/>
    <w:rsid w:val="00CB5011"/>
    <w:rPr>
      <w:rFonts w:ascii="Arial" w:eastAsia="Times New Roman" w:hAnsi="Arial" w:cs="Arial"/>
      <w:color w:val="auto"/>
      <w:spacing w:val="-3"/>
      <w:sz w:val="28"/>
      <w:szCs w:val="28"/>
      <w:lang w:val="es-ES" w:eastAsia="es-ES"/>
    </w:rPr>
  </w:style>
  <w:style w:type="paragraph" w:customStyle="1" w:styleId="TxBrp8">
    <w:name w:val="TxBr_p8"/>
    <w:basedOn w:val="Normal"/>
    <w:rsid w:val="00CB5011"/>
    <w:pPr>
      <w:widowControl w:val="0"/>
      <w:autoSpaceDE w:val="0"/>
      <w:autoSpaceDN w:val="0"/>
      <w:adjustRightInd w:val="0"/>
      <w:spacing w:line="277" w:lineRule="atLeast"/>
      <w:ind w:left="1361" w:hanging="368"/>
    </w:pPr>
  </w:style>
  <w:style w:type="paragraph" w:styleId="Ttulo">
    <w:name w:val="Title"/>
    <w:basedOn w:val="Normal"/>
    <w:link w:val="TtuloCar"/>
    <w:qFormat/>
    <w:rsid w:val="00CB5011"/>
    <w:pPr>
      <w:jc w:val="center"/>
    </w:pPr>
    <w:rPr>
      <w:b/>
      <w:bCs/>
      <w:sz w:val="20"/>
      <w:szCs w:val="18"/>
      <w:lang w:val="es-ES"/>
    </w:rPr>
  </w:style>
  <w:style w:type="character" w:customStyle="1" w:styleId="TtuloCar">
    <w:name w:val="Título Car"/>
    <w:basedOn w:val="Fuentedeprrafopredeter"/>
    <w:link w:val="Ttulo"/>
    <w:rsid w:val="00CB5011"/>
    <w:rPr>
      <w:rFonts w:eastAsia="Times New Roman" w:cs="Times New Roman"/>
      <w:b/>
      <w:bCs/>
      <w:color w:val="auto"/>
      <w:sz w:val="20"/>
      <w:szCs w:val="18"/>
      <w:lang w:val="es-ES"/>
    </w:rPr>
  </w:style>
  <w:style w:type="paragraph" w:styleId="TDC2">
    <w:name w:val="toc 2"/>
    <w:basedOn w:val="Normal"/>
    <w:next w:val="Normal"/>
    <w:autoRedefine/>
    <w:semiHidden/>
    <w:rsid w:val="00CB5011"/>
    <w:pPr>
      <w:tabs>
        <w:tab w:val="left" w:pos="9543"/>
      </w:tabs>
      <w:spacing w:after="20"/>
      <w:jc w:val="both"/>
    </w:pPr>
    <w:rPr>
      <w:b/>
      <w:noProof/>
      <w:sz w:val="20"/>
      <w:szCs w:val="22"/>
      <w:lang w:val="es-AR" w:eastAsia="es-ES"/>
    </w:rPr>
  </w:style>
  <w:style w:type="paragraph" w:styleId="Sangra3detindependiente">
    <w:name w:val="Body Text Indent 3"/>
    <w:basedOn w:val="Normal"/>
    <w:link w:val="Sangra3detindependienteCar"/>
    <w:rsid w:val="00CB5011"/>
    <w:pPr>
      <w:widowControl w:val="0"/>
      <w:tabs>
        <w:tab w:val="left" w:pos="360"/>
      </w:tabs>
      <w:ind w:left="720" w:hanging="360"/>
      <w:jc w:val="both"/>
    </w:pPr>
    <w:rPr>
      <w:color w:val="000000"/>
      <w:sz w:val="22"/>
      <w:lang w:val="es-AR"/>
    </w:rPr>
  </w:style>
  <w:style w:type="character" w:customStyle="1" w:styleId="Sangra3detindependienteCar">
    <w:name w:val="Sangría 3 de t. independiente Car"/>
    <w:basedOn w:val="Fuentedeprrafopredeter"/>
    <w:link w:val="Sangra3detindependiente"/>
    <w:rsid w:val="00CB5011"/>
    <w:rPr>
      <w:rFonts w:eastAsia="Times New Roman" w:cs="Times New Roman"/>
      <w:color w:val="000000"/>
      <w:szCs w:val="24"/>
    </w:rPr>
  </w:style>
  <w:style w:type="paragraph" w:styleId="HTMLconformatoprevio">
    <w:name w:val="HTML Preformatted"/>
    <w:basedOn w:val="Normal"/>
    <w:link w:val="HTMLconformatoprevioCar"/>
    <w:rsid w:val="00CB5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conformatoprevioCar">
    <w:name w:val="HTML con formato previo Car"/>
    <w:basedOn w:val="Fuentedeprrafopredeter"/>
    <w:link w:val="HTMLconformatoprevio"/>
    <w:rsid w:val="00CB5011"/>
    <w:rPr>
      <w:rFonts w:ascii="Arial Unicode MS" w:eastAsia="Times New Roman" w:hAnsi="Arial Unicode MS" w:cs="Arial Unicode MS"/>
      <w:color w:val="auto"/>
      <w:sz w:val="20"/>
      <w:szCs w:val="20"/>
      <w:lang w:val="en-US"/>
    </w:rPr>
  </w:style>
  <w:style w:type="paragraph" w:styleId="TDC6">
    <w:name w:val="toc 6"/>
    <w:basedOn w:val="Normal"/>
    <w:next w:val="Normal"/>
    <w:autoRedefine/>
    <w:semiHidden/>
    <w:rsid w:val="00CB5011"/>
    <w:pPr>
      <w:spacing w:after="240"/>
      <w:jc w:val="both"/>
    </w:pPr>
    <w:rPr>
      <w:i/>
      <w:sz w:val="20"/>
      <w:szCs w:val="20"/>
      <w:lang w:val="es-AR" w:eastAsia="es-ES"/>
    </w:rPr>
  </w:style>
  <w:style w:type="character" w:styleId="Nmerodepgina">
    <w:name w:val="page number"/>
    <w:basedOn w:val="Fuentedeprrafopredeter"/>
    <w:rsid w:val="00CB5011"/>
  </w:style>
  <w:style w:type="paragraph" w:styleId="Piedepgina">
    <w:name w:val="footer"/>
    <w:basedOn w:val="Normal"/>
    <w:link w:val="PiedepginaCar"/>
    <w:rsid w:val="00CB5011"/>
    <w:pPr>
      <w:tabs>
        <w:tab w:val="center" w:pos="4320"/>
        <w:tab w:val="right" w:pos="8640"/>
      </w:tabs>
    </w:pPr>
    <w:rPr>
      <w:rFonts w:ascii="New York" w:hAnsi="New York"/>
      <w:sz w:val="20"/>
      <w:szCs w:val="20"/>
    </w:rPr>
  </w:style>
  <w:style w:type="character" w:customStyle="1" w:styleId="PiedepginaCar">
    <w:name w:val="Pie de página Car"/>
    <w:basedOn w:val="Fuentedeprrafopredeter"/>
    <w:link w:val="Piedepgina"/>
    <w:rsid w:val="00CB5011"/>
    <w:rPr>
      <w:rFonts w:ascii="New York" w:eastAsia="Times New Roman" w:hAnsi="New York" w:cs="Times New Roman"/>
      <w:color w:val="auto"/>
      <w:sz w:val="20"/>
      <w:szCs w:val="20"/>
      <w:lang w:val="en-US"/>
    </w:rPr>
  </w:style>
  <w:style w:type="character" w:customStyle="1" w:styleId="apple-style-span">
    <w:name w:val="apple-style-span"/>
    <w:basedOn w:val="Fuentedeprrafopredeter"/>
    <w:rsid w:val="00CB5011"/>
  </w:style>
  <w:style w:type="character" w:styleId="Hipervnculovisitado">
    <w:name w:val="FollowedHyperlink"/>
    <w:rsid w:val="00CB5011"/>
    <w:rPr>
      <w:color w:val="800080"/>
      <w:u w:val="single"/>
    </w:rPr>
  </w:style>
  <w:style w:type="paragraph" w:customStyle="1" w:styleId="HTMLBody">
    <w:name w:val="HTML Body"/>
    <w:rsid w:val="00CB5011"/>
    <w:rPr>
      <w:rFonts w:ascii="Arial" w:eastAsia="Times New Roman" w:hAnsi="Arial" w:cs="Times New Roman"/>
      <w:color w:val="auto"/>
      <w:sz w:val="20"/>
      <w:szCs w:val="20"/>
      <w:lang w:val="es-ES" w:eastAsia="es-ES"/>
    </w:rPr>
  </w:style>
  <w:style w:type="paragraph" w:customStyle="1" w:styleId="bul">
    <w:name w:val="bul"/>
    <w:basedOn w:val="Normal"/>
    <w:rsid w:val="00CB5011"/>
    <w:pPr>
      <w:numPr>
        <w:numId w:val="10"/>
      </w:numPr>
      <w:spacing w:after="240"/>
      <w:jc w:val="both"/>
    </w:pPr>
    <w:rPr>
      <w:sz w:val="20"/>
      <w:lang w:eastAsia="pt-BR"/>
    </w:rPr>
  </w:style>
  <w:style w:type="paragraph" w:customStyle="1" w:styleId="Achievement">
    <w:name w:val="Achievement"/>
    <w:basedOn w:val="Textoindependiente"/>
    <w:rsid w:val="00CB5011"/>
    <w:pPr>
      <w:numPr>
        <w:numId w:val="11"/>
      </w:numPr>
      <w:tabs>
        <w:tab w:val="clear" w:pos="360"/>
      </w:tabs>
      <w:spacing w:before="0" w:after="60" w:line="220" w:lineRule="atLeast"/>
      <w:ind w:right="0"/>
    </w:pPr>
    <w:rPr>
      <w:rFonts w:ascii="Arial" w:hAnsi="Arial"/>
      <w:b w:val="0"/>
      <w:bCs w:val="0"/>
      <w:color w:val="auto"/>
      <w:spacing w:val="-5"/>
      <w:lang w:eastAsia="es-ES"/>
    </w:rPr>
  </w:style>
  <w:style w:type="paragraph" w:styleId="Listaconvietas2">
    <w:name w:val="List Bullet 2"/>
    <w:basedOn w:val="Normal"/>
    <w:rsid w:val="00CB5011"/>
    <w:pPr>
      <w:numPr>
        <w:numId w:val="12"/>
      </w:numPr>
      <w:spacing w:after="240"/>
    </w:pPr>
    <w:rPr>
      <w:sz w:val="20"/>
      <w:szCs w:val="20"/>
    </w:rPr>
  </w:style>
  <w:style w:type="paragraph" w:customStyle="1" w:styleId="BulletBodyText2">
    <w:name w:val="Bullet Body Text2"/>
    <w:basedOn w:val="Normal"/>
    <w:rsid w:val="00CB5011"/>
    <w:pPr>
      <w:numPr>
        <w:numId w:val="13"/>
      </w:numPr>
    </w:pPr>
    <w:rPr>
      <w:lang w:val="es-ES" w:eastAsia="es-ES"/>
    </w:rPr>
  </w:style>
  <w:style w:type="paragraph" w:customStyle="1" w:styleId="Prrafo1lnea">
    <w:name w:val="Párrafo 1 línea"/>
    <w:basedOn w:val="Normal"/>
    <w:rsid w:val="00CB5011"/>
    <w:pPr>
      <w:spacing w:line="360" w:lineRule="auto"/>
      <w:ind w:left="709"/>
      <w:jc w:val="both"/>
    </w:pPr>
    <w:rPr>
      <w:rFonts w:ascii="Courier New" w:hAnsi="Courier New"/>
      <w:szCs w:val="20"/>
      <w:lang w:val="es-ES_tradnl" w:eastAsia="es-ES"/>
    </w:rPr>
  </w:style>
  <w:style w:type="character" w:customStyle="1" w:styleId="world1">
    <w:name w:val="world1"/>
    <w:rsid w:val="00CB5011"/>
    <w:rPr>
      <w:rFonts w:ascii="Arial" w:hAnsi="Arial" w:cs="Arial" w:hint="default"/>
      <w:color w:val="000000"/>
      <w:spacing w:val="150"/>
      <w:sz w:val="13"/>
      <w:szCs w:val="13"/>
    </w:rPr>
  </w:style>
  <w:style w:type="paragraph" w:styleId="Textosinformato">
    <w:name w:val="Plain Text"/>
    <w:basedOn w:val="Normal"/>
    <w:link w:val="TextosinformatoCar"/>
    <w:rsid w:val="00CB5011"/>
    <w:pPr>
      <w:spacing w:before="100" w:beforeAutospacing="1" w:after="100" w:afterAutospacing="1"/>
    </w:pPr>
    <w:rPr>
      <w:lang w:val="es-ES" w:eastAsia="es-ES"/>
    </w:rPr>
  </w:style>
  <w:style w:type="character" w:customStyle="1" w:styleId="TextosinformatoCar">
    <w:name w:val="Texto sin formato Car"/>
    <w:basedOn w:val="Fuentedeprrafopredeter"/>
    <w:link w:val="Textosinformato"/>
    <w:rsid w:val="00CB5011"/>
    <w:rPr>
      <w:rFonts w:eastAsia="Times New Roman" w:cs="Times New Roman"/>
      <w:color w:val="auto"/>
      <w:sz w:val="24"/>
      <w:szCs w:val="24"/>
      <w:lang w:val="es-ES" w:eastAsia="es-ES"/>
    </w:rPr>
  </w:style>
  <w:style w:type="paragraph" w:styleId="Prrafodelista">
    <w:name w:val="List Paragraph"/>
    <w:basedOn w:val="Normal"/>
    <w:link w:val="PrrafodelistaCar"/>
    <w:uiPriority w:val="34"/>
    <w:qFormat/>
    <w:rsid w:val="00CB5011"/>
    <w:pPr>
      <w:ind w:left="720"/>
      <w:contextualSpacing/>
    </w:pPr>
    <w:rPr>
      <w:rFonts w:ascii="Calibri" w:hAnsi="Calibri"/>
      <w:sz w:val="22"/>
      <w:szCs w:val="22"/>
      <w:lang w:val="es-AR"/>
    </w:rPr>
  </w:style>
  <w:style w:type="paragraph" w:styleId="Encabezado">
    <w:name w:val="header"/>
    <w:basedOn w:val="Normal"/>
    <w:link w:val="EncabezadoCar"/>
    <w:uiPriority w:val="99"/>
    <w:unhideWhenUsed/>
    <w:rsid w:val="00CB5011"/>
    <w:pPr>
      <w:tabs>
        <w:tab w:val="center" w:pos="4419"/>
        <w:tab w:val="right" w:pos="8838"/>
      </w:tabs>
    </w:pPr>
  </w:style>
  <w:style w:type="character" w:customStyle="1" w:styleId="EncabezadoCar">
    <w:name w:val="Encabezado Car"/>
    <w:basedOn w:val="Fuentedeprrafopredeter"/>
    <w:link w:val="Encabezado"/>
    <w:uiPriority w:val="99"/>
    <w:rsid w:val="00CB5011"/>
    <w:rPr>
      <w:rFonts w:eastAsia="Times New Roman" w:cs="Times New Roman"/>
      <w:color w:val="auto"/>
      <w:sz w:val="24"/>
      <w:szCs w:val="24"/>
      <w:lang w:val="en-US"/>
    </w:rPr>
  </w:style>
  <w:style w:type="paragraph" w:styleId="Subttulo">
    <w:name w:val="Subtitle"/>
    <w:basedOn w:val="Normal"/>
    <w:link w:val="SubttuloCar"/>
    <w:uiPriority w:val="99"/>
    <w:qFormat/>
    <w:rsid w:val="00CB5011"/>
    <w:pPr>
      <w:widowControl w:val="0"/>
      <w:autoSpaceDE w:val="0"/>
      <w:autoSpaceDN w:val="0"/>
    </w:pPr>
    <w:rPr>
      <w:rFonts w:ascii="Arial" w:hAnsi="Arial" w:cs="Arial"/>
      <w:b/>
      <w:bCs/>
      <w:caps/>
      <w:lang w:val="es-ES" w:eastAsia="es-ES"/>
    </w:rPr>
  </w:style>
  <w:style w:type="character" w:customStyle="1" w:styleId="SubttuloCar">
    <w:name w:val="Subtítulo Car"/>
    <w:basedOn w:val="Fuentedeprrafopredeter"/>
    <w:link w:val="Subttulo"/>
    <w:uiPriority w:val="99"/>
    <w:rsid w:val="00CB5011"/>
    <w:rPr>
      <w:rFonts w:ascii="Arial" w:eastAsia="Times New Roman" w:hAnsi="Arial" w:cs="Arial"/>
      <w:b/>
      <w:bCs/>
      <w:caps/>
      <w:color w:val="auto"/>
      <w:sz w:val="24"/>
      <w:szCs w:val="24"/>
      <w:lang w:val="es-ES" w:eastAsia="es-ES"/>
    </w:rPr>
  </w:style>
  <w:style w:type="character" w:customStyle="1" w:styleId="DPWfdPFChar">
    <w:name w:val="DPW fd PF Char"/>
    <w:aliases w:val="p Char,f Char,D Char,p Char Char,p Char1,DPW fd PF Char1"/>
    <w:link w:val="DPWfdPF"/>
    <w:locked/>
    <w:rsid w:val="00CB5011"/>
    <w:rPr>
      <w:rFonts w:eastAsia="Times New Roman" w:cs="Times New Roman"/>
      <w:color w:val="auto"/>
      <w:sz w:val="20"/>
      <w:szCs w:val="20"/>
      <w:lang w:val="en-US" w:eastAsia="es-ES"/>
    </w:rPr>
  </w:style>
  <w:style w:type="character" w:customStyle="1" w:styleId="Mencinsinresolver1">
    <w:name w:val="Mención sin resolver1"/>
    <w:basedOn w:val="Fuentedeprrafopredeter"/>
    <w:uiPriority w:val="99"/>
    <w:semiHidden/>
    <w:unhideWhenUsed/>
    <w:rsid w:val="000334EA"/>
    <w:rPr>
      <w:color w:val="605E5C"/>
      <w:shd w:val="clear" w:color="auto" w:fill="E1DFDD"/>
    </w:rPr>
  </w:style>
  <w:style w:type="character" w:styleId="Refdenotaalpie">
    <w:name w:val="footnote reference"/>
    <w:basedOn w:val="Fuentedeprrafopredeter"/>
    <w:uiPriority w:val="99"/>
    <w:semiHidden/>
    <w:unhideWhenUsed/>
    <w:rsid w:val="000334EA"/>
    <w:rPr>
      <w:vertAlign w:val="superscript"/>
    </w:rPr>
  </w:style>
  <w:style w:type="table" w:styleId="Tablaconcuadrcula">
    <w:name w:val="Table Grid"/>
    <w:basedOn w:val="Tablanormal"/>
    <w:uiPriority w:val="59"/>
    <w:rsid w:val="000334EA"/>
    <w:rPr>
      <w:rFonts w:eastAsia="Calibri" w:cs="Times New Roman"/>
      <w:color w:val="auto"/>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0334EA"/>
    <w:rPr>
      <w:rFonts w:ascii="Calibri" w:eastAsia="Times New Roman" w:hAnsi="Calibri" w:cs="Times New Roman"/>
      <w:color w:val="auto"/>
    </w:rPr>
  </w:style>
  <w:style w:type="paragraph" w:customStyle="1" w:styleId="notaalpie">
    <w:name w:val="nota al pie"/>
    <w:basedOn w:val="Normal"/>
    <w:rsid w:val="000334EA"/>
    <w:pPr>
      <w:jc w:val="both"/>
    </w:pPr>
    <w:rPr>
      <w:rFonts w:ascii="Arial" w:hAnsi="Arial"/>
      <w:sz w:val="20"/>
      <w:szCs w:val="20"/>
      <w:lang w:val="es-ES_tradnl" w:eastAsia="es-ES"/>
    </w:rPr>
  </w:style>
  <w:style w:type="numbering" w:customStyle="1" w:styleId="Sinlista1">
    <w:name w:val="Sin lista1"/>
    <w:next w:val="Sinlista"/>
    <w:uiPriority w:val="99"/>
    <w:semiHidden/>
    <w:unhideWhenUsed/>
    <w:rsid w:val="0015704E"/>
  </w:style>
  <w:style w:type="character" w:styleId="Refdecomentario">
    <w:name w:val="annotation reference"/>
    <w:basedOn w:val="Fuentedeprrafopredeter"/>
    <w:uiPriority w:val="99"/>
    <w:semiHidden/>
    <w:unhideWhenUsed/>
    <w:rsid w:val="0015704E"/>
    <w:rPr>
      <w:sz w:val="16"/>
      <w:szCs w:val="16"/>
    </w:rPr>
  </w:style>
  <w:style w:type="table" w:customStyle="1" w:styleId="Tablaconcuadrcula1">
    <w:name w:val="Tabla con cuadrícula1"/>
    <w:basedOn w:val="Tablanormal"/>
    <w:next w:val="Tablaconcuadrcula"/>
    <w:uiPriority w:val="39"/>
    <w:rsid w:val="00B72068"/>
    <w:rPr>
      <w:rFonts w:ascii="Calibri" w:hAnsi="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uiPriority w:val="1"/>
    <w:qFormat/>
    <w:rsid w:val="004544C6"/>
    <w:pPr>
      <w:spacing w:before="100" w:beforeAutospacing="1" w:after="100" w:afterAutospacing="1"/>
    </w:pPr>
    <w:rPr>
      <w:lang w:val="es-ES" w:eastAsia="es-ES"/>
    </w:rPr>
  </w:style>
  <w:style w:type="numbering" w:customStyle="1" w:styleId="Sinlista2">
    <w:name w:val="Sin lista2"/>
    <w:next w:val="Sinlista"/>
    <w:uiPriority w:val="99"/>
    <w:semiHidden/>
    <w:unhideWhenUsed/>
    <w:rsid w:val="008F16FC"/>
  </w:style>
  <w:style w:type="numbering" w:customStyle="1" w:styleId="Sinlista11">
    <w:name w:val="Sin lista11"/>
    <w:next w:val="Sinlista"/>
    <w:uiPriority w:val="99"/>
    <w:semiHidden/>
    <w:unhideWhenUsed/>
    <w:rsid w:val="008F16FC"/>
  </w:style>
  <w:style w:type="numbering" w:customStyle="1" w:styleId="Sinlista111">
    <w:name w:val="Sin lista111"/>
    <w:next w:val="Sinlista"/>
    <w:uiPriority w:val="99"/>
    <w:semiHidden/>
    <w:unhideWhenUsed/>
    <w:rsid w:val="008F16FC"/>
  </w:style>
  <w:style w:type="table" w:customStyle="1" w:styleId="Tablaconcuadrcula2">
    <w:name w:val="Tabla con cuadrícula2"/>
    <w:basedOn w:val="Tablanormal"/>
    <w:next w:val="Tablaconcuadrcula"/>
    <w:uiPriority w:val="39"/>
    <w:rsid w:val="000D3CB3"/>
    <w:rPr>
      <w:rFonts w:ascii="Calibri" w:hAnsi="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122AA9"/>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771836">
      <w:bodyDiv w:val="1"/>
      <w:marLeft w:val="0"/>
      <w:marRight w:val="0"/>
      <w:marTop w:val="0"/>
      <w:marBottom w:val="0"/>
      <w:divBdr>
        <w:top w:val="none" w:sz="0" w:space="0" w:color="auto"/>
        <w:left w:val="none" w:sz="0" w:space="0" w:color="auto"/>
        <w:bottom w:val="none" w:sz="0" w:space="0" w:color="auto"/>
        <w:right w:val="none" w:sz="0" w:space="0" w:color="auto"/>
      </w:divBdr>
    </w:div>
    <w:div w:id="339740086">
      <w:bodyDiv w:val="1"/>
      <w:marLeft w:val="0"/>
      <w:marRight w:val="0"/>
      <w:marTop w:val="0"/>
      <w:marBottom w:val="0"/>
      <w:divBdr>
        <w:top w:val="none" w:sz="0" w:space="0" w:color="auto"/>
        <w:left w:val="none" w:sz="0" w:space="0" w:color="auto"/>
        <w:bottom w:val="none" w:sz="0" w:space="0" w:color="auto"/>
        <w:right w:val="none" w:sz="0" w:space="0" w:color="auto"/>
      </w:divBdr>
    </w:div>
    <w:div w:id="724912690">
      <w:bodyDiv w:val="1"/>
      <w:marLeft w:val="0"/>
      <w:marRight w:val="0"/>
      <w:marTop w:val="0"/>
      <w:marBottom w:val="0"/>
      <w:divBdr>
        <w:top w:val="none" w:sz="0" w:space="0" w:color="auto"/>
        <w:left w:val="none" w:sz="0" w:space="0" w:color="auto"/>
        <w:bottom w:val="none" w:sz="0" w:space="0" w:color="auto"/>
        <w:right w:val="none" w:sz="0" w:space="0" w:color="auto"/>
      </w:divBdr>
    </w:div>
    <w:div w:id="806510173">
      <w:bodyDiv w:val="1"/>
      <w:marLeft w:val="0"/>
      <w:marRight w:val="0"/>
      <w:marTop w:val="0"/>
      <w:marBottom w:val="0"/>
      <w:divBdr>
        <w:top w:val="none" w:sz="0" w:space="0" w:color="auto"/>
        <w:left w:val="none" w:sz="0" w:space="0" w:color="auto"/>
        <w:bottom w:val="none" w:sz="0" w:space="0" w:color="auto"/>
        <w:right w:val="none" w:sz="0" w:space="0" w:color="auto"/>
      </w:divBdr>
      <w:divsChild>
        <w:div w:id="1288731619">
          <w:marLeft w:val="0"/>
          <w:marRight w:val="0"/>
          <w:marTop w:val="0"/>
          <w:marBottom w:val="0"/>
          <w:divBdr>
            <w:top w:val="none" w:sz="0" w:space="0" w:color="auto"/>
            <w:left w:val="none" w:sz="0" w:space="0" w:color="auto"/>
            <w:bottom w:val="none" w:sz="0" w:space="0" w:color="auto"/>
            <w:right w:val="none" w:sz="0" w:space="0" w:color="auto"/>
          </w:divBdr>
        </w:div>
        <w:div w:id="1937597889">
          <w:marLeft w:val="0"/>
          <w:marRight w:val="0"/>
          <w:marTop w:val="0"/>
          <w:marBottom w:val="0"/>
          <w:divBdr>
            <w:top w:val="none" w:sz="0" w:space="0" w:color="auto"/>
            <w:left w:val="none" w:sz="0" w:space="0" w:color="auto"/>
            <w:bottom w:val="none" w:sz="0" w:space="0" w:color="auto"/>
            <w:right w:val="none" w:sz="0" w:space="0" w:color="auto"/>
          </w:divBdr>
        </w:div>
        <w:div w:id="984048612">
          <w:marLeft w:val="0"/>
          <w:marRight w:val="0"/>
          <w:marTop w:val="0"/>
          <w:marBottom w:val="0"/>
          <w:divBdr>
            <w:top w:val="none" w:sz="0" w:space="0" w:color="auto"/>
            <w:left w:val="none" w:sz="0" w:space="0" w:color="auto"/>
            <w:bottom w:val="none" w:sz="0" w:space="0" w:color="auto"/>
            <w:right w:val="none" w:sz="0" w:space="0" w:color="auto"/>
          </w:divBdr>
        </w:div>
        <w:div w:id="1173569724">
          <w:marLeft w:val="0"/>
          <w:marRight w:val="0"/>
          <w:marTop w:val="0"/>
          <w:marBottom w:val="0"/>
          <w:divBdr>
            <w:top w:val="none" w:sz="0" w:space="0" w:color="auto"/>
            <w:left w:val="none" w:sz="0" w:space="0" w:color="auto"/>
            <w:bottom w:val="none" w:sz="0" w:space="0" w:color="auto"/>
            <w:right w:val="none" w:sz="0" w:space="0" w:color="auto"/>
          </w:divBdr>
        </w:div>
        <w:div w:id="87123843">
          <w:marLeft w:val="0"/>
          <w:marRight w:val="0"/>
          <w:marTop w:val="0"/>
          <w:marBottom w:val="0"/>
          <w:divBdr>
            <w:top w:val="none" w:sz="0" w:space="0" w:color="auto"/>
            <w:left w:val="none" w:sz="0" w:space="0" w:color="auto"/>
            <w:bottom w:val="none" w:sz="0" w:space="0" w:color="auto"/>
            <w:right w:val="none" w:sz="0" w:space="0" w:color="auto"/>
          </w:divBdr>
        </w:div>
        <w:div w:id="991904384">
          <w:marLeft w:val="0"/>
          <w:marRight w:val="0"/>
          <w:marTop w:val="0"/>
          <w:marBottom w:val="0"/>
          <w:divBdr>
            <w:top w:val="none" w:sz="0" w:space="0" w:color="auto"/>
            <w:left w:val="none" w:sz="0" w:space="0" w:color="auto"/>
            <w:bottom w:val="none" w:sz="0" w:space="0" w:color="auto"/>
            <w:right w:val="none" w:sz="0" w:space="0" w:color="auto"/>
          </w:divBdr>
        </w:div>
        <w:div w:id="947277298">
          <w:marLeft w:val="0"/>
          <w:marRight w:val="0"/>
          <w:marTop w:val="0"/>
          <w:marBottom w:val="0"/>
          <w:divBdr>
            <w:top w:val="none" w:sz="0" w:space="0" w:color="auto"/>
            <w:left w:val="none" w:sz="0" w:space="0" w:color="auto"/>
            <w:bottom w:val="none" w:sz="0" w:space="0" w:color="auto"/>
            <w:right w:val="none" w:sz="0" w:space="0" w:color="auto"/>
          </w:divBdr>
        </w:div>
        <w:div w:id="1464688550">
          <w:marLeft w:val="0"/>
          <w:marRight w:val="0"/>
          <w:marTop w:val="0"/>
          <w:marBottom w:val="0"/>
          <w:divBdr>
            <w:top w:val="none" w:sz="0" w:space="0" w:color="auto"/>
            <w:left w:val="none" w:sz="0" w:space="0" w:color="auto"/>
            <w:bottom w:val="none" w:sz="0" w:space="0" w:color="auto"/>
            <w:right w:val="none" w:sz="0" w:space="0" w:color="auto"/>
          </w:divBdr>
        </w:div>
        <w:div w:id="364448136">
          <w:marLeft w:val="0"/>
          <w:marRight w:val="0"/>
          <w:marTop w:val="0"/>
          <w:marBottom w:val="0"/>
          <w:divBdr>
            <w:top w:val="none" w:sz="0" w:space="0" w:color="auto"/>
            <w:left w:val="none" w:sz="0" w:space="0" w:color="auto"/>
            <w:bottom w:val="none" w:sz="0" w:space="0" w:color="auto"/>
            <w:right w:val="none" w:sz="0" w:space="0" w:color="auto"/>
          </w:divBdr>
        </w:div>
      </w:divsChild>
    </w:div>
    <w:div w:id="963921299">
      <w:bodyDiv w:val="1"/>
      <w:marLeft w:val="0"/>
      <w:marRight w:val="0"/>
      <w:marTop w:val="0"/>
      <w:marBottom w:val="0"/>
      <w:divBdr>
        <w:top w:val="none" w:sz="0" w:space="0" w:color="auto"/>
        <w:left w:val="none" w:sz="0" w:space="0" w:color="auto"/>
        <w:bottom w:val="none" w:sz="0" w:space="0" w:color="auto"/>
        <w:right w:val="none" w:sz="0" w:space="0" w:color="auto"/>
      </w:divBdr>
    </w:div>
    <w:div w:id="1225145563">
      <w:bodyDiv w:val="1"/>
      <w:marLeft w:val="0"/>
      <w:marRight w:val="0"/>
      <w:marTop w:val="0"/>
      <w:marBottom w:val="0"/>
      <w:divBdr>
        <w:top w:val="none" w:sz="0" w:space="0" w:color="auto"/>
        <w:left w:val="none" w:sz="0" w:space="0" w:color="auto"/>
        <w:bottom w:val="none" w:sz="0" w:space="0" w:color="auto"/>
        <w:right w:val="none" w:sz="0" w:space="0" w:color="auto"/>
      </w:divBdr>
    </w:div>
    <w:div w:id="1341007791">
      <w:bodyDiv w:val="1"/>
      <w:marLeft w:val="0"/>
      <w:marRight w:val="0"/>
      <w:marTop w:val="0"/>
      <w:marBottom w:val="0"/>
      <w:divBdr>
        <w:top w:val="none" w:sz="0" w:space="0" w:color="auto"/>
        <w:left w:val="none" w:sz="0" w:space="0" w:color="auto"/>
        <w:bottom w:val="none" w:sz="0" w:space="0" w:color="auto"/>
        <w:right w:val="none" w:sz="0" w:space="0" w:color="auto"/>
      </w:divBdr>
    </w:div>
    <w:div w:id="1544832033">
      <w:bodyDiv w:val="1"/>
      <w:marLeft w:val="0"/>
      <w:marRight w:val="0"/>
      <w:marTop w:val="0"/>
      <w:marBottom w:val="0"/>
      <w:divBdr>
        <w:top w:val="none" w:sz="0" w:space="0" w:color="auto"/>
        <w:left w:val="none" w:sz="0" w:space="0" w:color="auto"/>
        <w:bottom w:val="none" w:sz="0" w:space="0" w:color="auto"/>
        <w:right w:val="none" w:sz="0" w:space="0" w:color="auto"/>
      </w:divBdr>
    </w:div>
    <w:div w:id="1729376889">
      <w:bodyDiv w:val="1"/>
      <w:marLeft w:val="0"/>
      <w:marRight w:val="0"/>
      <w:marTop w:val="0"/>
      <w:marBottom w:val="0"/>
      <w:divBdr>
        <w:top w:val="none" w:sz="0" w:space="0" w:color="auto"/>
        <w:left w:val="none" w:sz="0" w:space="0" w:color="auto"/>
        <w:bottom w:val="none" w:sz="0" w:space="0" w:color="auto"/>
        <w:right w:val="none" w:sz="0" w:space="0" w:color="auto"/>
      </w:divBdr>
    </w:div>
    <w:div w:id="2032487404">
      <w:bodyDiv w:val="1"/>
      <w:marLeft w:val="0"/>
      <w:marRight w:val="0"/>
      <w:marTop w:val="0"/>
      <w:marBottom w:val="0"/>
      <w:divBdr>
        <w:top w:val="none" w:sz="0" w:space="0" w:color="auto"/>
        <w:left w:val="none" w:sz="0" w:space="0" w:color="auto"/>
        <w:bottom w:val="none" w:sz="0" w:space="0" w:color="auto"/>
        <w:right w:val="none" w:sz="0" w:space="0" w:color="auto"/>
      </w:divBdr>
    </w:div>
    <w:div w:id="21293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invap.com.a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rgentina.gob.ar/uif" TargetMode="External"/><Relationship Id="rId17" Type="http://schemas.openxmlformats.org/officeDocument/2006/relationships/hyperlink" Target="http://www.bcra.gov.ar" TargetMode="External"/><Relationship Id="rId2" Type="http://schemas.openxmlformats.org/officeDocument/2006/relationships/numbering" Target="numbering.xml"/><Relationship Id="rId16" Type="http://schemas.openxmlformats.org/officeDocument/2006/relationships/hyperlink" Target="http://www.infoleg.gov.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v.gov.ar" TargetMode="External"/><Relationship Id="rId5" Type="http://schemas.openxmlformats.org/officeDocument/2006/relationships/webSettings" Target="webSettings.xml"/><Relationship Id="rId15" Type="http://schemas.openxmlformats.org/officeDocument/2006/relationships/hyperlink" Target="http://www.minhacienda.gob.ar/" TargetMode="External"/><Relationship Id="rId10" Type="http://schemas.openxmlformats.org/officeDocument/2006/relationships/hyperlink" Target="mailto:inf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vap.com.ar" TargetMode="External"/><Relationship Id="rId14" Type="http://schemas.openxmlformats.org/officeDocument/2006/relationships/hyperlink" Target="http://www.gfgsa.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A36B-CA5C-40E9-8816-785C781A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115</Pages>
  <Words>65369</Words>
  <Characters>359534</Characters>
  <Application>Microsoft Office Word</Application>
  <DocSecurity>0</DocSecurity>
  <Lines>2996</Lines>
  <Paragraphs>848</Paragraphs>
  <ScaleCrop>false</ScaleCrop>
  <HeadingPairs>
    <vt:vector size="2" baseType="variant">
      <vt:variant>
        <vt:lpstr>Título</vt:lpstr>
      </vt:variant>
      <vt:variant>
        <vt:i4>1</vt:i4>
      </vt:variant>
    </vt:vector>
  </HeadingPairs>
  <TitlesOfParts>
    <vt:vector size="1" baseType="lpstr">
      <vt:lpstr/>
    </vt:vector>
  </TitlesOfParts>
  <Company>Estudio Beccar Varela</Company>
  <LinksUpToDate>false</LinksUpToDate>
  <CharactersWithSpaces>424055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Dolores Gonzalez Montero</dc:creator>
  <cp:lastModifiedBy>Victoria Pavani</cp:lastModifiedBy>
  <cp:revision>2</cp:revision>
  <cp:lastPrinted>2019-12-30T14:04:00Z</cp:lastPrinted>
  <dcterms:created xsi:type="dcterms:W3CDTF">2020-01-02T16:02:00Z</dcterms:created>
  <dcterms:modified xsi:type="dcterms:W3CDTF">2020-01-02T16:20:00Z</dcterms:modified>
</cp:coreProperties>
</file>