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2EF" w:rsidRDefault="00A532EF">
      <w:pPr>
        <w:rPr>
          <w:rFonts w:ascii="Arial" w:hAnsi="Arial"/>
          <w:sz w:val="20"/>
          <w:szCs w:val="20"/>
        </w:rPr>
      </w:pPr>
    </w:p>
    <w:p w:rsidR="00A532EF" w:rsidRDefault="00A532EF">
      <w:pPr>
        <w:rPr>
          <w:rFonts w:ascii="Arial" w:hAnsi="Arial"/>
          <w:sz w:val="20"/>
          <w:szCs w:val="20"/>
        </w:rPr>
      </w:pPr>
    </w:p>
    <w:p w:rsidR="00A532EF" w:rsidRDefault="00A532EF">
      <w:pPr>
        <w:rPr>
          <w:rFonts w:ascii="Arial" w:hAnsi="Arial"/>
          <w:sz w:val="20"/>
          <w:szCs w:val="20"/>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CG Times (W1)" w:hAnsi="CG Times (W1)"/>
          <w:b/>
          <w:sz w:val="20"/>
          <w:szCs w:val="20"/>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CG Times (W1)" w:hAnsi="CG Times (W1)"/>
          <w:b/>
          <w:sz w:val="20"/>
          <w:szCs w:val="20"/>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CG Times (W1)" w:hAnsi="CG Times (W1)"/>
          <w:b/>
          <w:sz w:val="20"/>
          <w:szCs w:val="20"/>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CG Times (W1)" w:hAnsi="CG Times (W1)"/>
          <w:b/>
          <w:sz w:val="20"/>
          <w:szCs w:val="20"/>
        </w:rPr>
      </w:pPr>
    </w:p>
    <w:p w:rsidR="00A532EF" w:rsidRDefault="00A532EF">
      <w:pPr>
        <w:pStyle w:val="Ttulo8"/>
        <w:pBdr>
          <w:top w:val="single" w:sz="8" w:space="1" w:color="auto" w:shadow="1"/>
          <w:left w:val="single" w:sz="8" w:space="4" w:color="auto" w:shadow="1"/>
          <w:bottom w:val="single" w:sz="8" w:space="1" w:color="auto" w:shadow="1"/>
          <w:right w:val="single" w:sz="8" w:space="0" w:color="auto" w:shadow="1"/>
        </w:pBdr>
        <w:shd w:val="pct5" w:color="auto" w:fill="FFFFFF"/>
        <w:rPr>
          <w:rFonts w:cs="Arial"/>
          <w:sz w:val="72"/>
          <w:szCs w:val="44"/>
        </w:rPr>
      </w:pPr>
      <w:bookmarkStart w:id="0" w:name="_GoBack"/>
      <w:bookmarkEnd w:id="0"/>
      <w:r>
        <w:rPr>
          <w:rFonts w:cs="Arial"/>
          <w:sz w:val="72"/>
          <w:szCs w:val="44"/>
        </w:rPr>
        <w:t>Estados Contables</w:t>
      </w: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Arial" w:hAnsi="Arial" w:cs="Arial"/>
          <w:b/>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Arial" w:hAnsi="Arial" w:cs="Arial"/>
          <w:b/>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Arial" w:hAnsi="Arial" w:cs="Arial"/>
          <w:b/>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Arial" w:hAnsi="Arial" w:cs="Arial"/>
          <w:b/>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Arial" w:hAnsi="Arial" w:cs="Arial"/>
          <w:b/>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Arial" w:hAnsi="Arial" w:cs="Arial"/>
          <w:b/>
          <w:sz w:val="32"/>
          <w:szCs w:val="32"/>
        </w:rPr>
      </w:pPr>
    </w:p>
    <w:p w:rsidR="00A532EF" w:rsidRDefault="008D1C86">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sz w:val="32"/>
          <w:szCs w:val="32"/>
        </w:rPr>
      </w:pPr>
      <w:r>
        <w:rPr>
          <w:rFonts w:ascii="Arial" w:hAnsi="Arial" w:cs="Arial"/>
          <w:sz w:val="32"/>
          <w:szCs w:val="32"/>
        </w:rPr>
        <w:t>Correspondientes</w:t>
      </w:r>
      <w:r w:rsidR="00A532EF">
        <w:rPr>
          <w:rFonts w:ascii="Arial" w:hAnsi="Arial" w:cs="Arial"/>
          <w:sz w:val="32"/>
          <w:szCs w:val="32"/>
        </w:rPr>
        <w:t xml:space="preserve"> al ejercicio iniciado el </w:t>
      </w:r>
    </w:p>
    <w:p w:rsidR="00A532EF" w:rsidRDefault="00CB0D00">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sz w:val="32"/>
          <w:szCs w:val="32"/>
        </w:rPr>
      </w:pPr>
      <w:r>
        <w:rPr>
          <w:rFonts w:ascii="Arial" w:hAnsi="Arial" w:cs="Arial"/>
          <w:sz w:val="32"/>
          <w:szCs w:val="32"/>
        </w:rPr>
        <w:t>1º de Enero de 2018</w:t>
      </w: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sz w:val="32"/>
          <w:szCs w:val="32"/>
        </w:rPr>
      </w:pPr>
      <w:proofErr w:type="gramStart"/>
      <w:r>
        <w:rPr>
          <w:rFonts w:ascii="Arial" w:hAnsi="Arial" w:cs="Arial"/>
          <w:sz w:val="32"/>
          <w:szCs w:val="32"/>
        </w:rPr>
        <w:t>y</w:t>
      </w:r>
      <w:proofErr w:type="gramEnd"/>
      <w:r>
        <w:rPr>
          <w:rFonts w:ascii="Arial" w:hAnsi="Arial" w:cs="Arial"/>
          <w:sz w:val="32"/>
          <w:szCs w:val="32"/>
        </w:rPr>
        <w:t xml:space="preserve"> finalizado el </w:t>
      </w:r>
      <w:r w:rsidR="00CB0D00">
        <w:rPr>
          <w:rFonts w:ascii="Arial" w:hAnsi="Arial" w:cs="Arial"/>
          <w:sz w:val="32"/>
          <w:szCs w:val="32"/>
        </w:rPr>
        <w:t>3</w:t>
      </w:r>
      <w:r w:rsidR="005928DE">
        <w:rPr>
          <w:rFonts w:ascii="Arial" w:hAnsi="Arial" w:cs="Arial"/>
          <w:sz w:val="32"/>
          <w:szCs w:val="32"/>
        </w:rPr>
        <w:t>1</w:t>
      </w:r>
      <w:r w:rsidR="00CB0D00">
        <w:rPr>
          <w:rFonts w:ascii="Arial" w:hAnsi="Arial" w:cs="Arial"/>
          <w:sz w:val="32"/>
          <w:szCs w:val="32"/>
        </w:rPr>
        <w:t xml:space="preserve"> de </w:t>
      </w:r>
      <w:r w:rsidR="005928DE">
        <w:rPr>
          <w:rFonts w:ascii="Arial" w:hAnsi="Arial" w:cs="Arial"/>
          <w:sz w:val="32"/>
          <w:szCs w:val="32"/>
        </w:rPr>
        <w:t>Diciembre</w:t>
      </w:r>
      <w:r w:rsidR="00CB0D00">
        <w:rPr>
          <w:rFonts w:ascii="Arial" w:hAnsi="Arial" w:cs="Arial"/>
          <w:sz w:val="32"/>
          <w:szCs w:val="32"/>
        </w:rPr>
        <w:t xml:space="preserve"> de 2018</w:t>
      </w:r>
    </w:p>
    <w:p w:rsidR="00A532EF" w:rsidRDefault="00CB0D00">
      <w:pPr>
        <w:pBdr>
          <w:top w:val="single" w:sz="8" w:space="1" w:color="auto" w:shadow="1"/>
          <w:left w:val="single" w:sz="8" w:space="4" w:color="auto" w:shadow="1"/>
          <w:bottom w:val="single" w:sz="8" w:space="1" w:color="auto" w:shadow="1"/>
          <w:right w:val="single" w:sz="8" w:space="0" w:color="auto" w:shadow="1"/>
        </w:pBdr>
        <w:shd w:val="pct5" w:color="auto" w:fill="FFFFFF"/>
        <w:jc w:val="center"/>
        <w:rPr>
          <w:rFonts w:ascii="Arial" w:hAnsi="Arial" w:cs="Arial"/>
          <w:sz w:val="32"/>
          <w:szCs w:val="32"/>
        </w:rPr>
      </w:pPr>
      <w:r>
        <w:rPr>
          <w:rFonts w:ascii="Arial" w:hAnsi="Arial" w:cs="Arial"/>
          <w:sz w:val="32"/>
          <w:szCs w:val="32"/>
        </w:rPr>
        <w:t>Ejercicio Económico Nº 24</w:t>
      </w: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b/>
          <w:sz w:val="32"/>
          <w:szCs w:val="32"/>
        </w:rPr>
      </w:pPr>
      <w:r>
        <w:rPr>
          <w:rFonts w:ascii="Arial" w:hAnsi="Arial" w:cs="Arial"/>
          <w:b/>
          <w:sz w:val="32"/>
          <w:szCs w:val="32"/>
        </w:rPr>
        <w:t>DRAGADOS S.A.</w:t>
      </w: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b/>
          <w:sz w:val="32"/>
          <w:szCs w:val="32"/>
        </w:rPr>
      </w:pPr>
      <w:r>
        <w:rPr>
          <w:rFonts w:ascii="Arial" w:hAnsi="Arial" w:cs="Arial"/>
          <w:b/>
          <w:sz w:val="32"/>
          <w:szCs w:val="32"/>
        </w:rPr>
        <w:t>DYCASA S.A.</w:t>
      </w: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b/>
          <w:sz w:val="32"/>
          <w:szCs w:val="32"/>
        </w:rPr>
      </w:pPr>
      <w:r>
        <w:rPr>
          <w:rFonts w:ascii="Arial" w:hAnsi="Arial" w:cs="Arial"/>
          <w:b/>
          <w:sz w:val="32"/>
          <w:szCs w:val="32"/>
        </w:rPr>
        <w:t>CONTROL Y MONTAJES INDUSTRIALES CYMI S.A.</w:t>
      </w: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b/>
          <w:sz w:val="32"/>
          <w:szCs w:val="32"/>
        </w:rPr>
      </w:pPr>
      <w:r>
        <w:rPr>
          <w:rFonts w:ascii="Arial" w:hAnsi="Arial" w:cs="Arial"/>
          <w:b/>
          <w:sz w:val="32"/>
          <w:szCs w:val="32"/>
        </w:rPr>
        <w:t>UNION TRANSITORIA DE EMPRESAS</w:t>
      </w: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CG Times (W1)" w:hAnsi="CG Times (W1)"/>
          <w:b/>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CG Times (W1)" w:hAnsi="CG Times (W1)"/>
          <w:b/>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CG Times (W1)" w:hAnsi="CG Times (W1)"/>
          <w:b/>
          <w:sz w:val="32"/>
          <w:szCs w:val="32"/>
        </w:rPr>
      </w:pP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Arial" w:hAnsi="Arial" w:cs="Arial"/>
          <w:b/>
          <w:sz w:val="32"/>
          <w:szCs w:val="32"/>
        </w:rPr>
      </w:pPr>
      <w:r>
        <w:rPr>
          <w:rFonts w:ascii="Arial" w:hAnsi="Arial" w:cs="Arial"/>
          <w:sz w:val="32"/>
          <w:szCs w:val="32"/>
        </w:rPr>
        <w:t>“ACUEDUCTO -LAGO MUNSTERS - SARMIENTO - COMODORO RIVADAVIA - RADA TILLY - CALETA OLIVIA”</w:t>
      </w:r>
    </w:p>
    <w:p w:rsidR="00A532EF" w:rsidRDefault="00A532EF">
      <w:pPr>
        <w:pBdr>
          <w:top w:val="single" w:sz="8" w:space="1" w:color="auto" w:shadow="1"/>
          <w:left w:val="single" w:sz="8" w:space="4" w:color="auto" w:shadow="1"/>
          <w:bottom w:val="single" w:sz="8" w:space="1" w:color="auto" w:shadow="1"/>
          <w:right w:val="single" w:sz="8" w:space="0" w:color="auto" w:shadow="1"/>
        </w:pBdr>
        <w:shd w:val="pct5" w:color="auto" w:fill="FFFFFF"/>
        <w:jc w:val="center"/>
        <w:outlineLvl w:val="0"/>
        <w:rPr>
          <w:rFonts w:ascii="CG Times (W1)" w:hAnsi="CG Times (W1)"/>
          <w:b/>
          <w:sz w:val="20"/>
          <w:szCs w:val="20"/>
        </w:rPr>
      </w:pPr>
    </w:p>
    <w:p w:rsidR="00A532EF" w:rsidRDefault="00A532EF">
      <w:pPr>
        <w:rPr>
          <w:rFonts w:ascii="Arial" w:hAnsi="Arial"/>
          <w:sz w:val="20"/>
          <w:szCs w:val="20"/>
        </w:rPr>
      </w:pPr>
    </w:p>
    <w:p w:rsidR="00A532EF" w:rsidRDefault="00A532EF">
      <w:pPr>
        <w:rPr>
          <w:rFonts w:ascii="Arial" w:hAnsi="Arial"/>
          <w:sz w:val="20"/>
          <w:szCs w:val="20"/>
        </w:rPr>
      </w:pPr>
      <w:r>
        <w:rPr>
          <w:rFonts w:ascii="Arial" w:hAnsi="Arial"/>
          <w:sz w:val="20"/>
          <w:szCs w:val="20"/>
        </w:rPr>
        <w:br w:type="page"/>
      </w:r>
    </w:p>
    <w:p w:rsidR="00A532EF" w:rsidRDefault="00A532EF">
      <w:pPr>
        <w:rPr>
          <w:rFonts w:ascii="Arial" w:hAnsi="Arial"/>
          <w:sz w:val="20"/>
          <w:szCs w:val="20"/>
        </w:rPr>
      </w:pPr>
    </w:p>
    <w:p w:rsidR="00A532EF" w:rsidRDefault="00A532EF">
      <w:pPr>
        <w:rPr>
          <w:rFonts w:ascii="Arial" w:hAnsi="Arial"/>
          <w:sz w:val="20"/>
          <w:szCs w:val="20"/>
        </w:rPr>
      </w:pPr>
    </w:p>
    <w:p w:rsidR="00407656" w:rsidRDefault="00407656">
      <w:pPr>
        <w:jc w:val="both"/>
        <w:rPr>
          <w:rFonts w:ascii="Arial" w:hAnsi="Arial"/>
          <w:sz w:val="20"/>
          <w:szCs w:val="20"/>
        </w:rPr>
      </w:pPr>
      <w:r>
        <w:rPr>
          <w:rFonts w:ascii="Arial" w:hAnsi="Arial"/>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442.55pt;height:457.45pt">
            <v:imagedata r:id="rId8" o:title=""/>
          </v:shape>
        </w:pict>
      </w:r>
    </w:p>
    <w:p w:rsidR="00A532EF" w:rsidRDefault="00A532EF">
      <w:pPr>
        <w:jc w:val="both"/>
        <w:rPr>
          <w:rFonts w:ascii="Arial" w:hAnsi="Arial"/>
          <w:sz w:val="20"/>
          <w:szCs w:val="20"/>
        </w:rPr>
      </w:pPr>
      <w:r>
        <w:rPr>
          <w:rFonts w:ascii="Arial" w:hAnsi="Arial"/>
          <w:sz w:val="20"/>
          <w:szCs w:val="20"/>
        </w:rPr>
        <w:br w:type="page"/>
      </w:r>
    </w:p>
    <w:p w:rsidR="00A532EF" w:rsidRDefault="00A532EF">
      <w:pPr>
        <w:jc w:val="both"/>
        <w:rPr>
          <w:rFonts w:ascii="Arial" w:hAnsi="Arial"/>
          <w:sz w:val="20"/>
          <w:szCs w:val="20"/>
        </w:rPr>
      </w:pPr>
    </w:p>
    <w:p w:rsidR="00A532EF" w:rsidRDefault="00A532EF" w:rsidP="00E32042">
      <w:pPr>
        <w:tabs>
          <w:tab w:val="left" w:pos="3960"/>
        </w:tabs>
        <w:jc w:val="both"/>
        <w:rPr>
          <w:rFonts w:ascii="Arial" w:hAnsi="Arial"/>
          <w:sz w:val="20"/>
          <w:szCs w:val="20"/>
        </w:rPr>
      </w:pPr>
    </w:p>
    <w:p w:rsidR="00A532EF" w:rsidRDefault="00407656">
      <w:pPr>
        <w:jc w:val="both"/>
        <w:rPr>
          <w:rFonts w:ascii="Arial" w:hAnsi="Arial"/>
          <w:sz w:val="20"/>
          <w:szCs w:val="20"/>
        </w:rPr>
      </w:pPr>
      <w:r>
        <w:rPr>
          <w:rFonts w:ascii="Arial" w:hAnsi="Arial"/>
          <w:noProof/>
          <w:sz w:val="20"/>
          <w:szCs w:val="20"/>
        </w:rPr>
        <w:pict>
          <v:shape id="_x0000_s1076" type="#_x0000_t75" style="position:absolute;left:0;text-align:left;margin-left:0;margin-top:.3pt;width:403pt;height:402.15pt;z-index:251737600;mso-position-horizontal:center;mso-position-horizontal-relative:text;mso-position-vertical:absolute;mso-position-vertical-relative:text">
            <v:imagedata r:id="rId9" o:title=""/>
            <w10:wrap type="square"/>
          </v:shape>
        </w:pict>
      </w:r>
    </w:p>
    <w:p w:rsidR="00A532EF" w:rsidRDefault="00A532EF">
      <w:pPr>
        <w:tabs>
          <w:tab w:val="left" w:pos="5387"/>
        </w:tabs>
        <w:rPr>
          <w:rFonts w:ascii="Arial" w:hAnsi="Arial"/>
          <w:sz w:val="20"/>
          <w:szCs w:val="20"/>
        </w:rPr>
      </w:pPr>
    </w:p>
    <w:p w:rsidR="00A532EF" w:rsidRDefault="00A532EF">
      <w:pPr>
        <w:tabs>
          <w:tab w:val="left" w:pos="5387"/>
        </w:tabs>
        <w:rPr>
          <w:rFonts w:ascii="Arial" w:hAnsi="Arial"/>
          <w:sz w:val="20"/>
          <w:szCs w:val="20"/>
        </w:rPr>
      </w:pPr>
    </w:p>
    <w:p w:rsidR="00A532EF" w:rsidRDefault="00A532EF">
      <w:pPr>
        <w:tabs>
          <w:tab w:val="left" w:pos="5387"/>
        </w:tabs>
        <w:rPr>
          <w:rFonts w:ascii="Arial" w:hAnsi="Arial"/>
          <w:sz w:val="20"/>
          <w:szCs w:val="20"/>
        </w:rPr>
      </w:pPr>
    </w:p>
    <w:p w:rsidR="00A532EF" w:rsidRDefault="00A532EF">
      <w:pPr>
        <w:tabs>
          <w:tab w:val="left" w:pos="5387"/>
        </w:tabs>
        <w:rPr>
          <w:rFonts w:ascii="Arial" w:hAnsi="Arial"/>
          <w:sz w:val="20"/>
          <w:szCs w:val="20"/>
        </w:rPr>
      </w:pPr>
    </w:p>
    <w:p w:rsidR="00A532EF" w:rsidRDefault="00A532EF">
      <w:pPr>
        <w:tabs>
          <w:tab w:val="left" w:pos="5387"/>
        </w:tabs>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r>
        <w:rPr>
          <w:rFonts w:ascii="Arial" w:hAnsi="Arial"/>
          <w:sz w:val="20"/>
          <w:szCs w:val="20"/>
        </w:rPr>
        <w:br w:type="page"/>
      </w: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407656">
      <w:pPr>
        <w:jc w:val="both"/>
        <w:rPr>
          <w:rFonts w:ascii="Arial" w:hAnsi="Arial"/>
          <w:sz w:val="20"/>
          <w:szCs w:val="20"/>
        </w:rPr>
      </w:pPr>
      <w:r>
        <w:rPr>
          <w:rFonts w:ascii="Arial" w:hAnsi="Arial"/>
          <w:noProof/>
          <w:sz w:val="20"/>
          <w:szCs w:val="20"/>
        </w:rPr>
        <w:pict>
          <v:shape id="_x0000_s1075" type="#_x0000_t75" style="position:absolute;left:0;text-align:left;margin-left:0;margin-top:0;width:404.8pt;height:359.1pt;z-index:251735552;mso-position-horizontal:center;mso-position-horizontal-relative:text;mso-position-vertical:absolute;mso-position-vertical-relative:text">
            <v:imagedata r:id="rId10" o:title=""/>
            <w10:wrap type="square"/>
          </v:shape>
        </w:pict>
      </w: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sectPr w:rsidR="00A532EF">
          <w:headerReference w:type="default" r:id="rId11"/>
          <w:footerReference w:type="even" r:id="rId12"/>
          <w:footerReference w:type="default" r:id="rId13"/>
          <w:pgSz w:w="11906" w:h="16838" w:code="9"/>
          <w:pgMar w:top="1661" w:right="1106" w:bottom="1418" w:left="1440" w:header="1134" w:footer="1134" w:gutter="0"/>
          <w:pgNumType w:start="1"/>
          <w:cols w:space="708"/>
          <w:titlePg/>
          <w:docGrid w:linePitch="360"/>
        </w:sectPr>
      </w:pPr>
    </w:p>
    <w:p w:rsidR="00A532EF" w:rsidRDefault="00A532EF">
      <w:pPr>
        <w:rPr>
          <w:rFonts w:ascii="Arial" w:hAnsi="Arial"/>
          <w:sz w:val="20"/>
          <w:szCs w:val="20"/>
        </w:rPr>
      </w:pPr>
    </w:p>
    <w:p w:rsidR="00A532EF" w:rsidRDefault="00407656">
      <w:pPr>
        <w:rPr>
          <w:rFonts w:ascii="Arial" w:hAnsi="Arial"/>
          <w:sz w:val="20"/>
          <w:szCs w:val="20"/>
        </w:rPr>
      </w:pPr>
      <w:r>
        <w:rPr>
          <w:rFonts w:ascii="Arial" w:hAnsi="Arial"/>
          <w:noProof/>
          <w:sz w:val="20"/>
          <w:szCs w:val="20"/>
        </w:rPr>
        <w:pict>
          <v:shape id="_x0000_s1074" type="#_x0000_t75" style="position:absolute;margin-left:0;margin-top:0;width:606.75pt;height:274.85pt;z-index:251733504;mso-position-horizontal:center;mso-position-horizontal-relative:text;mso-position-vertical:absolute;mso-position-vertical-relative:text">
            <v:imagedata r:id="rId14" o:title=""/>
            <w10:wrap type="square"/>
          </v:shape>
        </w:pict>
      </w:r>
    </w:p>
    <w:p w:rsidR="00A532EF" w:rsidRDefault="00A532EF">
      <w:pPr>
        <w:rPr>
          <w:rFonts w:ascii="Arial" w:hAnsi="Arial"/>
          <w:sz w:val="20"/>
          <w:szCs w:val="20"/>
        </w:rPr>
      </w:pPr>
    </w:p>
    <w:p w:rsidR="00A532EF" w:rsidRDefault="00A532EF">
      <w:pPr>
        <w:rPr>
          <w:rFonts w:ascii="Arial" w:hAnsi="Arial"/>
          <w:sz w:val="20"/>
          <w:szCs w:val="20"/>
        </w:rPr>
      </w:pPr>
    </w:p>
    <w:p w:rsidR="00A532EF" w:rsidRDefault="00A532EF">
      <w:pPr>
        <w:rPr>
          <w:rFonts w:ascii="Arial" w:hAnsi="Arial"/>
          <w:sz w:val="20"/>
          <w:szCs w:val="20"/>
        </w:rPr>
      </w:pPr>
    </w:p>
    <w:p w:rsidR="00A532EF" w:rsidRDefault="00A532EF">
      <w:pPr>
        <w:rPr>
          <w:rFonts w:ascii="Arial" w:hAnsi="Arial"/>
          <w:sz w:val="20"/>
          <w:szCs w:val="20"/>
        </w:rPr>
        <w:sectPr w:rsidR="00A532EF">
          <w:footerReference w:type="default" r:id="rId15"/>
          <w:pgSz w:w="16838" w:h="11906" w:orient="landscape" w:code="9"/>
          <w:pgMar w:top="1701" w:right="1418" w:bottom="1701" w:left="1418" w:header="709" w:footer="709" w:gutter="0"/>
          <w:cols w:space="708"/>
          <w:docGrid w:linePitch="360"/>
        </w:sectPr>
      </w:pPr>
    </w:p>
    <w:p w:rsidR="00A532EF" w:rsidRDefault="00A532EF">
      <w:pPr>
        <w:rPr>
          <w:rFonts w:ascii="Arial" w:hAnsi="Arial"/>
          <w:sz w:val="20"/>
          <w:szCs w:val="20"/>
        </w:rPr>
      </w:pPr>
    </w:p>
    <w:p w:rsidR="00A532EF" w:rsidRDefault="00407656">
      <w:pPr>
        <w:rPr>
          <w:rFonts w:ascii="Arial" w:hAnsi="Arial"/>
          <w:sz w:val="20"/>
          <w:szCs w:val="20"/>
        </w:rPr>
      </w:pPr>
      <w:r>
        <w:rPr>
          <w:rFonts w:ascii="Arial" w:hAnsi="Arial"/>
          <w:noProof/>
          <w:sz w:val="20"/>
          <w:szCs w:val="20"/>
        </w:rPr>
        <w:pict>
          <v:shape id="_x0000_s1073" type="#_x0000_t75" style="position:absolute;margin-left:0;margin-top:0;width:459.2pt;height:461.85pt;z-index:251731456;mso-position-horizontal:center;mso-position-horizontal-relative:text;mso-position-vertical:absolute;mso-position-vertical-relative:text">
            <v:imagedata r:id="rId16" o:title=""/>
            <w10:wrap type="square"/>
          </v:shape>
        </w:pict>
      </w:r>
    </w:p>
    <w:p w:rsidR="00A532EF" w:rsidRDefault="00A532EF">
      <w:pPr>
        <w:rPr>
          <w:rFonts w:ascii="Arial" w:hAnsi="Arial"/>
          <w:sz w:val="20"/>
          <w:szCs w:val="20"/>
        </w:rPr>
      </w:pPr>
    </w:p>
    <w:p w:rsidR="00A532EF" w:rsidRDefault="00A532EF">
      <w:pPr>
        <w:pStyle w:val="Sangra2detindependiente"/>
        <w:rPr>
          <w:rFonts w:ascii="Arial" w:hAnsi="Arial" w:cs="Arial"/>
          <w:b/>
          <w:sz w:val="20"/>
        </w:rPr>
      </w:pPr>
      <w:r>
        <w:rPr>
          <w:rFonts w:ascii="Arial" w:hAnsi="Arial" w:cs="Arial"/>
          <w:b/>
          <w:sz w:val="20"/>
        </w:rPr>
        <w:br w:type="page"/>
      </w:r>
    </w:p>
    <w:p w:rsidR="00A532EF" w:rsidRDefault="00A532EF">
      <w:pPr>
        <w:pStyle w:val="Sangra2detindependiente"/>
        <w:ind w:left="2251" w:hanging="144"/>
        <w:rPr>
          <w:rFonts w:ascii="Arial" w:hAnsi="Arial" w:cs="Arial"/>
          <w:b/>
          <w:sz w:val="20"/>
        </w:rPr>
      </w:pPr>
      <w:r>
        <w:rPr>
          <w:rFonts w:ascii="Arial" w:hAnsi="Arial" w:cs="Arial"/>
          <w:b/>
          <w:sz w:val="20"/>
        </w:rPr>
        <w:lastRenderedPageBreak/>
        <w:t>NOTAS A LOS ESTADOS CONTABLES</w:t>
      </w:r>
    </w:p>
    <w:p w:rsidR="00A532EF" w:rsidRDefault="00A532EF">
      <w:pPr>
        <w:jc w:val="center"/>
        <w:rPr>
          <w:rFonts w:ascii="Arial" w:hAnsi="Arial"/>
          <w:sz w:val="20"/>
          <w:szCs w:val="20"/>
          <w:lang w:val="es-AR"/>
        </w:rPr>
      </w:pPr>
    </w:p>
    <w:p w:rsidR="00A532EF" w:rsidRDefault="00A532EF">
      <w:pPr>
        <w:ind w:left="1134" w:hanging="1134"/>
        <w:jc w:val="both"/>
        <w:rPr>
          <w:rFonts w:ascii="Arial" w:hAnsi="Arial" w:cs="Arial"/>
          <w:b/>
          <w:sz w:val="20"/>
          <w:szCs w:val="20"/>
        </w:rPr>
      </w:pPr>
    </w:p>
    <w:p w:rsidR="00A532EF" w:rsidRDefault="00A532EF">
      <w:pPr>
        <w:ind w:left="1134" w:hanging="1134"/>
        <w:jc w:val="both"/>
        <w:rPr>
          <w:rFonts w:ascii="Arial" w:hAnsi="Arial" w:cs="Arial"/>
          <w:b/>
          <w:sz w:val="20"/>
          <w:szCs w:val="20"/>
        </w:rPr>
      </w:pPr>
    </w:p>
    <w:p w:rsidR="00A532EF" w:rsidRDefault="00A532EF">
      <w:pPr>
        <w:ind w:left="1134" w:hanging="1134"/>
        <w:jc w:val="both"/>
        <w:rPr>
          <w:rFonts w:ascii="Arial" w:hAnsi="Arial" w:cs="Arial"/>
          <w:b/>
          <w:sz w:val="20"/>
          <w:szCs w:val="20"/>
          <w:u w:val="single"/>
        </w:rPr>
      </w:pPr>
      <w:r>
        <w:rPr>
          <w:rFonts w:ascii="Arial" w:hAnsi="Arial" w:cs="Arial"/>
          <w:b/>
          <w:sz w:val="20"/>
          <w:szCs w:val="20"/>
        </w:rPr>
        <w:t>Nota 1: Bases de preparación y presentación de los estados contables</w:t>
      </w:r>
    </w:p>
    <w:p w:rsidR="00A532EF" w:rsidRDefault="00A532EF">
      <w:pPr>
        <w:ind w:left="1134" w:hanging="1134"/>
        <w:jc w:val="both"/>
        <w:rPr>
          <w:rFonts w:ascii="Arial" w:hAnsi="Arial" w:cs="Arial"/>
          <w:sz w:val="20"/>
          <w:szCs w:val="20"/>
        </w:rPr>
      </w:pPr>
    </w:p>
    <w:p w:rsidR="00A532EF" w:rsidRDefault="00A532EF">
      <w:pPr>
        <w:ind w:left="1134" w:hanging="1134"/>
        <w:jc w:val="both"/>
        <w:rPr>
          <w:rFonts w:ascii="Arial" w:hAnsi="Arial" w:cs="Arial"/>
          <w:b/>
          <w:sz w:val="20"/>
          <w:szCs w:val="20"/>
        </w:rPr>
      </w:pPr>
    </w:p>
    <w:p w:rsidR="00A532EF" w:rsidRPr="00407656" w:rsidRDefault="00A532EF">
      <w:pPr>
        <w:ind w:left="720"/>
        <w:jc w:val="both"/>
        <w:rPr>
          <w:rFonts w:ascii="Arial" w:hAnsi="Arial" w:cs="Arial"/>
          <w:b/>
          <w:sz w:val="20"/>
          <w:szCs w:val="20"/>
        </w:rPr>
      </w:pPr>
      <w:r w:rsidRPr="00407656">
        <w:rPr>
          <w:rFonts w:ascii="Arial" w:hAnsi="Arial" w:cs="Arial"/>
          <w:b/>
          <w:sz w:val="20"/>
          <w:szCs w:val="20"/>
        </w:rPr>
        <w:t>1.1. Normas contables profesionales aplicables</w:t>
      </w:r>
    </w:p>
    <w:p w:rsidR="00A532EF" w:rsidRDefault="00A532EF">
      <w:pPr>
        <w:ind w:left="720"/>
        <w:jc w:val="both"/>
        <w:rPr>
          <w:rFonts w:ascii="Arial" w:hAnsi="Arial" w:cs="Arial"/>
          <w:sz w:val="20"/>
          <w:szCs w:val="20"/>
        </w:rPr>
      </w:pPr>
    </w:p>
    <w:p w:rsidR="00A532EF" w:rsidRDefault="00A532EF">
      <w:pPr>
        <w:autoSpaceDE w:val="0"/>
        <w:autoSpaceDN w:val="0"/>
        <w:adjustRightInd w:val="0"/>
        <w:ind w:left="1080"/>
        <w:jc w:val="both"/>
        <w:rPr>
          <w:rFonts w:ascii="Arial" w:hAnsi="Arial" w:cs="Arial"/>
          <w:sz w:val="20"/>
          <w:szCs w:val="20"/>
        </w:rPr>
      </w:pPr>
      <w:r>
        <w:rPr>
          <w:rFonts w:ascii="Arial" w:hAnsi="Arial" w:cs="Arial"/>
          <w:sz w:val="20"/>
          <w:szCs w:val="20"/>
        </w:rPr>
        <w:t xml:space="preserve">Los presentes estados contables se encuentran expresados en pesos y han sido elaborados teniendo en cuenta las normas de valuación y exposición dispuestas por las Resoluciones Técnicas de </w:t>
      </w:r>
      <w:smartTag w:uri="urn:schemas-microsoft-com:office:smarttags" w:element="PersonName">
        <w:smartTagPr>
          <w:attr w:name="ProductID" w:val="la Federaci￳n Argentina"/>
        </w:smartTagPr>
        <w:r>
          <w:rPr>
            <w:rFonts w:ascii="Arial" w:hAnsi="Arial" w:cs="Arial"/>
            <w:sz w:val="20"/>
            <w:szCs w:val="20"/>
          </w:rPr>
          <w:t>la Federación Argentina</w:t>
        </w:r>
      </w:smartTag>
      <w:r>
        <w:rPr>
          <w:rFonts w:ascii="Arial" w:hAnsi="Arial" w:cs="Arial"/>
          <w:sz w:val="20"/>
          <w:szCs w:val="20"/>
        </w:rPr>
        <w:t xml:space="preserve"> de Consejos Profesionales de Ciencias Económicas (F.A.C.P.C.E.), aprobadas por el Consejo Profesional de Ciencias Económicas de </w:t>
      </w:r>
      <w:smartTag w:uri="urn:schemas-microsoft-com:office:smarttags" w:element="PersonName">
        <w:smartTagPr>
          <w:attr w:name="ProductID" w:val="la Ciudad Aut￳noma"/>
        </w:smartTagPr>
        <w:r>
          <w:rPr>
            <w:rFonts w:ascii="Arial" w:hAnsi="Arial" w:cs="Arial"/>
            <w:sz w:val="20"/>
            <w:szCs w:val="20"/>
          </w:rPr>
          <w:t>la Ciudad Autónoma</w:t>
        </w:r>
      </w:smartTag>
      <w:r>
        <w:rPr>
          <w:rFonts w:ascii="Arial" w:hAnsi="Arial" w:cs="Arial"/>
          <w:sz w:val="20"/>
          <w:szCs w:val="20"/>
        </w:rPr>
        <w:t xml:space="preserve"> de Buenos Aires (C.P.C.E.C.A.B.A.)</w:t>
      </w:r>
    </w:p>
    <w:p w:rsidR="00A532EF" w:rsidRDefault="00A532EF">
      <w:pPr>
        <w:autoSpaceDE w:val="0"/>
        <w:autoSpaceDN w:val="0"/>
        <w:adjustRightInd w:val="0"/>
        <w:ind w:left="1080"/>
        <w:jc w:val="both"/>
        <w:rPr>
          <w:rFonts w:ascii="Arial" w:hAnsi="Arial" w:cs="Arial"/>
          <w:sz w:val="20"/>
          <w:szCs w:val="20"/>
        </w:rPr>
      </w:pPr>
    </w:p>
    <w:p w:rsidR="00A532EF" w:rsidRDefault="00A532EF">
      <w:pPr>
        <w:autoSpaceDE w:val="0"/>
        <w:autoSpaceDN w:val="0"/>
        <w:adjustRightInd w:val="0"/>
        <w:ind w:left="1080"/>
        <w:jc w:val="both"/>
        <w:rPr>
          <w:rFonts w:ascii="Arial" w:hAnsi="Arial" w:cs="Arial"/>
          <w:sz w:val="20"/>
          <w:szCs w:val="20"/>
        </w:rPr>
      </w:pPr>
      <w:smartTag w:uri="urn:schemas-microsoft-com:office:smarttags" w:element="PersonName">
        <w:smartTagPr>
          <w:attr w:name="ProductID" w:val="La Comisi￳n Nacional"/>
        </w:smartTagPr>
        <w:r>
          <w:rPr>
            <w:rFonts w:ascii="Arial" w:hAnsi="Arial" w:cs="Arial"/>
            <w:sz w:val="20"/>
            <w:szCs w:val="20"/>
          </w:rPr>
          <w:t>La Comisión Nacional</w:t>
        </w:r>
      </w:smartTag>
      <w:r>
        <w:rPr>
          <w:rFonts w:ascii="Arial" w:hAnsi="Arial" w:cs="Arial"/>
          <w:sz w:val="20"/>
          <w:szCs w:val="20"/>
        </w:rPr>
        <w:t xml:space="preserve"> de Valores, a través de las Resoluciones 562/09 y 576/10 ha establecido la aplicación de </w:t>
      </w:r>
      <w:smartTag w:uri="urn:schemas-microsoft-com:office:smarttags" w:element="PersonName">
        <w:smartTagPr>
          <w:attr w:name="ProductID" w:val="la Resoluci￳n T￩cnica N"/>
        </w:smartTagPr>
        <w:r>
          <w:rPr>
            <w:rFonts w:ascii="Arial" w:hAnsi="Arial" w:cs="Arial"/>
            <w:sz w:val="20"/>
            <w:szCs w:val="20"/>
          </w:rPr>
          <w:t>la Resolución Técnica N</w:t>
        </w:r>
      </w:smartTag>
      <w:r>
        <w:rPr>
          <w:rFonts w:ascii="Arial" w:hAnsi="Arial" w:cs="Arial"/>
          <w:sz w:val="20"/>
          <w:szCs w:val="20"/>
        </w:rPr>
        <w:t xml:space="preserve">º 26 y 29 de </w:t>
      </w:r>
      <w:smartTag w:uri="urn:schemas-microsoft-com:office:smarttags" w:element="PersonName">
        <w:smartTagPr>
          <w:attr w:name="ProductID" w:val="la Federaci￳n Argentina"/>
        </w:smartTagPr>
        <w:r>
          <w:rPr>
            <w:rFonts w:ascii="Arial" w:hAnsi="Arial" w:cs="Arial"/>
            <w:sz w:val="20"/>
            <w:szCs w:val="20"/>
          </w:rPr>
          <w:t>la Federación Argentina</w:t>
        </w:r>
      </w:smartTag>
      <w:r>
        <w:rPr>
          <w:rFonts w:ascii="Arial" w:hAnsi="Arial" w:cs="Arial"/>
          <w:sz w:val="20"/>
          <w:szCs w:val="20"/>
        </w:rPr>
        <w:t xml:space="preserve"> de Consejos Profesionales de Ciencias Económicas que adopta, para ciertas entidades incluidas en el régimen de oferta pública de </w:t>
      </w:r>
      <w:smartTag w:uri="urn:schemas-microsoft-com:office:smarttags" w:element="PersonName">
        <w:smartTagPr>
          <w:attr w:name="ProductID" w:val="la Ley N"/>
        </w:smartTagPr>
        <w:r>
          <w:rPr>
            <w:rFonts w:ascii="Arial" w:hAnsi="Arial" w:cs="Arial"/>
            <w:sz w:val="20"/>
            <w:szCs w:val="20"/>
          </w:rPr>
          <w:t>la Ley N</w:t>
        </w:r>
      </w:smartTag>
      <w:r>
        <w:rPr>
          <w:rFonts w:ascii="Arial" w:hAnsi="Arial" w:cs="Arial"/>
          <w:sz w:val="20"/>
          <w:szCs w:val="20"/>
        </w:rPr>
        <w:t xml:space="preserve">º 17.811, ya sea por su capital o por sus obligaciones negociables, o que hayan solicitado autorización para estar incluidas en el citado régimen, las normas internacionales de información financiera (NIIF) emitidas por el Consejo de Normas Internacionales de Contabilidad (IASB). </w:t>
      </w:r>
    </w:p>
    <w:p w:rsidR="00A532EF" w:rsidRDefault="00A532EF">
      <w:pPr>
        <w:autoSpaceDE w:val="0"/>
        <w:autoSpaceDN w:val="0"/>
        <w:adjustRightInd w:val="0"/>
        <w:ind w:left="1080"/>
        <w:jc w:val="both"/>
        <w:rPr>
          <w:rFonts w:ascii="Arial" w:hAnsi="Arial" w:cs="Arial"/>
          <w:sz w:val="20"/>
          <w:szCs w:val="20"/>
        </w:rPr>
      </w:pPr>
    </w:p>
    <w:p w:rsidR="00A532EF" w:rsidRDefault="00A532EF">
      <w:pPr>
        <w:autoSpaceDE w:val="0"/>
        <w:autoSpaceDN w:val="0"/>
        <w:adjustRightInd w:val="0"/>
        <w:ind w:left="1080"/>
        <w:jc w:val="both"/>
        <w:rPr>
          <w:rFonts w:ascii="Arial" w:hAnsi="Arial" w:cs="Arial"/>
          <w:sz w:val="20"/>
          <w:szCs w:val="20"/>
        </w:rPr>
      </w:pPr>
      <w:r>
        <w:rPr>
          <w:rFonts w:ascii="Arial" w:hAnsi="Arial" w:cs="Arial"/>
          <w:sz w:val="20"/>
          <w:szCs w:val="20"/>
        </w:rPr>
        <w:t>La aplicación de tales normas es obligatoria para uno de los socios de la UTE (DYCASA Sociedad Anónima.) a partir del ejercicio que se inició el 1 de enero de 2012.</w:t>
      </w:r>
    </w:p>
    <w:p w:rsidR="00A532EF" w:rsidRDefault="00A532EF">
      <w:pPr>
        <w:autoSpaceDE w:val="0"/>
        <w:autoSpaceDN w:val="0"/>
        <w:adjustRightInd w:val="0"/>
        <w:ind w:left="1080"/>
        <w:jc w:val="both"/>
        <w:rPr>
          <w:rFonts w:ascii="Arial" w:hAnsi="Arial" w:cs="Arial"/>
          <w:sz w:val="20"/>
          <w:szCs w:val="20"/>
        </w:rPr>
      </w:pPr>
    </w:p>
    <w:p w:rsidR="00A532EF" w:rsidRDefault="00A532EF">
      <w:pPr>
        <w:autoSpaceDE w:val="0"/>
        <w:autoSpaceDN w:val="0"/>
        <w:adjustRightInd w:val="0"/>
        <w:ind w:left="1080"/>
        <w:jc w:val="both"/>
        <w:rPr>
          <w:rFonts w:ascii="Arial" w:hAnsi="Arial" w:cs="Arial"/>
          <w:sz w:val="20"/>
          <w:szCs w:val="20"/>
        </w:rPr>
      </w:pPr>
      <w:r>
        <w:rPr>
          <w:rFonts w:ascii="Arial" w:hAnsi="Arial" w:cs="Arial"/>
          <w:sz w:val="20"/>
          <w:szCs w:val="20"/>
        </w:rPr>
        <w:t xml:space="preserve">Adicionalmente, el 24 de octubre de 2011, </w:t>
      </w:r>
      <w:smartTag w:uri="urn:schemas-microsoft-com:office:smarttags" w:element="PersonName">
        <w:smartTagPr>
          <w:attr w:name="ProductID" w:val="La Comisi￳n Nacional"/>
        </w:smartTagPr>
        <w:r>
          <w:rPr>
            <w:rFonts w:ascii="Arial" w:hAnsi="Arial" w:cs="Arial"/>
            <w:sz w:val="20"/>
            <w:szCs w:val="20"/>
          </w:rPr>
          <w:t>la Comisión Nacional</w:t>
        </w:r>
      </w:smartTag>
      <w:r>
        <w:rPr>
          <w:rFonts w:ascii="Arial" w:hAnsi="Arial" w:cs="Arial"/>
          <w:sz w:val="20"/>
          <w:szCs w:val="20"/>
        </w:rPr>
        <w:t xml:space="preserve"> de Valores dictó </w:t>
      </w:r>
      <w:smartTag w:uri="urn:schemas-microsoft-com:office:smarttags" w:element="PersonName">
        <w:smartTagPr>
          <w:attr w:name="ProductID" w:val="la Resoluci￳n General N"/>
        </w:smartTagPr>
        <w:r>
          <w:rPr>
            <w:rFonts w:ascii="Arial" w:hAnsi="Arial" w:cs="Arial"/>
            <w:sz w:val="20"/>
            <w:szCs w:val="20"/>
          </w:rPr>
          <w:t>la Resolución General N</w:t>
        </w:r>
      </w:smartTag>
      <w:r>
        <w:rPr>
          <w:rFonts w:ascii="Arial" w:hAnsi="Arial" w:cs="Arial"/>
          <w:sz w:val="20"/>
          <w:szCs w:val="20"/>
        </w:rPr>
        <w:t xml:space="preserve">° 592, en virtud de la cual, los estados contables de las sociedades utilizados por las emisoras para aplicar el método de la participación (del valor patrimonial proporcional) o la consolidación, según corresponda, podrán prepararse de acuerdo con </w:t>
      </w:r>
      <w:smartTag w:uri="urn:schemas-microsoft-com:office:smarttags" w:element="PersonName">
        <w:smartTagPr>
          <w:attr w:name="ProductID" w:val="la Resoluci￳n T￩cnica N"/>
        </w:smartTagPr>
        <w:r>
          <w:rPr>
            <w:rFonts w:ascii="Arial" w:hAnsi="Arial" w:cs="Arial"/>
            <w:sz w:val="20"/>
            <w:szCs w:val="20"/>
          </w:rPr>
          <w:t>la Resolución Técnica N</w:t>
        </w:r>
      </w:smartTag>
      <w:r>
        <w:rPr>
          <w:rFonts w:ascii="Arial" w:hAnsi="Arial" w:cs="Arial"/>
          <w:sz w:val="20"/>
          <w:szCs w:val="20"/>
        </w:rPr>
        <w:t xml:space="preserve">° 26 o siguiendo las normas utilizadas para fines societarios o regulatorios. En el caso de que los estados contables no se preparen de acuerdo con </w:t>
      </w:r>
      <w:smartTag w:uri="urn:schemas-microsoft-com:office:smarttags" w:element="PersonName">
        <w:smartTagPr>
          <w:attr w:name="ProductID" w:val="la Resoluci￳n T￩cnica N"/>
        </w:smartTagPr>
        <w:r>
          <w:rPr>
            <w:rFonts w:ascii="Arial" w:hAnsi="Arial" w:cs="Arial"/>
            <w:sz w:val="20"/>
            <w:szCs w:val="20"/>
          </w:rPr>
          <w:t>la Resolución Técnica N</w:t>
        </w:r>
      </w:smartTag>
      <w:r>
        <w:rPr>
          <w:rFonts w:ascii="Arial" w:hAnsi="Arial" w:cs="Arial"/>
          <w:sz w:val="20"/>
          <w:szCs w:val="20"/>
        </w:rPr>
        <w:t>° 26, deberá contarse con una conciliación entre las mismas y las normas utilizadas</w:t>
      </w:r>
    </w:p>
    <w:p w:rsidR="00A532EF" w:rsidRDefault="00A532EF">
      <w:pPr>
        <w:autoSpaceDE w:val="0"/>
        <w:autoSpaceDN w:val="0"/>
        <w:adjustRightInd w:val="0"/>
        <w:ind w:left="1080"/>
        <w:jc w:val="both"/>
        <w:rPr>
          <w:rFonts w:ascii="Arial" w:hAnsi="Arial" w:cs="Arial"/>
          <w:sz w:val="20"/>
          <w:szCs w:val="20"/>
        </w:rPr>
      </w:pPr>
    </w:p>
    <w:p w:rsidR="00A532EF" w:rsidRDefault="00A532EF">
      <w:pPr>
        <w:autoSpaceDE w:val="0"/>
        <w:autoSpaceDN w:val="0"/>
        <w:adjustRightInd w:val="0"/>
        <w:ind w:left="1080"/>
        <w:jc w:val="both"/>
        <w:rPr>
          <w:rFonts w:ascii="Arial" w:hAnsi="Arial" w:cs="Arial"/>
          <w:sz w:val="20"/>
          <w:szCs w:val="20"/>
        </w:rPr>
      </w:pPr>
      <w:r>
        <w:rPr>
          <w:rFonts w:ascii="Arial" w:hAnsi="Arial" w:cs="Arial"/>
          <w:sz w:val="20"/>
          <w:szCs w:val="20"/>
        </w:rPr>
        <w:t>Como consecuencia de esta nueva normativa, la UTE realizó la evaluación de los efectos que tendrá la adopción de las NIIF respecto de las normas contables actualmente aplicadas, y concluyó que la valuación de activos, pasivos, patrimonio neto y resultados integrales no difiere significativamente.</w:t>
      </w:r>
    </w:p>
    <w:p w:rsidR="00A532EF" w:rsidRDefault="00A532EF">
      <w:pPr>
        <w:pStyle w:val="Sangra2detindependiente"/>
        <w:ind w:left="671" w:firstLine="0"/>
        <w:jc w:val="both"/>
        <w:rPr>
          <w:rFonts w:ascii="Arial" w:hAnsi="Arial" w:cs="Arial"/>
          <w:sz w:val="20"/>
          <w:lang w:val="es-ES"/>
        </w:rPr>
      </w:pPr>
    </w:p>
    <w:p w:rsidR="00A532EF" w:rsidRDefault="00A532EF">
      <w:pPr>
        <w:pStyle w:val="Sangra2detindependiente"/>
        <w:ind w:left="0" w:firstLine="0"/>
        <w:jc w:val="both"/>
        <w:rPr>
          <w:rFonts w:ascii="Arial" w:hAnsi="Arial" w:cs="Arial"/>
          <w:sz w:val="20"/>
        </w:rPr>
      </w:pPr>
    </w:p>
    <w:p w:rsidR="00247CE3" w:rsidRDefault="00A532EF">
      <w:pPr>
        <w:pStyle w:val="Sangra2detindependiente"/>
        <w:ind w:left="671" w:firstLine="0"/>
        <w:jc w:val="center"/>
        <w:rPr>
          <w:rFonts w:ascii="Arial" w:hAnsi="Arial" w:cs="Arial"/>
          <w:sz w:val="20"/>
        </w:rPr>
      </w:pPr>
      <w:r>
        <w:rPr>
          <w:rFonts w:ascii="Arial" w:hAnsi="Arial" w:cs="Arial"/>
          <w:sz w:val="20"/>
        </w:rPr>
        <w:br w:type="page"/>
      </w:r>
    </w:p>
    <w:p w:rsidR="00247CE3" w:rsidRDefault="00247CE3">
      <w:pPr>
        <w:pStyle w:val="Sangra2detindependiente"/>
        <w:ind w:left="671" w:firstLine="0"/>
        <w:jc w:val="center"/>
        <w:rPr>
          <w:rFonts w:ascii="Arial" w:hAnsi="Arial" w:cs="Arial"/>
          <w:sz w:val="20"/>
        </w:rPr>
      </w:pPr>
    </w:p>
    <w:p w:rsidR="00A532EF" w:rsidRDefault="00A532EF">
      <w:pPr>
        <w:pStyle w:val="Sangra2detindependiente"/>
        <w:ind w:left="671" w:firstLine="0"/>
        <w:jc w:val="center"/>
        <w:rPr>
          <w:rFonts w:ascii="Arial" w:hAnsi="Arial" w:cs="Arial"/>
          <w:sz w:val="20"/>
        </w:rPr>
      </w:pPr>
      <w:r>
        <w:rPr>
          <w:rFonts w:ascii="Arial" w:hAnsi="Arial" w:cs="Arial"/>
          <w:b/>
          <w:sz w:val="20"/>
        </w:rPr>
        <w:t>NOTAS A LOS ESTADOS CONTABLES (Continuación)</w:t>
      </w:r>
    </w:p>
    <w:p w:rsidR="00A532EF" w:rsidRDefault="00A532EF">
      <w:pPr>
        <w:ind w:left="284"/>
        <w:jc w:val="both"/>
        <w:rPr>
          <w:rFonts w:ascii="Arial" w:hAnsi="Arial" w:cs="Arial"/>
          <w:sz w:val="20"/>
          <w:szCs w:val="20"/>
          <w:lang w:val="es-AR"/>
        </w:rPr>
      </w:pPr>
    </w:p>
    <w:p w:rsidR="00247CE3" w:rsidRDefault="00247CE3">
      <w:pPr>
        <w:ind w:left="284"/>
        <w:jc w:val="both"/>
        <w:rPr>
          <w:rFonts w:ascii="Arial" w:hAnsi="Arial" w:cs="Arial"/>
          <w:sz w:val="20"/>
          <w:szCs w:val="20"/>
          <w:lang w:val="es-AR"/>
        </w:rPr>
      </w:pPr>
    </w:p>
    <w:p w:rsidR="00247CE3" w:rsidRDefault="00247CE3">
      <w:pPr>
        <w:ind w:left="284"/>
        <w:jc w:val="both"/>
        <w:rPr>
          <w:rFonts w:ascii="Arial" w:hAnsi="Arial" w:cs="Arial"/>
          <w:sz w:val="20"/>
          <w:szCs w:val="20"/>
          <w:lang w:val="es-AR"/>
        </w:rPr>
      </w:pPr>
    </w:p>
    <w:p w:rsidR="00A532EF" w:rsidRDefault="00A532EF">
      <w:pPr>
        <w:pStyle w:val="Sangra2detindependiente"/>
        <w:ind w:left="1080" w:firstLine="0"/>
        <w:jc w:val="both"/>
        <w:rPr>
          <w:rFonts w:ascii="Arial" w:hAnsi="Arial" w:cs="Arial"/>
          <w:sz w:val="20"/>
        </w:rPr>
      </w:pPr>
      <w:r>
        <w:rPr>
          <w:rFonts w:ascii="Arial" w:hAnsi="Arial" w:cs="Arial"/>
          <w:sz w:val="20"/>
        </w:rPr>
        <w:t xml:space="preserve">Debido al cese de actividades descripto en la Nota 3, la UTE se encuentra comprendida en la segunda parte de </w:t>
      </w:r>
      <w:smartTag w:uri="urn:schemas-microsoft-com:office:smarttags" w:element="PersonName">
        <w:smartTagPr>
          <w:attr w:name="ProductID" w:val="la Resoluci￳n T￩cnica N"/>
        </w:smartTagPr>
        <w:r>
          <w:rPr>
            <w:rFonts w:ascii="Arial" w:hAnsi="Arial" w:cs="Arial"/>
            <w:sz w:val="20"/>
          </w:rPr>
          <w:t>la Resolución Técnica N</w:t>
        </w:r>
      </w:smartTag>
      <w:r>
        <w:rPr>
          <w:rFonts w:ascii="Arial" w:hAnsi="Arial" w:cs="Arial"/>
          <w:sz w:val="20"/>
        </w:rPr>
        <w:t xml:space="preserve">° 17, apartado 1.b) para entes que no cumplen con la condición de “empresa en marcha”  A la fecha, la resolución final de las cuestiones que se podrían originar por lo mencionado precedentemente no puede ser determinada. Consecuentemente, los estados contables adjuntos no incluyen la totalidad de los ajustes relacionados con la </w:t>
      </w:r>
      <w:proofErr w:type="spellStart"/>
      <w:r>
        <w:rPr>
          <w:rFonts w:ascii="Arial" w:hAnsi="Arial" w:cs="Arial"/>
          <w:sz w:val="20"/>
        </w:rPr>
        <w:t>recuperabilidad</w:t>
      </w:r>
      <w:proofErr w:type="spellEnd"/>
      <w:r>
        <w:rPr>
          <w:rFonts w:ascii="Arial" w:hAnsi="Arial" w:cs="Arial"/>
          <w:sz w:val="20"/>
        </w:rPr>
        <w:t xml:space="preserve"> y clasificación de los activos y/o la suficiencia y clasificación de los pasivos que podrían originarse, por lo tanto, los presentes estados contables han sido preparados sobre la base de los criterios descriptos en la presente nota.</w:t>
      </w:r>
    </w:p>
    <w:p w:rsidR="00A532EF" w:rsidRDefault="00A532EF">
      <w:pPr>
        <w:ind w:left="1080"/>
        <w:jc w:val="both"/>
        <w:rPr>
          <w:rFonts w:ascii="Arial" w:hAnsi="Arial" w:cs="Arial"/>
          <w:sz w:val="20"/>
          <w:szCs w:val="20"/>
          <w:lang w:val="es-AR"/>
        </w:rPr>
      </w:pPr>
    </w:p>
    <w:p w:rsidR="00247CE3" w:rsidRDefault="00247CE3">
      <w:pPr>
        <w:ind w:left="720"/>
        <w:jc w:val="both"/>
        <w:rPr>
          <w:rFonts w:ascii="Arial" w:hAnsi="Arial" w:cs="Arial"/>
          <w:sz w:val="20"/>
          <w:szCs w:val="20"/>
        </w:rPr>
      </w:pPr>
    </w:p>
    <w:p w:rsidR="00A532EF" w:rsidRPr="00407656" w:rsidRDefault="00A532EF">
      <w:pPr>
        <w:ind w:left="720"/>
        <w:jc w:val="both"/>
        <w:rPr>
          <w:rFonts w:ascii="Arial" w:hAnsi="Arial" w:cs="Arial"/>
          <w:b/>
          <w:sz w:val="20"/>
          <w:szCs w:val="20"/>
        </w:rPr>
      </w:pPr>
      <w:r w:rsidRPr="00407656">
        <w:rPr>
          <w:rFonts w:ascii="Arial" w:hAnsi="Arial" w:cs="Arial"/>
          <w:b/>
          <w:sz w:val="20"/>
          <w:szCs w:val="20"/>
        </w:rPr>
        <w:t xml:space="preserve">1.2. </w:t>
      </w:r>
      <w:proofErr w:type="spellStart"/>
      <w:r w:rsidRPr="00407656">
        <w:rPr>
          <w:rFonts w:ascii="Arial" w:hAnsi="Arial" w:cs="Arial"/>
          <w:b/>
          <w:sz w:val="20"/>
          <w:szCs w:val="20"/>
        </w:rPr>
        <w:t>Reexpresión</w:t>
      </w:r>
      <w:proofErr w:type="spellEnd"/>
      <w:r w:rsidRPr="00407656">
        <w:rPr>
          <w:rFonts w:ascii="Arial" w:hAnsi="Arial" w:cs="Arial"/>
          <w:b/>
          <w:sz w:val="20"/>
          <w:szCs w:val="20"/>
        </w:rPr>
        <w:t xml:space="preserve"> </w:t>
      </w:r>
      <w:r w:rsidR="00407656" w:rsidRPr="00407656">
        <w:rPr>
          <w:rFonts w:ascii="Arial" w:hAnsi="Arial" w:cs="Arial"/>
          <w:b/>
          <w:sz w:val="20"/>
          <w:szCs w:val="20"/>
        </w:rPr>
        <w:t>en M</w:t>
      </w:r>
      <w:r w:rsidRPr="00407656">
        <w:rPr>
          <w:rFonts w:ascii="Arial" w:hAnsi="Arial" w:cs="Arial"/>
          <w:b/>
          <w:sz w:val="20"/>
          <w:szCs w:val="20"/>
        </w:rPr>
        <w:t xml:space="preserve">oneda </w:t>
      </w:r>
      <w:r w:rsidR="00407656" w:rsidRPr="00407656">
        <w:rPr>
          <w:rFonts w:ascii="Arial" w:hAnsi="Arial" w:cs="Arial"/>
          <w:b/>
          <w:sz w:val="20"/>
          <w:szCs w:val="20"/>
        </w:rPr>
        <w:t>Homogénea</w:t>
      </w:r>
    </w:p>
    <w:p w:rsidR="00A532EF" w:rsidRDefault="00A532EF">
      <w:pPr>
        <w:ind w:left="1080"/>
        <w:jc w:val="both"/>
        <w:rPr>
          <w:rFonts w:ascii="Arial" w:hAnsi="Arial" w:cs="Arial"/>
          <w:b/>
          <w:sz w:val="20"/>
          <w:szCs w:val="20"/>
        </w:rPr>
      </w:pPr>
    </w:p>
    <w:p w:rsidR="00A532EF" w:rsidRDefault="00A532EF">
      <w:pPr>
        <w:ind w:left="1080"/>
        <w:jc w:val="both"/>
        <w:rPr>
          <w:rFonts w:ascii="Arial" w:hAnsi="Arial" w:cs="Arial"/>
          <w:sz w:val="20"/>
          <w:szCs w:val="20"/>
        </w:rPr>
      </w:pPr>
      <w:r>
        <w:rPr>
          <w:rFonts w:ascii="Arial" w:hAnsi="Arial" w:cs="Arial"/>
          <w:sz w:val="20"/>
          <w:szCs w:val="20"/>
        </w:rPr>
        <w:t xml:space="preserve">La UTE presenta sus estados contables en moneda constante, siguiendo el método de </w:t>
      </w:r>
      <w:proofErr w:type="spellStart"/>
      <w:r>
        <w:rPr>
          <w:rFonts w:ascii="Arial" w:hAnsi="Arial" w:cs="Arial"/>
          <w:sz w:val="20"/>
          <w:szCs w:val="20"/>
        </w:rPr>
        <w:t>reexpresión</w:t>
      </w:r>
      <w:proofErr w:type="spellEnd"/>
      <w:r>
        <w:rPr>
          <w:rFonts w:ascii="Arial" w:hAnsi="Arial" w:cs="Arial"/>
          <w:sz w:val="20"/>
          <w:szCs w:val="20"/>
        </w:rPr>
        <w:t xml:space="preserve"> establecido por </w:t>
      </w:r>
      <w:smartTag w:uri="urn:schemas-microsoft-com:office:smarttags" w:element="PersonName">
        <w:smartTagPr>
          <w:attr w:name="ProductID" w:val="la Resoluci￳n T￩cnica N"/>
        </w:smartTagPr>
        <w:r>
          <w:rPr>
            <w:rFonts w:ascii="Arial" w:hAnsi="Arial" w:cs="Arial"/>
            <w:sz w:val="20"/>
            <w:szCs w:val="20"/>
          </w:rPr>
          <w:t>la Resolución Técnica N</w:t>
        </w:r>
      </w:smartTag>
      <w:r>
        <w:rPr>
          <w:rFonts w:ascii="Arial" w:hAnsi="Arial" w:cs="Arial"/>
          <w:sz w:val="20"/>
          <w:szCs w:val="20"/>
        </w:rPr>
        <w:t xml:space="preserve">º 6 de </w:t>
      </w:r>
      <w:smartTag w:uri="urn:schemas-microsoft-com:office:smarttags" w:element="PersonName">
        <w:smartTagPr>
          <w:attr w:name="ProductID" w:val="la Federaci￳n Argentina"/>
        </w:smartTagPr>
        <w:r>
          <w:rPr>
            <w:rFonts w:ascii="Arial" w:hAnsi="Arial" w:cs="Arial"/>
            <w:sz w:val="20"/>
            <w:szCs w:val="20"/>
          </w:rPr>
          <w:t>la Federación Argentina</w:t>
        </w:r>
      </w:smartTag>
      <w:r>
        <w:rPr>
          <w:rFonts w:ascii="Arial" w:hAnsi="Arial" w:cs="Arial"/>
          <w:sz w:val="20"/>
          <w:szCs w:val="20"/>
        </w:rPr>
        <w:t xml:space="preserve"> de Consejos Profesionales de Ciencias Económicas (F.A.C.P.C.E.), mediante el empleo de coeficientes de ajuste derivados del Índice de Precios Internos al por Mayor (IPIM) del Instituto Nacional de Estadística y Censos y de acuerdo con las modalidades establecidas en </w:t>
      </w:r>
      <w:smartTag w:uri="urn:schemas-microsoft-com:office:smarttags" w:element="PersonName">
        <w:smartTagPr>
          <w:attr w:name="ProductID" w:val="la Resoluci￳n General N"/>
        </w:smartTagPr>
        <w:r>
          <w:rPr>
            <w:rFonts w:ascii="Arial" w:hAnsi="Arial" w:cs="Arial"/>
            <w:sz w:val="20"/>
            <w:szCs w:val="20"/>
          </w:rPr>
          <w:t>la Resolución General N</w:t>
        </w:r>
      </w:smartTag>
      <w:r>
        <w:rPr>
          <w:rFonts w:ascii="Arial" w:hAnsi="Arial" w:cs="Arial"/>
          <w:sz w:val="20"/>
          <w:szCs w:val="20"/>
        </w:rPr>
        <w:t xml:space="preserve">º 11/02 de </w:t>
      </w:r>
      <w:smartTag w:uri="urn:schemas-microsoft-com:office:smarttags" w:element="PersonName">
        <w:smartTagPr>
          <w:attr w:name="ProductID" w:val="la Inspecci￳n General"/>
        </w:smartTagPr>
        <w:r>
          <w:rPr>
            <w:rFonts w:ascii="Arial" w:hAnsi="Arial" w:cs="Arial"/>
            <w:sz w:val="20"/>
            <w:szCs w:val="20"/>
          </w:rPr>
          <w:t>la Inspección General</w:t>
        </w:r>
      </w:smartTag>
      <w:r>
        <w:rPr>
          <w:rFonts w:ascii="Arial" w:hAnsi="Arial" w:cs="Arial"/>
          <w:sz w:val="20"/>
          <w:szCs w:val="20"/>
        </w:rPr>
        <w:t xml:space="preserve"> de Justicia.</w:t>
      </w:r>
    </w:p>
    <w:p w:rsidR="00A532EF" w:rsidRDefault="00A532EF">
      <w:pPr>
        <w:ind w:left="1080"/>
        <w:jc w:val="both"/>
        <w:rPr>
          <w:rFonts w:ascii="Arial" w:hAnsi="Arial" w:cs="Arial"/>
          <w:sz w:val="20"/>
          <w:szCs w:val="20"/>
        </w:rPr>
      </w:pPr>
    </w:p>
    <w:p w:rsidR="00A532EF" w:rsidRDefault="00A532EF">
      <w:pPr>
        <w:ind w:left="1080"/>
        <w:jc w:val="both"/>
        <w:rPr>
          <w:rFonts w:ascii="Arial" w:hAnsi="Arial" w:cs="Arial"/>
          <w:sz w:val="20"/>
          <w:szCs w:val="20"/>
        </w:rPr>
      </w:pPr>
      <w:r>
        <w:rPr>
          <w:rFonts w:ascii="Arial" w:hAnsi="Arial" w:cs="Arial"/>
          <w:sz w:val="20"/>
          <w:szCs w:val="20"/>
        </w:rPr>
        <w:t xml:space="preserve">De acuerdo con el método mencionado, desde la constitución de la UTE, en base a las condiciones de estabilidad económica prevalecientes y de acuerdo con lo requerido por </w:t>
      </w:r>
      <w:smartTag w:uri="urn:schemas-microsoft-com:office:smarttags" w:element="PersonName">
        <w:smartTagPr>
          <w:attr w:name="ProductID" w:val="la Resoluci￳n General N"/>
        </w:smartTagPr>
        <w:r>
          <w:rPr>
            <w:rFonts w:ascii="Arial" w:hAnsi="Arial" w:cs="Arial"/>
            <w:sz w:val="20"/>
            <w:szCs w:val="20"/>
          </w:rPr>
          <w:t>la Resolución General N</w:t>
        </w:r>
      </w:smartTag>
      <w:r>
        <w:rPr>
          <w:rFonts w:ascii="Arial" w:hAnsi="Arial" w:cs="Arial"/>
          <w:sz w:val="20"/>
          <w:szCs w:val="20"/>
        </w:rPr>
        <w:t xml:space="preserve">º 8/95 de la I.G.J. y aceptado por las normas contables profesionales, las mediciones contables no fueron </w:t>
      </w:r>
      <w:proofErr w:type="spellStart"/>
      <w:r>
        <w:rPr>
          <w:rFonts w:ascii="Arial" w:hAnsi="Arial" w:cs="Arial"/>
          <w:sz w:val="20"/>
          <w:szCs w:val="20"/>
        </w:rPr>
        <w:t>reexpresadas</w:t>
      </w:r>
      <w:proofErr w:type="spellEnd"/>
      <w:r>
        <w:rPr>
          <w:rFonts w:ascii="Arial" w:hAnsi="Arial" w:cs="Arial"/>
          <w:sz w:val="20"/>
          <w:szCs w:val="20"/>
        </w:rPr>
        <w:t xml:space="preserve"> hasta el 31 de diciembre de 2001. En virtud de </w:t>
      </w:r>
      <w:smartTag w:uri="urn:schemas-microsoft-com:office:smarttags" w:element="PersonName">
        <w:smartTagPr>
          <w:attr w:name="ProductID" w:val="la Resoluci￳n General N"/>
        </w:smartTagPr>
        <w:r>
          <w:rPr>
            <w:rFonts w:ascii="Arial" w:hAnsi="Arial" w:cs="Arial"/>
            <w:sz w:val="20"/>
            <w:szCs w:val="20"/>
          </w:rPr>
          <w:t>la Resolución General N</w:t>
        </w:r>
      </w:smartTag>
      <w:r>
        <w:rPr>
          <w:rFonts w:ascii="Arial" w:hAnsi="Arial" w:cs="Arial"/>
          <w:sz w:val="20"/>
          <w:szCs w:val="20"/>
        </w:rPr>
        <w:t>º 11/02 de la I.G.J., se reanudó la aplicación del método con efectos a partir del 1º de enero de 2002, considerándose las mediciones contables anteriores a esta fecha expresadas en moneda del 31 de diciembre de 2001.</w:t>
      </w:r>
    </w:p>
    <w:p w:rsidR="00A532EF" w:rsidRDefault="00A532EF">
      <w:pPr>
        <w:ind w:left="1080"/>
        <w:jc w:val="both"/>
        <w:rPr>
          <w:rFonts w:ascii="Arial" w:hAnsi="Arial" w:cs="Arial"/>
          <w:sz w:val="20"/>
          <w:szCs w:val="20"/>
        </w:rPr>
      </w:pPr>
    </w:p>
    <w:p w:rsidR="00A532EF" w:rsidRDefault="00A532EF">
      <w:pPr>
        <w:ind w:left="1080"/>
        <w:jc w:val="both"/>
        <w:rPr>
          <w:rFonts w:ascii="Arial" w:hAnsi="Arial" w:cs="Arial"/>
          <w:sz w:val="20"/>
          <w:szCs w:val="20"/>
        </w:rPr>
      </w:pPr>
      <w:r>
        <w:rPr>
          <w:rFonts w:ascii="Arial" w:hAnsi="Arial" w:cs="Arial"/>
          <w:sz w:val="20"/>
          <w:szCs w:val="20"/>
        </w:rPr>
        <w:t>Se continuó aplicando dicho método de ajuste hasta el 28 de febrero de 2003, fecha en que se discontinuó su aplicación por disposición del Decreto del PEN Nº 664 del 20 de marzo de 2003 y la Resolución de la I.G.J. Nº 4/03. Las normas contables profesionales mantuvieron vigente la aplicación de este método hasta que según Resolución MD 41/2003, emitida el 29 de octubre de 2003, fue discontinuado a partir del 30 de septiembre de 2003. La UTE no ha registrado el efecto de la discontinuación de dicho método desde el 28 de febrero de 2003 y hasta el 30 de septiembre de 2003 ya que el mismo no resultó significativo respecto de los estados contables tomados en su conjunto.</w:t>
      </w:r>
    </w:p>
    <w:p w:rsidR="00A532EF" w:rsidRDefault="00A532EF">
      <w:pPr>
        <w:ind w:left="1080"/>
        <w:jc w:val="both"/>
        <w:rPr>
          <w:rFonts w:ascii="Arial" w:hAnsi="Arial" w:cs="Arial"/>
          <w:sz w:val="20"/>
          <w:szCs w:val="20"/>
        </w:rPr>
      </w:pPr>
    </w:p>
    <w:p w:rsidR="00247CE3" w:rsidRDefault="00247CE3" w:rsidP="00247CE3">
      <w:pPr>
        <w:ind w:left="1080"/>
        <w:jc w:val="both"/>
        <w:rPr>
          <w:rFonts w:ascii="Arial" w:hAnsi="Arial" w:cs="Arial"/>
          <w:sz w:val="20"/>
          <w:szCs w:val="20"/>
        </w:rPr>
      </w:pPr>
      <w:r w:rsidRPr="00247CE3">
        <w:rPr>
          <w:rFonts w:ascii="Arial" w:hAnsi="Arial" w:cs="Arial"/>
          <w:sz w:val="20"/>
          <w:szCs w:val="20"/>
        </w:rPr>
        <w:t xml:space="preserve">Con la sanción de la Ley Nro. 27.468 </w:t>
      </w:r>
      <w:proofErr w:type="gramStart"/>
      <w:r w:rsidRPr="00247CE3">
        <w:rPr>
          <w:rFonts w:ascii="Arial" w:hAnsi="Arial" w:cs="Arial"/>
          <w:sz w:val="20"/>
          <w:szCs w:val="20"/>
        </w:rPr>
        <w:t>y</w:t>
      </w:r>
      <w:proofErr w:type="gramEnd"/>
      <w:r w:rsidRPr="00247CE3">
        <w:rPr>
          <w:rFonts w:ascii="Arial" w:hAnsi="Arial" w:cs="Arial"/>
          <w:sz w:val="20"/>
          <w:szCs w:val="20"/>
        </w:rPr>
        <w:t xml:space="preserve"> su reglamentación a través de las Resolución 777 de 2018 de la CNV, se ha completado la regulación para reanudar la </w:t>
      </w:r>
      <w:proofErr w:type="spellStart"/>
      <w:r w:rsidRPr="00247CE3">
        <w:rPr>
          <w:rFonts w:ascii="Arial" w:hAnsi="Arial" w:cs="Arial"/>
          <w:sz w:val="20"/>
          <w:szCs w:val="20"/>
        </w:rPr>
        <w:t>reexpresión</w:t>
      </w:r>
      <w:proofErr w:type="spellEnd"/>
      <w:r w:rsidRPr="00247CE3">
        <w:rPr>
          <w:rFonts w:ascii="Arial" w:hAnsi="Arial" w:cs="Arial"/>
          <w:sz w:val="20"/>
          <w:szCs w:val="20"/>
        </w:rPr>
        <w:t xml:space="preserve"> en moneda constante u homogénea que las normas contables profesionales nacionales (NCA) y las internacionales (NIIF) requieren para los estados contables emitidos a partir del primero de julio de 2018 para las entidades en la oferta pública.</w:t>
      </w:r>
    </w:p>
    <w:p w:rsidR="00247CE3" w:rsidRPr="00247CE3" w:rsidRDefault="00247CE3" w:rsidP="00247CE3">
      <w:pPr>
        <w:ind w:left="1080"/>
        <w:jc w:val="both"/>
        <w:rPr>
          <w:rFonts w:ascii="Arial" w:hAnsi="Arial" w:cs="Arial"/>
          <w:sz w:val="20"/>
          <w:szCs w:val="20"/>
        </w:rPr>
      </w:pPr>
    </w:p>
    <w:p w:rsidR="00247CE3" w:rsidRDefault="00247CE3" w:rsidP="00247CE3">
      <w:pPr>
        <w:pStyle w:val="Sangradetextonormal"/>
        <w:ind w:left="1080" w:firstLine="0"/>
        <w:rPr>
          <w:rFonts w:ascii="Arial" w:hAnsi="Arial" w:cs="Arial"/>
          <w:sz w:val="20"/>
        </w:rPr>
      </w:pPr>
    </w:p>
    <w:p w:rsidR="00247CE3" w:rsidRDefault="00247CE3" w:rsidP="00247CE3">
      <w:pPr>
        <w:pStyle w:val="Sangra2detindependiente"/>
        <w:ind w:left="671" w:firstLine="0"/>
        <w:jc w:val="center"/>
        <w:rPr>
          <w:rFonts w:ascii="Arial" w:hAnsi="Arial" w:cs="Arial"/>
          <w:sz w:val="20"/>
        </w:rPr>
      </w:pPr>
      <w:r>
        <w:rPr>
          <w:rFonts w:ascii="Arial" w:hAnsi="Arial" w:cs="Arial"/>
          <w:b/>
          <w:sz w:val="20"/>
        </w:rPr>
        <w:lastRenderedPageBreak/>
        <w:t>NOTAS A LOS ESTADOS CONTABLES (Continuación)</w:t>
      </w:r>
    </w:p>
    <w:p w:rsidR="00247CE3" w:rsidRDefault="00247CE3" w:rsidP="00247CE3">
      <w:pPr>
        <w:pStyle w:val="Sangradetextonormal"/>
        <w:ind w:left="1080" w:firstLine="0"/>
        <w:rPr>
          <w:rFonts w:ascii="Arial" w:hAnsi="Arial" w:cs="Arial"/>
          <w:sz w:val="20"/>
        </w:rPr>
      </w:pPr>
    </w:p>
    <w:p w:rsidR="00247CE3" w:rsidRDefault="00247CE3" w:rsidP="00247CE3">
      <w:pPr>
        <w:pStyle w:val="Sangradetextonormal"/>
        <w:ind w:left="1080" w:firstLine="0"/>
        <w:rPr>
          <w:rFonts w:ascii="Arial" w:hAnsi="Arial" w:cs="Arial"/>
          <w:sz w:val="20"/>
        </w:rPr>
      </w:pPr>
    </w:p>
    <w:p w:rsidR="00247CE3" w:rsidRDefault="00247CE3" w:rsidP="00247CE3">
      <w:pPr>
        <w:pStyle w:val="Sangradetextonormal"/>
        <w:ind w:left="1080" w:firstLine="0"/>
        <w:rPr>
          <w:rFonts w:ascii="Arial" w:hAnsi="Arial" w:cs="Arial"/>
          <w:sz w:val="20"/>
        </w:rPr>
      </w:pPr>
    </w:p>
    <w:p w:rsidR="00247CE3" w:rsidRPr="00247CE3" w:rsidRDefault="00247CE3" w:rsidP="00247CE3">
      <w:pPr>
        <w:pStyle w:val="Sangradetextonormal"/>
        <w:ind w:left="1080" w:firstLine="0"/>
        <w:rPr>
          <w:rFonts w:ascii="Arial" w:hAnsi="Arial" w:cs="Arial"/>
          <w:sz w:val="20"/>
        </w:rPr>
      </w:pPr>
      <w:r w:rsidRPr="00247CE3">
        <w:rPr>
          <w:rFonts w:ascii="Arial" w:hAnsi="Arial" w:cs="Arial"/>
          <w:sz w:val="20"/>
        </w:rPr>
        <w:t>Dicha Ley Nro. 27.468 puso nuevamente en vigencia el articulo 62 in fine de la Ley General de Sociedades que requiere que las sociedades alcanzadas por esa ley confeccionen sus estados contables (o financieros, según terminología NIIF) en moneda constante, es decir en moneda homogénea de cierre o ajustados por </w:t>
      </w:r>
      <w:hyperlink r:id="rId17" w:tgtFrame="_blank" w:history="1">
        <w:r w:rsidRPr="00247CE3">
          <w:rPr>
            <w:rFonts w:ascii="Arial" w:hAnsi="Arial" w:cs="Arial"/>
            <w:sz w:val="20"/>
          </w:rPr>
          <w:t>inflación</w:t>
        </w:r>
      </w:hyperlink>
      <w:r w:rsidRPr="00247CE3">
        <w:rPr>
          <w:rFonts w:ascii="Arial" w:hAnsi="Arial" w:cs="Arial"/>
          <w:sz w:val="20"/>
        </w:rPr>
        <w:t>.</w:t>
      </w:r>
    </w:p>
    <w:p w:rsidR="00247CE3" w:rsidRPr="00247CE3" w:rsidRDefault="00247CE3" w:rsidP="00247CE3">
      <w:pPr>
        <w:pStyle w:val="Sangradetextonormal"/>
        <w:ind w:left="1080" w:firstLine="0"/>
        <w:rPr>
          <w:rFonts w:ascii="Arial" w:hAnsi="Arial" w:cs="Arial"/>
          <w:sz w:val="20"/>
        </w:rPr>
      </w:pPr>
    </w:p>
    <w:p w:rsidR="00247CE3" w:rsidRPr="00247CE3" w:rsidRDefault="00247CE3" w:rsidP="00247CE3">
      <w:pPr>
        <w:pStyle w:val="Sangradetextonormal"/>
        <w:ind w:left="1080" w:firstLine="0"/>
        <w:rPr>
          <w:rFonts w:ascii="Arial" w:hAnsi="Arial" w:cs="Arial"/>
          <w:sz w:val="20"/>
        </w:rPr>
      </w:pPr>
      <w:r w:rsidRPr="00247CE3">
        <w:rPr>
          <w:rFonts w:ascii="Arial" w:hAnsi="Arial" w:cs="Arial"/>
          <w:sz w:val="20"/>
        </w:rPr>
        <w:t>A fin de corregir los efectos de la </w:t>
      </w:r>
      <w:hyperlink r:id="rId18" w:tgtFrame="_blank" w:history="1">
        <w:r w:rsidRPr="00247CE3">
          <w:rPr>
            <w:sz w:val="20"/>
          </w:rPr>
          <w:t>inflación</w:t>
        </w:r>
      </w:hyperlink>
      <w:r w:rsidRPr="00247CE3">
        <w:rPr>
          <w:rFonts w:ascii="Arial" w:hAnsi="Arial" w:cs="Arial"/>
          <w:sz w:val="20"/>
        </w:rPr>
        <w:t> en los estados contables, se ha utilizado el Índice de Precios elaborado por la FACPCE que se basa hasta diciembre de 2016 en el IPIM y a partir de enero 2017 en el IPC Nacional, ambos publicados por el INDEC.</w:t>
      </w:r>
    </w:p>
    <w:p w:rsidR="00247CE3" w:rsidRPr="00247CE3" w:rsidRDefault="00247CE3" w:rsidP="00247CE3">
      <w:pPr>
        <w:pStyle w:val="Sangradetextonormal"/>
        <w:ind w:left="1080" w:firstLine="0"/>
        <w:rPr>
          <w:rFonts w:ascii="Arial" w:hAnsi="Arial" w:cs="Arial"/>
          <w:sz w:val="20"/>
        </w:rPr>
      </w:pPr>
    </w:p>
    <w:p w:rsidR="00247CE3" w:rsidRDefault="00247CE3" w:rsidP="00247CE3">
      <w:pPr>
        <w:pStyle w:val="Sangradetextonormal"/>
        <w:ind w:left="1080" w:firstLine="0"/>
        <w:rPr>
          <w:rFonts w:ascii="Arial" w:hAnsi="Arial" w:cs="Arial"/>
          <w:sz w:val="20"/>
        </w:rPr>
      </w:pPr>
      <w:r w:rsidRPr="00247CE3">
        <w:rPr>
          <w:rFonts w:ascii="Arial" w:hAnsi="Arial" w:cs="Arial"/>
          <w:sz w:val="20"/>
        </w:rPr>
        <w:t xml:space="preserve">Por eso, tanto los emisores de estados contables que emplean las normas contables profesionales nacionales (NCA) como aquellos que utilizan las NIIF deberán utilizar las reglas específicas de </w:t>
      </w:r>
      <w:proofErr w:type="spellStart"/>
      <w:r w:rsidRPr="00247CE3">
        <w:rPr>
          <w:rFonts w:ascii="Arial" w:hAnsi="Arial" w:cs="Arial"/>
          <w:sz w:val="20"/>
        </w:rPr>
        <w:t>reexpresión</w:t>
      </w:r>
      <w:proofErr w:type="spellEnd"/>
      <w:r w:rsidRPr="00247CE3">
        <w:rPr>
          <w:rFonts w:ascii="Arial" w:hAnsi="Arial" w:cs="Arial"/>
          <w:sz w:val="20"/>
        </w:rPr>
        <w:t xml:space="preserve"> de estados contables previstas en la RT 6, RT 17 (esta última en su sección 3.1) de la FACPCE y la NIC 29, respectivamente. Dichas normas emplearán el índice profesional antes señalado.</w:t>
      </w:r>
    </w:p>
    <w:p w:rsidR="00247CE3" w:rsidRPr="00247CE3" w:rsidRDefault="00247CE3" w:rsidP="00247CE3">
      <w:pPr>
        <w:pStyle w:val="Sangradetextonormal"/>
        <w:ind w:left="1080" w:firstLine="0"/>
        <w:rPr>
          <w:rFonts w:ascii="Arial" w:hAnsi="Arial" w:cs="Arial"/>
          <w:sz w:val="20"/>
        </w:rPr>
      </w:pPr>
    </w:p>
    <w:p w:rsidR="00247CE3" w:rsidRPr="00247CE3" w:rsidRDefault="00247CE3" w:rsidP="00247CE3">
      <w:pPr>
        <w:pStyle w:val="Sangradetextonormal"/>
        <w:ind w:left="1080" w:firstLine="0"/>
        <w:rPr>
          <w:rFonts w:ascii="Arial" w:hAnsi="Arial" w:cs="Arial"/>
          <w:sz w:val="20"/>
        </w:rPr>
      </w:pPr>
      <w:r w:rsidRPr="00247CE3">
        <w:rPr>
          <w:rFonts w:ascii="Arial" w:hAnsi="Arial" w:cs="Arial"/>
          <w:sz w:val="20"/>
        </w:rPr>
        <w:t>Estas normas establecen que la aplicación del ajuste por inflación debe realizarse frente a la existencia de un contexto de inflación, el cual se caracteriza, entre otras consideraciones, cuando existe una tasa acumulada de inflación en tres años que alcance o sobrepase el 100%. La inflación acumulada en tres años al 31 de Diciembre de 2018, medida en las diferentes combinaciones posibles de índices disponibles, y con el IPIM (Índice de Precios Internos al por Mayor) publicado por Instituto Nacional de Estadísticas y Censos (INDEC), se ubica por encima del 100%. Es por esta razón que, de acuerdo con las normas contables profesionales antes mencionadas, la economía argentina debe ser considerada como de alta inflación a partir del 1° de julio de 2018.</w:t>
      </w:r>
    </w:p>
    <w:p w:rsidR="008D1C86" w:rsidRDefault="008D1C86" w:rsidP="00247CE3">
      <w:pPr>
        <w:pStyle w:val="Sangradetextonormal"/>
        <w:ind w:left="1080" w:firstLine="0"/>
        <w:rPr>
          <w:rFonts w:ascii="Arial" w:hAnsi="Arial" w:cs="Arial"/>
          <w:sz w:val="20"/>
        </w:rPr>
      </w:pPr>
    </w:p>
    <w:p w:rsidR="00247CE3" w:rsidRPr="00247CE3" w:rsidRDefault="00247CE3" w:rsidP="00247CE3">
      <w:pPr>
        <w:pStyle w:val="Sangradetextonormal"/>
        <w:ind w:left="1080" w:firstLine="0"/>
        <w:rPr>
          <w:rFonts w:ascii="Arial" w:hAnsi="Arial" w:cs="Arial"/>
          <w:sz w:val="20"/>
        </w:rPr>
      </w:pPr>
      <w:r w:rsidRPr="00247CE3">
        <w:rPr>
          <w:rFonts w:ascii="Arial" w:hAnsi="Arial" w:cs="Arial"/>
          <w:sz w:val="20"/>
        </w:rPr>
        <w:t xml:space="preserve">Los requerimientos de la RT 6 consisten en </w:t>
      </w:r>
      <w:proofErr w:type="spellStart"/>
      <w:r w:rsidRPr="00247CE3">
        <w:rPr>
          <w:rFonts w:ascii="Arial" w:hAnsi="Arial" w:cs="Arial"/>
          <w:sz w:val="20"/>
        </w:rPr>
        <w:t>reexpresar</w:t>
      </w:r>
      <w:proofErr w:type="spellEnd"/>
      <w:r w:rsidRPr="00247CE3">
        <w:rPr>
          <w:rFonts w:ascii="Arial" w:hAnsi="Arial" w:cs="Arial"/>
          <w:sz w:val="20"/>
        </w:rPr>
        <w:t xml:space="preserve"> los Estados Contables para que consideren los cambios en el poder adquisitivo general de la moneda, de modo que queden expresados en la unidad de medida corriente al final del período sobre el que se informa. Dichos requerimientos también comprenden a la información comparativa de los mismos. </w:t>
      </w:r>
    </w:p>
    <w:p w:rsidR="008D1C86" w:rsidRDefault="008D1C86" w:rsidP="00247CE3">
      <w:pPr>
        <w:pStyle w:val="Sangradetextonormal"/>
        <w:ind w:left="1080" w:firstLine="0"/>
        <w:rPr>
          <w:rFonts w:ascii="Arial" w:hAnsi="Arial" w:cs="Arial"/>
          <w:sz w:val="20"/>
        </w:rPr>
      </w:pPr>
    </w:p>
    <w:p w:rsidR="00247CE3" w:rsidRDefault="00247CE3" w:rsidP="00247CE3">
      <w:pPr>
        <w:pStyle w:val="Sangradetextonormal"/>
        <w:ind w:left="1080" w:firstLine="0"/>
        <w:rPr>
          <w:rFonts w:ascii="Arial" w:hAnsi="Arial" w:cs="Arial"/>
          <w:sz w:val="20"/>
        </w:rPr>
      </w:pPr>
      <w:r w:rsidRPr="00247CE3">
        <w:rPr>
          <w:rFonts w:ascii="Arial" w:hAnsi="Arial" w:cs="Arial"/>
          <w:sz w:val="20"/>
        </w:rPr>
        <w:t>Por todo lo mencionado, el ajuste por inflación de los estados contables, es obligatorio para el cierre del Balance General al 31 de diciembre de 2018.</w:t>
      </w:r>
    </w:p>
    <w:p w:rsidR="00247CE3" w:rsidRPr="00247CE3" w:rsidRDefault="00247CE3" w:rsidP="00247CE3">
      <w:pPr>
        <w:pStyle w:val="Sangradetextonormal"/>
        <w:ind w:left="1080" w:firstLine="0"/>
        <w:rPr>
          <w:rFonts w:ascii="Arial" w:hAnsi="Arial" w:cs="Arial"/>
          <w:sz w:val="20"/>
        </w:rPr>
      </w:pPr>
    </w:p>
    <w:p w:rsidR="00A532EF" w:rsidRDefault="00A532EF">
      <w:pPr>
        <w:ind w:left="1080"/>
        <w:jc w:val="both"/>
        <w:rPr>
          <w:rFonts w:ascii="Arial" w:hAnsi="Arial" w:cs="Arial"/>
          <w:sz w:val="20"/>
          <w:szCs w:val="20"/>
        </w:rPr>
      </w:pPr>
    </w:p>
    <w:p w:rsidR="00A532EF" w:rsidRPr="00407656" w:rsidRDefault="00A532EF">
      <w:pPr>
        <w:ind w:left="720"/>
        <w:jc w:val="both"/>
        <w:rPr>
          <w:rFonts w:ascii="Arial" w:hAnsi="Arial" w:cs="Arial"/>
          <w:b/>
          <w:sz w:val="20"/>
          <w:szCs w:val="20"/>
        </w:rPr>
      </w:pPr>
      <w:r w:rsidRPr="00407656">
        <w:rPr>
          <w:rFonts w:ascii="Arial" w:hAnsi="Arial" w:cs="Arial"/>
          <w:b/>
          <w:sz w:val="20"/>
          <w:szCs w:val="20"/>
        </w:rPr>
        <w:t>1.3. Presentación</w:t>
      </w:r>
    </w:p>
    <w:p w:rsidR="00A532EF" w:rsidRDefault="00A532EF">
      <w:pPr>
        <w:ind w:left="1080"/>
        <w:jc w:val="both"/>
        <w:rPr>
          <w:rFonts w:ascii="Arial" w:hAnsi="Arial" w:cs="Arial"/>
          <w:sz w:val="20"/>
          <w:szCs w:val="20"/>
        </w:rPr>
      </w:pPr>
    </w:p>
    <w:p w:rsidR="00A532EF" w:rsidRDefault="00A532EF">
      <w:pPr>
        <w:pStyle w:val="Sangradetextonormal"/>
        <w:ind w:left="1080" w:firstLine="0"/>
        <w:rPr>
          <w:rFonts w:ascii="Arial" w:hAnsi="Arial" w:cs="Arial"/>
          <w:sz w:val="20"/>
        </w:rPr>
      </w:pPr>
      <w:r>
        <w:rPr>
          <w:rFonts w:ascii="Arial" w:hAnsi="Arial" w:cs="Arial"/>
          <w:sz w:val="20"/>
        </w:rPr>
        <w:t xml:space="preserve">Los estados contables se presentan de acuerdo con las Normas Generales y Particulares de Exposición Contable dispuestas por las Resoluciones Técnicas vigentes de </w:t>
      </w:r>
      <w:smartTag w:uri="urn:schemas-microsoft-com:office:smarttags" w:element="PersonName">
        <w:smartTagPr>
          <w:attr w:name="ProductID" w:val="la Federaci￳n Argentina"/>
        </w:smartTagPr>
        <w:r>
          <w:rPr>
            <w:rFonts w:ascii="Arial" w:hAnsi="Arial" w:cs="Arial"/>
            <w:sz w:val="20"/>
          </w:rPr>
          <w:t>la Federación Argentina</w:t>
        </w:r>
      </w:smartTag>
      <w:r>
        <w:rPr>
          <w:rFonts w:ascii="Arial" w:hAnsi="Arial" w:cs="Arial"/>
          <w:sz w:val="20"/>
        </w:rPr>
        <w:t xml:space="preserve"> de Consejos Profesionales de Ciencias Económicas, aprobadas por el</w:t>
      </w:r>
    </w:p>
    <w:p w:rsidR="00A532EF" w:rsidRDefault="00A532EF">
      <w:pPr>
        <w:pStyle w:val="Sangradetextonormal"/>
        <w:ind w:left="1080" w:firstLine="0"/>
        <w:rPr>
          <w:rFonts w:ascii="Arial" w:hAnsi="Arial" w:cs="Arial"/>
          <w:sz w:val="20"/>
        </w:rPr>
      </w:pPr>
      <w:r>
        <w:rPr>
          <w:rFonts w:ascii="Arial" w:hAnsi="Arial" w:cs="Arial"/>
          <w:sz w:val="20"/>
        </w:rPr>
        <w:t xml:space="preserve">Consejo Profesional de Ciencias Económicas de </w:t>
      </w:r>
      <w:smartTag w:uri="urn:schemas-microsoft-com:office:smarttags" w:element="PersonName">
        <w:smartTagPr>
          <w:attr w:name="ProductID" w:val="la Ciudad Aut￳noma"/>
        </w:smartTagPr>
        <w:r>
          <w:rPr>
            <w:rFonts w:ascii="Arial" w:hAnsi="Arial" w:cs="Arial"/>
            <w:sz w:val="20"/>
          </w:rPr>
          <w:t>la Ciudad Autónoma</w:t>
        </w:r>
      </w:smartTag>
      <w:r>
        <w:rPr>
          <w:rFonts w:ascii="Arial" w:hAnsi="Arial" w:cs="Arial"/>
          <w:sz w:val="20"/>
        </w:rPr>
        <w:t xml:space="preserve"> de Buenos Aires, República Argentina.</w:t>
      </w:r>
    </w:p>
    <w:p w:rsidR="00A532EF" w:rsidRDefault="00A532EF">
      <w:pPr>
        <w:tabs>
          <w:tab w:val="left" w:pos="-1134"/>
        </w:tabs>
        <w:jc w:val="both"/>
        <w:rPr>
          <w:rFonts w:ascii="Arial" w:hAnsi="Arial" w:cs="Arial"/>
          <w:sz w:val="20"/>
          <w:szCs w:val="20"/>
        </w:rPr>
      </w:pPr>
    </w:p>
    <w:p w:rsidR="00A532EF" w:rsidRDefault="00A532EF">
      <w:pPr>
        <w:pStyle w:val="Sangra2detindependiente"/>
        <w:ind w:left="671" w:firstLine="0"/>
        <w:jc w:val="center"/>
        <w:rPr>
          <w:rFonts w:ascii="Arial" w:hAnsi="Arial" w:cs="Arial"/>
          <w:b/>
          <w:sz w:val="20"/>
        </w:rPr>
      </w:pPr>
      <w:r>
        <w:rPr>
          <w:rFonts w:ascii="Arial" w:hAnsi="Arial" w:cs="Arial"/>
          <w:sz w:val="20"/>
        </w:rPr>
        <w:br w:type="page"/>
      </w:r>
      <w:r>
        <w:rPr>
          <w:rFonts w:ascii="Arial" w:hAnsi="Arial" w:cs="Arial"/>
          <w:b/>
          <w:sz w:val="20"/>
        </w:rPr>
        <w:lastRenderedPageBreak/>
        <w:t>NOTAS A LOS ESTADOS CONTABLES (Continuación)</w:t>
      </w:r>
    </w:p>
    <w:p w:rsidR="00A532EF" w:rsidRDefault="00A532EF">
      <w:pPr>
        <w:tabs>
          <w:tab w:val="left" w:pos="-1134"/>
        </w:tabs>
        <w:ind w:left="284"/>
        <w:jc w:val="both"/>
        <w:rPr>
          <w:rFonts w:ascii="Arial" w:hAnsi="Arial" w:cs="Arial"/>
          <w:sz w:val="20"/>
          <w:szCs w:val="20"/>
          <w:lang w:val="es-AR"/>
        </w:rPr>
      </w:pPr>
    </w:p>
    <w:p w:rsidR="00A532EF" w:rsidRDefault="00A532EF">
      <w:pPr>
        <w:tabs>
          <w:tab w:val="left" w:pos="-1134"/>
        </w:tabs>
        <w:ind w:left="284"/>
        <w:jc w:val="both"/>
        <w:rPr>
          <w:rFonts w:ascii="Arial" w:hAnsi="Arial" w:cs="Arial"/>
          <w:sz w:val="20"/>
          <w:szCs w:val="20"/>
          <w:lang w:val="es-AR"/>
        </w:rPr>
      </w:pPr>
    </w:p>
    <w:p w:rsidR="00A532EF" w:rsidRDefault="00A532EF">
      <w:pPr>
        <w:tabs>
          <w:tab w:val="left" w:pos="-1134"/>
        </w:tabs>
        <w:ind w:left="284"/>
        <w:jc w:val="both"/>
        <w:rPr>
          <w:rFonts w:ascii="Arial" w:hAnsi="Arial" w:cs="Arial"/>
          <w:sz w:val="20"/>
          <w:szCs w:val="20"/>
          <w:lang w:val="es-AR"/>
        </w:rPr>
      </w:pPr>
    </w:p>
    <w:p w:rsidR="00A532EF" w:rsidRDefault="00A532EF">
      <w:pPr>
        <w:tabs>
          <w:tab w:val="left" w:pos="-1134"/>
        </w:tabs>
        <w:ind w:left="284"/>
        <w:jc w:val="both"/>
        <w:rPr>
          <w:rFonts w:ascii="Arial" w:hAnsi="Arial" w:cs="Arial"/>
          <w:sz w:val="20"/>
          <w:szCs w:val="20"/>
        </w:rPr>
      </w:pPr>
    </w:p>
    <w:p w:rsidR="00A532EF" w:rsidRPr="00407656" w:rsidRDefault="00A532EF">
      <w:pPr>
        <w:tabs>
          <w:tab w:val="left" w:pos="-1134"/>
        </w:tabs>
        <w:ind w:left="720"/>
        <w:jc w:val="both"/>
        <w:rPr>
          <w:rFonts w:ascii="Arial" w:hAnsi="Arial" w:cs="Arial"/>
          <w:b/>
          <w:sz w:val="20"/>
          <w:szCs w:val="20"/>
        </w:rPr>
      </w:pPr>
      <w:r w:rsidRPr="00407656">
        <w:rPr>
          <w:rFonts w:ascii="Arial" w:hAnsi="Arial" w:cs="Arial"/>
          <w:b/>
          <w:sz w:val="20"/>
          <w:szCs w:val="20"/>
        </w:rPr>
        <w:t>1.4.  Uso de estimaciones en la preparación de los estados contables</w:t>
      </w:r>
    </w:p>
    <w:p w:rsidR="00A532EF" w:rsidRDefault="00A532EF">
      <w:pPr>
        <w:tabs>
          <w:tab w:val="left" w:pos="-1134"/>
        </w:tabs>
        <w:jc w:val="both"/>
        <w:rPr>
          <w:rFonts w:ascii="Arial" w:hAnsi="Arial" w:cs="Arial"/>
          <w:sz w:val="20"/>
          <w:szCs w:val="20"/>
        </w:rPr>
      </w:pPr>
    </w:p>
    <w:p w:rsidR="00A532EF" w:rsidRDefault="00A532EF">
      <w:pPr>
        <w:pStyle w:val="Sangra3detindependiente"/>
        <w:ind w:left="1080"/>
      </w:pPr>
      <w:r>
        <w:t>La preparación de los estados contables, en conformidad con las normas contables profesionales vigentes, requiere que la Dirección del Ente efectúe estimaciones que afectan la determinación de los importes de los activos y pasivos y la revelación de contingencias a la fecha de presentación de los estados contables. Los resultados e importes reales pueden diferir de las estimaciones efectuadas para la preparación de los estados contables.</w:t>
      </w:r>
    </w:p>
    <w:p w:rsidR="00A532EF" w:rsidRDefault="00A532EF">
      <w:pPr>
        <w:pStyle w:val="Textoinfaud"/>
        <w:tabs>
          <w:tab w:val="clear" w:pos="720"/>
        </w:tabs>
        <w:spacing w:line="240" w:lineRule="auto"/>
        <w:rPr>
          <w:rFonts w:ascii="Arial" w:hAnsi="Arial" w:cs="Arial"/>
          <w:lang w:val="es-ES"/>
        </w:rPr>
      </w:pPr>
    </w:p>
    <w:p w:rsidR="00A532EF" w:rsidRDefault="00A532EF">
      <w:pPr>
        <w:pStyle w:val="Textoinfaud"/>
        <w:tabs>
          <w:tab w:val="clear" w:pos="720"/>
        </w:tabs>
        <w:spacing w:line="240" w:lineRule="auto"/>
        <w:rPr>
          <w:rFonts w:ascii="Arial" w:hAnsi="Arial" w:cs="Arial"/>
          <w:lang w:val="es-ES"/>
        </w:rPr>
      </w:pPr>
    </w:p>
    <w:p w:rsidR="00A532EF" w:rsidRDefault="00A532EF">
      <w:pPr>
        <w:jc w:val="both"/>
        <w:rPr>
          <w:rFonts w:ascii="Arial" w:hAnsi="Arial" w:cs="Arial"/>
          <w:sz w:val="20"/>
          <w:szCs w:val="20"/>
        </w:rPr>
      </w:pPr>
    </w:p>
    <w:p w:rsidR="00A532EF" w:rsidRPr="00407656" w:rsidRDefault="00A532EF">
      <w:pPr>
        <w:ind w:left="720"/>
        <w:jc w:val="both"/>
        <w:rPr>
          <w:rFonts w:ascii="Arial" w:hAnsi="Arial" w:cs="Arial"/>
          <w:b/>
          <w:sz w:val="20"/>
          <w:szCs w:val="20"/>
        </w:rPr>
      </w:pPr>
      <w:r w:rsidRPr="00407656">
        <w:rPr>
          <w:rFonts w:ascii="Arial" w:hAnsi="Arial" w:cs="Arial"/>
          <w:b/>
          <w:sz w:val="20"/>
          <w:szCs w:val="20"/>
        </w:rPr>
        <w:t>1.5. Criterios de valuación</w:t>
      </w:r>
    </w:p>
    <w:p w:rsidR="00A532EF" w:rsidRDefault="00A532EF">
      <w:pPr>
        <w:jc w:val="both"/>
        <w:rPr>
          <w:rFonts w:ascii="Arial" w:hAnsi="Arial" w:cs="Arial"/>
          <w:sz w:val="20"/>
          <w:szCs w:val="20"/>
        </w:rPr>
      </w:pPr>
    </w:p>
    <w:p w:rsidR="00A532EF" w:rsidRDefault="00A532EF">
      <w:pPr>
        <w:ind w:left="1080"/>
        <w:jc w:val="both"/>
        <w:rPr>
          <w:rFonts w:ascii="Arial" w:hAnsi="Arial" w:cs="Arial"/>
          <w:sz w:val="20"/>
          <w:szCs w:val="20"/>
        </w:rPr>
      </w:pPr>
      <w:r>
        <w:rPr>
          <w:rFonts w:ascii="Arial" w:hAnsi="Arial" w:cs="Arial"/>
          <w:sz w:val="20"/>
          <w:szCs w:val="20"/>
        </w:rPr>
        <w:t>Los principales criterios de valuación utilizados son los siguientes:</w:t>
      </w:r>
    </w:p>
    <w:p w:rsidR="00A532EF" w:rsidRDefault="00A532EF">
      <w:pPr>
        <w:ind w:left="1080"/>
        <w:jc w:val="both"/>
        <w:rPr>
          <w:rFonts w:ascii="Arial" w:hAnsi="Arial" w:cs="Arial"/>
          <w:sz w:val="20"/>
          <w:szCs w:val="20"/>
        </w:rPr>
      </w:pPr>
    </w:p>
    <w:p w:rsidR="00A532EF" w:rsidRDefault="00A532EF">
      <w:pPr>
        <w:ind w:left="1134"/>
        <w:jc w:val="both"/>
        <w:rPr>
          <w:rFonts w:ascii="Arial" w:hAnsi="Arial" w:cs="Arial"/>
          <w:bCs/>
          <w:sz w:val="20"/>
        </w:rPr>
      </w:pPr>
      <w:r>
        <w:rPr>
          <w:rFonts w:ascii="Arial" w:hAnsi="Arial" w:cs="Arial"/>
          <w:sz w:val="20"/>
          <w:szCs w:val="20"/>
        </w:rPr>
        <w:t xml:space="preserve"> </w:t>
      </w:r>
      <w:r>
        <w:rPr>
          <w:rFonts w:ascii="Arial" w:hAnsi="Arial" w:cs="Arial"/>
          <w:bCs/>
          <w:sz w:val="20"/>
        </w:rPr>
        <w:t>a) Caja y Bancos:</w:t>
      </w:r>
    </w:p>
    <w:p w:rsidR="00A532EF" w:rsidRDefault="00A532EF">
      <w:pPr>
        <w:pStyle w:val="Sangra3detindependiente"/>
        <w:ind w:left="1361"/>
      </w:pPr>
      <w:r>
        <w:t>A su valor nominal.</w:t>
      </w:r>
    </w:p>
    <w:p w:rsidR="00A532EF" w:rsidRDefault="00A532EF">
      <w:pPr>
        <w:pStyle w:val="Sangra2detindependiente"/>
        <w:rPr>
          <w:rFonts w:ascii="Arial" w:hAnsi="Arial" w:cs="Arial"/>
          <w:sz w:val="20"/>
        </w:rPr>
      </w:pPr>
    </w:p>
    <w:p w:rsidR="00A532EF" w:rsidRDefault="00A532EF">
      <w:pPr>
        <w:pStyle w:val="Sangra2detindependiente"/>
        <w:ind w:left="1134"/>
        <w:rPr>
          <w:rFonts w:ascii="Arial" w:hAnsi="Arial" w:cs="Arial"/>
          <w:b/>
          <w:sz w:val="20"/>
        </w:rPr>
      </w:pPr>
    </w:p>
    <w:p w:rsidR="00A532EF" w:rsidRDefault="00A532EF">
      <w:pPr>
        <w:tabs>
          <w:tab w:val="left" w:pos="1418"/>
        </w:tabs>
        <w:ind w:left="1134"/>
        <w:jc w:val="both"/>
        <w:rPr>
          <w:rFonts w:ascii="Arial" w:hAnsi="Arial" w:cs="Arial"/>
          <w:bCs/>
          <w:sz w:val="20"/>
        </w:rPr>
      </w:pPr>
      <w:r>
        <w:rPr>
          <w:rFonts w:ascii="Arial" w:hAnsi="Arial" w:cs="Arial"/>
          <w:bCs/>
          <w:sz w:val="20"/>
        </w:rPr>
        <w:t>b) Cuentas de Resultado:</w:t>
      </w:r>
    </w:p>
    <w:p w:rsidR="00A532EF" w:rsidRDefault="00A532EF">
      <w:pPr>
        <w:pStyle w:val="Sangra3detindependiente"/>
        <w:ind w:left="1361"/>
      </w:pPr>
      <w:r>
        <w:t>Han sido valuadas a sus valores nominales.</w:t>
      </w:r>
    </w:p>
    <w:p w:rsidR="00A532EF" w:rsidRDefault="00A532EF">
      <w:pPr>
        <w:pStyle w:val="Sangra3detindependiente"/>
        <w:tabs>
          <w:tab w:val="left" w:pos="8080"/>
        </w:tabs>
        <w:ind w:left="1418"/>
      </w:pPr>
    </w:p>
    <w:p w:rsidR="00A532EF" w:rsidRDefault="00A532EF">
      <w:pPr>
        <w:ind w:left="1134"/>
        <w:jc w:val="both"/>
        <w:rPr>
          <w:rFonts w:ascii="Arial" w:hAnsi="Arial" w:cs="Arial"/>
          <w:b/>
        </w:rPr>
      </w:pPr>
    </w:p>
    <w:p w:rsidR="00A532EF" w:rsidRDefault="00A532EF">
      <w:pPr>
        <w:ind w:left="1134"/>
        <w:jc w:val="both"/>
        <w:rPr>
          <w:rFonts w:ascii="Arial" w:hAnsi="Arial" w:cs="Arial"/>
          <w:bCs/>
          <w:sz w:val="20"/>
        </w:rPr>
      </w:pPr>
      <w:r>
        <w:rPr>
          <w:rFonts w:ascii="Arial" w:hAnsi="Arial" w:cs="Arial"/>
          <w:bCs/>
          <w:sz w:val="20"/>
        </w:rPr>
        <w:t>c) Estado de Flujo de Efectivo:</w:t>
      </w:r>
    </w:p>
    <w:p w:rsidR="00A532EF" w:rsidRDefault="00A532EF">
      <w:pPr>
        <w:pStyle w:val="Sangra3detindependiente"/>
        <w:ind w:left="1361"/>
      </w:pPr>
      <w:r>
        <w:t>Se considera efectivo al saldo del rubro Caja y Bancos.</w:t>
      </w:r>
    </w:p>
    <w:p w:rsidR="00A532EF" w:rsidRDefault="00A532EF">
      <w:pPr>
        <w:ind w:left="1260"/>
        <w:jc w:val="both"/>
        <w:rPr>
          <w:rFonts w:ascii="Arial" w:hAnsi="Arial" w:cs="Arial"/>
          <w:sz w:val="20"/>
          <w:szCs w:val="20"/>
        </w:rPr>
      </w:pPr>
    </w:p>
    <w:p w:rsidR="00A532EF" w:rsidRDefault="00A532EF">
      <w:pPr>
        <w:jc w:val="both"/>
        <w:rPr>
          <w:rFonts w:ascii="Arial" w:hAnsi="Arial" w:cs="Arial"/>
          <w:sz w:val="20"/>
          <w:szCs w:val="20"/>
        </w:rPr>
      </w:pPr>
    </w:p>
    <w:p w:rsidR="00A532EF" w:rsidRDefault="00A532EF">
      <w:pPr>
        <w:jc w:val="both"/>
        <w:rPr>
          <w:rFonts w:ascii="Arial" w:hAnsi="Arial" w:cs="Arial"/>
          <w:sz w:val="20"/>
          <w:szCs w:val="20"/>
        </w:rPr>
      </w:pPr>
    </w:p>
    <w:p w:rsidR="00A532EF" w:rsidRDefault="00A532EF">
      <w:pPr>
        <w:jc w:val="both"/>
        <w:rPr>
          <w:rFonts w:ascii="Arial" w:hAnsi="Arial" w:cs="Arial"/>
          <w:sz w:val="20"/>
          <w:szCs w:val="20"/>
        </w:rPr>
      </w:pPr>
    </w:p>
    <w:p w:rsidR="00A532EF" w:rsidRDefault="00A532EF">
      <w:pPr>
        <w:jc w:val="both"/>
        <w:rPr>
          <w:rFonts w:ascii="Arial" w:hAnsi="Arial" w:cs="Arial"/>
          <w:sz w:val="20"/>
          <w:szCs w:val="20"/>
        </w:rPr>
      </w:pPr>
    </w:p>
    <w:p w:rsidR="00A532EF" w:rsidRDefault="00A532EF">
      <w:pPr>
        <w:tabs>
          <w:tab w:val="left" w:pos="709"/>
        </w:tabs>
        <w:rPr>
          <w:rFonts w:ascii="Arial" w:hAnsi="Arial" w:cs="Arial"/>
          <w:b/>
          <w:sz w:val="20"/>
          <w:szCs w:val="20"/>
          <w:u w:val="single"/>
        </w:rPr>
      </w:pPr>
    </w:p>
    <w:p w:rsidR="00A532EF" w:rsidRDefault="00A532EF">
      <w:pPr>
        <w:tabs>
          <w:tab w:val="left" w:pos="709"/>
        </w:tabs>
        <w:ind w:left="284" w:firstLine="6"/>
        <w:jc w:val="center"/>
        <w:rPr>
          <w:rFonts w:ascii="Arial" w:hAnsi="Arial"/>
          <w:b/>
          <w:sz w:val="20"/>
          <w:szCs w:val="20"/>
        </w:rPr>
      </w:pPr>
      <w:r>
        <w:rPr>
          <w:rFonts w:ascii="Arial" w:hAnsi="Arial" w:cs="Arial"/>
          <w:b/>
          <w:sz w:val="20"/>
          <w:szCs w:val="20"/>
          <w:u w:val="single"/>
        </w:rPr>
        <w:br w:type="page"/>
      </w:r>
      <w:r>
        <w:rPr>
          <w:rFonts w:ascii="Arial" w:hAnsi="Arial"/>
          <w:b/>
          <w:sz w:val="20"/>
          <w:szCs w:val="20"/>
        </w:rPr>
        <w:lastRenderedPageBreak/>
        <w:t>NOTAS A LOS ESTADOS CONTABLES (Continuación)</w:t>
      </w:r>
    </w:p>
    <w:p w:rsidR="00A532EF" w:rsidRDefault="00A532EF">
      <w:pPr>
        <w:tabs>
          <w:tab w:val="left" w:pos="709"/>
        </w:tabs>
        <w:ind w:left="284" w:firstLine="6"/>
        <w:jc w:val="both"/>
        <w:rPr>
          <w:rFonts w:ascii="Arial" w:hAnsi="Arial"/>
          <w:b/>
          <w:sz w:val="20"/>
          <w:szCs w:val="20"/>
          <w:u w:val="single"/>
        </w:rPr>
      </w:pPr>
    </w:p>
    <w:p w:rsidR="00A532EF" w:rsidRDefault="00A532EF">
      <w:pPr>
        <w:tabs>
          <w:tab w:val="left" w:pos="709"/>
        </w:tabs>
        <w:ind w:left="284" w:firstLine="6"/>
        <w:jc w:val="both"/>
        <w:rPr>
          <w:rFonts w:ascii="Arial" w:hAnsi="Arial"/>
          <w:sz w:val="20"/>
          <w:szCs w:val="20"/>
          <w:u w:val="single"/>
        </w:rPr>
      </w:pPr>
    </w:p>
    <w:p w:rsidR="00A532EF" w:rsidRDefault="00A532EF">
      <w:pPr>
        <w:tabs>
          <w:tab w:val="left" w:pos="709"/>
        </w:tabs>
        <w:jc w:val="both"/>
        <w:rPr>
          <w:rFonts w:ascii="Arial" w:hAnsi="Arial"/>
          <w:b/>
          <w:sz w:val="20"/>
          <w:szCs w:val="20"/>
        </w:rPr>
      </w:pPr>
    </w:p>
    <w:p w:rsidR="00A532EF" w:rsidRDefault="00A532EF">
      <w:pPr>
        <w:tabs>
          <w:tab w:val="left" w:pos="709"/>
        </w:tabs>
        <w:jc w:val="both"/>
        <w:rPr>
          <w:rFonts w:ascii="Arial" w:hAnsi="Arial"/>
          <w:b/>
          <w:sz w:val="20"/>
          <w:szCs w:val="20"/>
        </w:rPr>
      </w:pPr>
      <w:r>
        <w:rPr>
          <w:rFonts w:ascii="Arial" w:hAnsi="Arial"/>
          <w:b/>
          <w:sz w:val="20"/>
          <w:szCs w:val="20"/>
        </w:rPr>
        <w:t>Nota 2: Composición de los Estados Contables</w:t>
      </w:r>
    </w:p>
    <w:p w:rsidR="00A532EF" w:rsidRDefault="00A532EF">
      <w:pPr>
        <w:ind w:left="1152" w:hanging="720"/>
        <w:jc w:val="both"/>
        <w:rPr>
          <w:rFonts w:ascii="Arial" w:hAnsi="Arial"/>
          <w:sz w:val="20"/>
          <w:szCs w:val="20"/>
        </w:rPr>
      </w:pPr>
    </w:p>
    <w:p w:rsidR="00A532EF" w:rsidRDefault="00A532EF">
      <w:pPr>
        <w:ind w:left="1152" w:hanging="720"/>
        <w:jc w:val="both"/>
        <w:rPr>
          <w:rFonts w:ascii="Arial" w:hAnsi="Arial"/>
          <w:sz w:val="20"/>
          <w:szCs w:val="20"/>
        </w:rPr>
      </w:pPr>
    </w:p>
    <w:p w:rsidR="00A532EF" w:rsidRDefault="00A532EF">
      <w:pPr>
        <w:ind w:left="720"/>
        <w:rPr>
          <w:rFonts w:ascii="Arial" w:hAnsi="Arial"/>
          <w:sz w:val="20"/>
          <w:szCs w:val="20"/>
        </w:rPr>
      </w:pPr>
      <w:r>
        <w:rPr>
          <w:rFonts w:ascii="Arial" w:hAnsi="Arial"/>
          <w:sz w:val="20"/>
          <w:szCs w:val="20"/>
        </w:rPr>
        <w:t>Los principales conceptos que integran los rubros globalmente expuestos en el Balance son los siguientes:</w:t>
      </w:r>
    </w:p>
    <w:p w:rsidR="00B61DDD" w:rsidRDefault="00B61DDD">
      <w:pPr>
        <w:ind w:left="720"/>
        <w:rPr>
          <w:rFonts w:ascii="Arial" w:hAnsi="Arial"/>
          <w:sz w:val="20"/>
          <w:szCs w:val="20"/>
        </w:rPr>
      </w:pPr>
    </w:p>
    <w:p w:rsidR="00B61DDD" w:rsidRDefault="00B61DDD">
      <w:pPr>
        <w:ind w:left="720"/>
        <w:rPr>
          <w:rFonts w:ascii="Arial" w:hAnsi="Arial"/>
          <w:sz w:val="20"/>
          <w:szCs w:val="20"/>
        </w:rPr>
      </w:pPr>
    </w:p>
    <w:p w:rsidR="00A532EF" w:rsidRDefault="00A532EF">
      <w:pPr>
        <w:rPr>
          <w:rFonts w:ascii="Arial" w:hAnsi="Arial"/>
          <w:sz w:val="20"/>
          <w:szCs w:val="20"/>
        </w:rPr>
      </w:pPr>
    </w:p>
    <w:p w:rsidR="00A532EF" w:rsidRDefault="00A532EF">
      <w:pPr>
        <w:rPr>
          <w:rFonts w:ascii="Arial" w:hAnsi="Arial"/>
          <w:sz w:val="20"/>
          <w:szCs w:val="20"/>
        </w:rPr>
      </w:pPr>
    </w:p>
    <w:p w:rsidR="00A532EF" w:rsidRDefault="00407656">
      <w:pPr>
        <w:rPr>
          <w:rFonts w:ascii="Arial" w:hAnsi="Arial"/>
          <w:sz w:val="20"/>
          <w:szCs w:val="20"/>
        </w:rPr>
      </w:pPr>
      <w:r>
        <w:rPr>
          <w:rFonts w:ascii="Arial" w:hAnsi="Arial"/>
          <w:sz w:val="20"/>
          <w:szCs w:val="20"/>
        </w:rPr>
        <w:pict>
          <v:shape id="_x0000_i1059" type="#_x0000_t75" style="width:437.25pt;height:371.4pt">
            <v:imagedata r:id="rId19" o:title=""/>
          </v:shape>
        </w:pict>
      </w:r>
    </w:p>
    <w:p w:rsidR="00A532EF" w:rsidRDefault="00A532EF">
      <w:pPr>
        <w:rPr>
          <w:rFonts w:ascii="Arial" w:hAnsi="Arial"/>
          <w:sz w:val="20"/>
          <w:szCs w:val="20"/>
        </w:rPr>
      </w:pPr>
    </w:p>
    <w:p w:rsidR="00A532EF" w:rsidRDefault="00A532EF">
      <w:pPr>
        <w:rPr>
          <w:rFonts w:ascii="Arial" w:hAnsi="Arial"/>
          <w:sz w:val="20"/>
          <w:szCs w:val="20"/>
        </w:rPr>
      </w:pPr>
    </w:p>
    <w:p w:rsidR="00A532EF" w:rsidRDefault="00A532EF">
      <w:pPr>
        <w:rPr>
          <w:rFonts w:ascii="Arial" w:hAnsi="Arial"/>
          <w:sz w:val="20"/>
          <w:szCs w:val="20"/>
        </w:rPr>
      </w:pPr>
    </w:p>
    <w:p w:rsidR="00A532EF" w:rsidRDefault="00A532EF">
      <w:pPr>
        <w:jc w:val="center"/>
        <w:rPr>
          <w:rFonts w:ascii="Arial" w:hAnsi="Arial"/>
          <w:b/>
          <w:sz w:val="20"/>
          <w:szCs w:val="20"/>
        </w:rPr>
      </w:pPr>
      <w:r>
        <w:rPr>
          <w:rFonts w:ascii="Arial" w:hAnsi="Arial"/>
          <w:sz w:val="20"/>
          <w:szCs w:val="20"/>
        </w:rPr>
        <w:br w:type="page"/>
      </w:r>
      <w:r>
        <w:rPr>
          <w:rFonts w:ascii="Arial" w:hAnsi="Arial"/>
          <w:b/>
          <w:sz w:val="20"/>
          <w:szCs w:val="20"/>
        </w:rPr>
        <w:lastRenderedPageBreak/>
        <w:t>NOTAS A LOS ESTADOS CONTABLES (Continuación)</w:t>
      </w:r>
    </w:p>
    <w:p w:rsidR="00A532EF" w:rsidRDefault="00A532EF">
      <w:pPr>
        <w:rPr>
          <w:rFonts w:ascii="Arial" w:hAnsi="Arial"/>
          <w:sz w:val="20"/>
          <w:szCs w:val="20"/>
        </w:rPr>
      </w:pPr>
    </w:p>
    <w:p w:rsidR="00A532EF" w:rsidRDefault="00A532EF">
      <w:pPr>
        <w:ind w:left="284" w:hanging="284"/>
        <w:jc w:val="both"/>
        <w:rPr>
          <w:rFonts w:ascii="Arial" w:hAnsi="Arial"/>
          <w:b/>
          <w:sz w:val="20"/>
          <w:szCs w:val="20"/>
        </w:rPr>
      </w:pPr>
      <w:r>
        <w:rPr>
          <w:rFonts w:ascii="Arial" w:hAnsi="Arial"/>
          <w:b/>
          <w:sz w:val="20"/>
          <w:szCs w:val="20"/>
        </w:rPr>
        <w:t>Nota 3: Antecedentes y objeto del Contrato</w:t>
      </w:r>
    </w:p>
    <w:p w:rsidR="00A532EF" w:rsidRDefault="00A532EF">
      <w:pPr>
        <w:ind w:left="284" w:hanging="284"/>
        <w:jc w:val="both"/>
        <w:rPr>
          <w:rFonts w:ascii="Arial" w:hAnsi="Arial"/>
          <w:sz w:val="20"/>
          <w:szCs w:val="20"/>
        </w:rPr>
      </w:pPr>
    </w:p>
    <w:p w:rsidR="00A532EF" w:rsidRDefault="00A532EF">
      <w:pPr>
        <w:ind w:left="720"/>
        <w:jc w:val="both"/>
        <w:rPr>
          <w:rFonts w:ascii="Arial" w:hAnsi="Arial"/>
          <w:sz w:val="20"/>
          <w:szCs w:val="20"/>
        </w:rPr>
      </w:pPr>
      <w:r>
        <w:rPr>
          <w:rFonts w:ascii="Arial" w:hAnsi="Arial"/>
          <w:sz w:val="20"/>
          <w:szCs w:val="20"/>
        </w:rPr>
        <w:t xml:space="preserve">Con fecha 11 de abril de 1995 el Ministerio de Economía y Obras y Servicios Públicos suscribió </w:t>
      </w:r>
      <w:smartTag w:uri="urn:schemas-microsoft-com:office:smarttags" w:element="PersonName">
        <w:smartTagPr>
          <w:attr w:name="ProductID" w:val="la Resoluci￳n N"/>
        </w:smartTagPr>
        <w:r>
          <w:rPr>
            <w:rFonts w:ascii="Arial" w:hAnsi="Arial"/>
            <w:sz w:val="20"/>
            <w:szCs w:val="20"/>
          </w:rPr>
          <w:t>la Resolución N</w:t>
        </w:r>
      </w:smartTag>
      <w:r>
        <w:rPr>
          <w:rFonts w:ascii="Arial" w:hAnsi="Arial"/>
          <w:sz w:val="20"/>
          <w:szCs w:val="20"/>
        </w:rPr>
        <w:t xml:space="preserve">º 516/95 adjudicando la construcción de la obra "Acueducto Lago </w:t>
      </w:r>
      <w:proofErr w:type="spellStart"/>
      <w:r>
        <w:rPr>
          <w:rFonts w:ascii="Arial" w:hAnsi="Arial"/>
          <w:sz w:val="20"/>
          <w:szCs w:val="20"/>
        </w:rPr>
        <w:t>Munsters</w:t>
      </w:r>
      <w:proofErr w:type="spellEnd"/>
      <w:r>
        <w:rPr>
          <w:rFonts w:ascii="Arial" w:hAnsi="Arial"/>
          <w:sz w:val="20"/>
          <w:szCs w:val="20"/>
        </w:rPr>
        <w:t xml:space="preserve"> - Sarmiento - Comodoro Rivadavia - Rada </w:t>
      </w:r>
      <w:proofErr w:type="spellStart"/>
      <w:r>
        <w:rPr>
          <w:rFonts w:ascii="Arial" w:hAnsi="Arial"/>
          <w:sz w:val="20"/>
          <w:szCs w:val="20"/>
        </w:rPr>
        <w:t>Tilly</w:t>
      </w:r>
      <w:proofErr w:type="spellEnd"/>
      <w:r>
        <w:rPr>
          <w:rFonts w:ascii="Arial" w:hAnsi="Arial"/>
          <w:sz w:val="20"/>
          <w:szCs w:val="20"/>
        </w:rPr>
        <w:t xml:space="preserve"> - Caleta Olivia" en las provincias de Chubut y Santa Cruz a DRAGADOS Y CONSTRUCCIONES S.A. - DYCASA - DRAGADOS Y CONSTRUCCIONES ARGENTINA S.A. - UNION TRANSITORIA DE EMPRESAS.</w:t>
      </w:r>
    </w:p>
    <w:p w:rsidR="00A532EF" w:rsidRDefault="00A532EF">
      <w:pPr>
        <w:ind w:left="720" w:hanging="720"/>
        <w:jc w:val="both"/>
        <w:rPr>
          <w:rFonts w:ascii="Arial" w:hAnsi="Arial"/>
          <w:sz w:val="20"/>
          <w:szCs w:val="20"/>
        </w:rPr>
      </w:pPr>
      <w:r>
        <w:rPr>
          <w:rFonts w:ascii="Arial" w:hAnsi="Arial"/>
          <w:sz w:val="20"/>
          <w:szCs w:val="20"/>
        </w:rPr>
        <w:tab/>
      </w:r>
    </w:p>
    <w:p w:rsidR="00A532EF" w:rsidRDefault="00A532EF">
      <w:pPr>
        <w:ind w:left="720"/>
        <w:jc w:val="both"/>
        <w:rPr>
          <w:rFonts w:ascii="Arial" w:hAnsi="Arial"/>
          <w:sz w:val="20"/>
          <w:szCs w:val="20"/>
        </w:rPr>
      </w:pPr>
      <w:r>
        <w:rPr>
          <w:rFonts w:ascii="Arial" w:hAnsi="Arial"/>
          <w:sz w:val="20"/>
          <w:szCs w:val="20"/>
        </w:rPr>
        <w:t>Los trabajos relacionados con el objeto que dio origen a la UTE, se encuentran totalmente finalizados, según Acta de Recepción Definitiva de la obra del 19 de enero de 2001.</w:t>
      </w:r>
    </w:p>
    <w:p w:rsidR="00A532EF" w:rsidRDefault="00A532EF">
      <w:pPr>
        <w:ind w:left="720"/>
        <w:jc w:val="both"/>
        <w:rPr>
          <w:rFonts w:ascii="Arial" w:hAnsi="Arial"/>
          <w:sz w:val="20"/>
          <w:szCs w:val="20"/>
        </w:rPr>
      </w:pPr>
    </w:p>
    <w:p w:rsidR="00A532EF" w:rsidRDefault="00A532EF">
      <w:pPr>
        <w:ind w:left="720"/>
        <w:jc w:val="both"/>
        <w:rPr>
          <w:rFonts w:ascii="Arial" w:hAnsi="Arial"/>
          <w:sz w:val="20"/>
          <w:szCs w:val="20"/>
        </w:rPr>
      </w:pPr>
      <w:r>
        <w:rPr>
          <w:rFonts w:ascii="Arial" w:hAnsi="Arial"/>
          <w:sz w:val="20"/>
          <w:szCs w:val="20"/>
        </w:rPr>
        <w:t xml:space="preserve">Con fecha 13 de octubre de </w:t>
      </w:r>
      <w:smartTag w:uri="urn:schemas-microsoft-com:office:smarttags" w:element="metricconverter">
        <w:smartTagPr>
          <w:attr w:name="ProductID" w:val="2009 ha"/>
        </w:smartTagPr>
        <w:r>
          <w:rPr>
            <w:rFonts w:ascii="Arial" w:hAnsi="Arial"/>
            <w:sz w:val="20"/>
            <w:szCs w:val="20"/>
          </w:rPr>
          <w:t>2009 ha</w:t>
        </w:r>
      </w:smartTag>
      <w:r>
        <w:rPr>
          <w:rFonts w:ascii="Arial" w:hAnsi="Arial"/>
          <w:sz w:val="20"/>
          <w:szCs w:val="20"/>
        </w:rPr>
        <w:t xml:space="preserve"> quedado inscripto en </w:t>
      </w:r>
      <w:smartTag w:uri="urn:schemas-microsoft-com:office:smarttags" w:element="PersonName">
        <w:smartTagPr>
          <w:attr w:name="ProductID" w:val="la Inspecci￳n General"/>
        </w:smartTagPr>
        <w:r>
          <w:rPr>
            <w:rFonts w:ascii="Arial" w:hAnsi="Arial"/>
            <w:sz w:val="20"/>
            <w:szCs w:val="20"/>
          </w:rPr>
          <w:t>la Inspección General</w:t>
        </w:r>
      </w:smartTag>
      <w:r>
        <w:rPr>
          <w:rFonts w:ascii="Arial" w:hAnsi="Arial"/>
          <w:sz w:val="20"/>
          <w:szCs w:val="20"/>
        </w:rPr>
        <w:t xml:space="preserve"> de Justicia el Convenio de Readecuación de artículos correspondiente al Contrato de Unión Transitoria de Empresas. En el mismo se modifica el artículo 3 pasando la UTE a denominarse de la siguiente forma “DRAGADOS S.A. – DYCASA S.A. – CONTROL Y MONTAJES INDUSTRIALES CYMI S,A. – UNION TRANSITORIA  DE EMPRESAS –“</w:t>
      </w:r>
    </w:p>
    <w:p w:rsidR="00A532EF" w:rsidRDefault="00A532EF">
      <w:pPr>
        <w:ind w:left="720"/>
        <w:jc w:val="both"/>
        <w:rPr>
          <w:rFonts w:ascii="Arial" w:hAnsi="Arial"/>
          <w:sz w:val="20"/>
          <w:szCs w:val="20"/>
        </w:rPr>
      </w:pPr>
    </w:p>
    <w:p w:rsidR="00A532EF" w:rsidRDefault="00A532EF">
      <w:pPr>
        <w:jc w:val="both"/>
        <w:rPr>
          <w:rFonts w:ascii="Arial" w:hAnsi="Arial"/>
          <w:b/>
          <w:sz w:val="20"/>
          <w:szCs w:val="20"/>
        </w:rPr>
      </w:pPr>
    </w:p>
    <w:p w:rsidR="00A532EF" w:rsidRDefault="00A532EF">
      <w:pPr>
        <w:jc w:val="both"/>
        <w:rPr>
          <w:rFonts w:ascii="Arial" w:hAnsi="Arial"/>
          <w:b/>
          <w:sz w:val="20"/>
          <w:szCs w:val="20"/>
        </w:rPr>
      </w:pPr>
      <w:r>
        <w:rPr>
          <w:rFonts w:ascii="Arial" w:hAnsi="Arial"/>
          <w:b/>
          <w:sz w:val="20"/>
          <w:szCs w:val="20"/>
        </w:rPr>
        <w:t>Nota 4: Participaciones en la U.T.E.</w:t>
      </w:r>
    </w:p>
    <w:p w:rsidR="00A532EF" w:rsidRDefault="00A532EF">
      <w:pPr>
        <w:jc w:val="both"/>
        <w:rPr>
          <w:rFonts w:ascii="Arial" w:hAnsi="Arial"/>
          <w:sz w:val="20"/>
          <w:szCs w:val="20"/>
        </w:rPr>
      </w:pPr>
    </w:p>
    <w:p w:rsidR="00A532EF" w:rsidRDefault="00A532EF">
      <w:pPr>
        <w:pStyle w:val="Sangra3detindependiente"/>
        <w:rPr>
          <w:rFonts w:cs="Times New Roman"/>
        </w:rPr>
      </w:pPr>
      <w:r>
        <w:rPr>
          <w:rFonts w:cs="Times New Roman"/>
        </w:rPr>
        <w:t xml:space="preserve">Con fecha 15 de diciembre de 1997 la Secretaría de Obras Públicas emitió </w:t>
      </w:r>
      <w:smartTag w:uri="urn:schemas-microsoft-com:office:smarttags" w:element="PersonName">
        <w:smartTagPr>
          <w:attr w:name="ProductID" w:val="la Resoluci￳n N"/>
        </w:smartTagPr>
        <w:r>
          <w:rPr>
            <w:rFonts w:cs="Times New Roman"/>
          </w:rPr>
          <w:t>la Resolución N</w:t>
        </w:r>
      </w:smartTag>
      <w:r>
        <w:rPr>
          <w:rFonts w:cs="Times New Roman"/>
        </w:rPr>
        <w:t xml:space="preserve">º  129/97 por la cual se autorizó al socio DRAGADOS Y CONSTRUCCIONES S.A. a ceder el 15% de su participación en el Contrato de Obra a </w:t>
      </w:r>
      <w:smartTag w:uri="urn:schemas-microsoft-com:office:smarttags" w:element="PersonName">
        <w:smartTagPr>
          <w:attr w:name="ProductID" w:val="la empresa CONTROL Y"/>
        </w:smartTagPr>
        <w:r>
          <w:rPr>
            <w:rFonts w:cs="Times New Roman"/>
          </w:rPr>
          <w:t>la empresa CONTROL Y</w:t>
        </w:r>
      </w:smartTag>
      <w:r>
        <w:rPr>
          <w:rFonts w:cs="Times New Roman"/>
        </w:rPr>
        <w:t xml:space="preserve"> MONTAJES INDUSTRIALES – CYMI  Sociedad Anónima. La modificación del Contrato constitutivo de </w:t>
      </w:r>
      <w:smartTag w:uri="urn:schemas-microsoft-com:office:smarttags" w:element="PersonName">
        <w:smartTagPr>
          <w:attr w:name="ProductID" w:val="la Uni￳n Transitoria"/>
        </w:smartTagPr>
        <w:r>
          <w:rPr>
            <w:rFonts w:cs="Times New Roman"/>
          </w:rPr>
          <w:t>la Unión Transitoria</w:t>
        </w:r>
      </w:smartTag>
      <w:r>
        <w:rPr>
          <w:rFonts w:cs="Times New Roman"/>
        </w:rPr>
        <w:t xml:space="preserve"> de Empresas fue inscripta en </w:t>
      </w:r>
      <w:smartTag w:uri="urn:schemas-microsoft-com:office:smarttags" w:element="PersonName">
        <w:smartTagPr>
          <w:attr w:name="ProductID" w:val="la Inspecci￳n General"/>
        </w:smartTagPr>
        <w:r>
          <w:rPr>
            <w:rFonts w:cs="Times New Roman"/>
          </w:rPr>
          <w:t>la Inspección General</w:t>
        </w:r>
      </w:smartTag>
      <w:r>
        <w:rPr>
          <w:rFonts w:cs="Times New Roman"/>
        </w:rPr>
        <w:t xml:space="preserve"> de Justicia el 14 de enero de 1998.</w:t>
      </w:r>
    </w:p>
    <w:p w:rsidR="00A532EF" w:rsidRDefault="00A532EF">
      <w:pPr>
        <w:pStyle w:val="Sangra3detindependiente"/>
        <w:rPr>
          <w:rFonts w:cs="Times New Roman"/>
        </w:rPr>
      </w:pPr>
    </w:p>
    <w:p w:rsidR="00A532EF" w:rsidRDefault="00A532EF">
      <w:pPr>
        <w:jc w:val="both"/>
        <w:rPr>
          <w:rFonts w:ascii="Arial" w:hAnsi="Arial"/>
          <w:b/>
          <w:sz w:val="20"/>
          <w:szCs w:val="20"/>
        </w:rPr>
      </w:pPr>
    </w:p>
    <w:p w:rsidR="00A532EF" w:rsidRDefault="00A532EF">
      <w:pPr>
        <w:jc w:val="both"/>
        <w:rPr>
          <w:rFonts w:ascii="Arial" w:hAnsi="Arial"/>
          <w:sz w:val="20"/>
          <w:szCs w:val="20"/>
        </w:rPr>
      </w:pPr>
    </w:p>
    <w:p w:rsidR="00A532EF" w:rsidRDefault="00A532EF">
      <w:pPr>
        <w:jc w:val="both"/>
        <w:rPr>
          <w:rFonts w:ascii="Arial" w:hAnsi="Arial"/>
          <w:b/>
          <w:sz w:val="20"/>
          <w:szCs w:val="20"/>
          <w:u w:val="single"/>
        </w:rPr>
      </w:pPr>
      <w:r>
        <w:rPr>
          <w:rFonts w:ascii="Arial" w:hAnsi="Arial"/>
          <w:b/>
          <w:sz w:val="20"/>
          <w:szCs w:val="20"/>
        </w:rPr>
        <w:t>Nota 5:</w:t>
      </w:r>
      <w:r>
        <w:rPr>
          <w:rFonts w:ascii="Arial" w:hAnsi="Arial"/>
          <w:b/>
          <w:sz w:val="20"/>
          <w:szCs w:val="20"/>
          <w:u w:val="single"/>
        </w:rPr>
        <w:t xml:space="preserve"> Saldos con las sociedades participantes</w:t>
      </w:r>
    </w:p>
    <w:p w:rsidR="00A532EF" w:rsidRDefault="00A532EF">
      <w:pPr>
        <w:jc w:val="both"/>
        <w:rPr>
          <w:rFonts w:ascii="Arial" w:hAnsi="Arial"/>
          <w:b/>
          <w:sz w:val="20"/>
          <w:szCs w:val="20"/>
          <w:u w:val="single"/>
        </w:rPr>
      </w:pPr>
    </w:p>
    <w:p w:rsidR="00A532EF" w:rsidRDefault="00A532EF">
      <w:pPr>
        <w:ind w:left="720"/>
        <w:jc w:val="both"/>
        <w:rPr>
          <w:rFonts w:ascii="Arial" w:hAnsi="Arial"/>
          <w:sz w:val="20"/>
          <w:szCs w:val="20"/>
        </w:rPr>
      </w:pPr>
      <w:r>
        <w:rPr>
          <w:rFonts w:ascii="Arial" w:hAnsi="Arial"/>
          <w:sz w:val="20"/>
          <w:szCs w:val="20"/>
        </w:rPr>
        <w:t>Los saldos con las sociedades participantes son las siguientes:</w:t>
      </w:r>
    </w:p>
    <w:p w:rsidR="00A532EF" w:rsidRDefault="00A532EF">
      <w:pPr>
        <w:jc w:val="both"/>
        <w:rPr>
          <w:rFonts w:ascii="Arial" w:hAnsi="Arial"/>
          <w:sz w:val="20"/>
          <w:szCs w:val="20"/>
        </w:rPr>
      </w:pPr>
    </w:p>
    <w:p w:rsidR="00A532EF" w:rsidRDefault="008A5FCB">
      <w:pPr>
        <w:ind w:left="720"/>
        <w:jc w:val="both"/>
      </w:pPr>
      <w:r>
        <w:rPr>
          <w:rFonts w:ascii="Arial" w:hAnsi="Arial"/>
          <w:noProof/>
          <w:sz w:val="20"/>
          <w:szCs w:val="20"/>
          <w:lang w:val="es-AR" w:eastAsia="es-AR"/>
        </w:rPr>
        <w:drawing>
          <wp:anchor distT="0" distB="0" distL="114300" distR="114300" simplePos="0" relativeHeight="251655680" behindDoc="0" locked="0" layoutInCell="1" allowOverlap="1" wp14:anchorId="22A21B08" wp14:editId="3FF3C81D">
            <wp:simplePos x="0" y="0"/>
            <wp:positionH relativeFrom="column">
              <wp:align>center</wp:align>
            </wp:positionH>
            <wp:positionV relativeFrom="paragraph">
              <wp:posOffset>0</wp:posOffset>
            </wp:positionV>
            <wp:extent cx="4389120" cy="1111250"/>
            <wp:effectExtent l="0" t="0" r="0" b="0"/>
            <wp:wrapTopAndBottom/>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9120" cy="111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32EF">
        <w:rPr>
          <w:rFonts w:ascii="Arial" w:hAnsi="Arial"/>
          <w:sz w:val="20"/>
          <w:szCs w:val="20"/>
        </w:rPr>
        <w:t>Las operaciones se realizaron a precios normales de mercado</w:t>
      </w:r>
      <w:r w:rsidR="00A532EF">
        <w:t>.</w:t>
      </w:r>
    </w:p>
    <w:p w:rsidR="00A532EF" w:rsidRDefault="00A532EF">
      <w:pPr>
        <w:rPr>
          <w:rFonts w:ascii="Arial" w:hAnsi="Arial"/>
          <w:b/>
          <w:sz w:val="20"/>
          <w:szCs w:val="20"/>
          <w:u w:val="single"/>
        </w:rPr>
      </w:pPr>
      <w:r>
        <w:rPr>
          <w:rFonts w:ascii="Arial" w:hAnsi="Arial"/>
          <w:b/>
          <w:sz w:val="20"/>
          <w:szCs w:val="20"/>
          <w:u w:val="single"/>
        </w:rPr>
        <w:br w:type="page"/>
      </w:r>
    </w:p>
    <w:p w:rsidR="00A532EF" w:rsidRDefault="00A532EF">
      <w:pPr>
        <w:jc w:val="center"/>
        <w:rPr>
          <w:rFonts w:ascii="Arial" w:hAnsi="Arial"/>
          <w:b/>
          <w:sz w:val="20"/>
          <w:szCs w:val="20"/>
          <w:u w:val="single"/>
        </w:rPr>
      </w:pPr>
    </w:p>
    <w:p w:rsidR="00A532EF" w:rsidRDefault="00A532EF">
      <w:pPr>
        <w:jc w:val="center"/>
        <w:rPr>
          <w:rFonts w:ascii="Arial" w:hAnsi="Arial"/>
          <w:b/>
          <w:sz w:val="20"/>
          <w:szCs w:val="20"/>
        </w:rPr>
      </w:pPr>
      <w:r>
        <w:rPr>
          <w:rFonts w:ascii="Arial" w:hAnsi="Arial"/>
          <w:b/>
          <w:sz w:val="20"/>
          <w:szCs w:val="20"/>
        </w:rPr>
        <w:t>NOTAS A LOS ESTADOS CONTABLES (Continuación)</w:t>
      </w:r>
    </w:p>
    <w:p w:rsidR="00A532EF" w:rsidRDefault="00A532EF">
      <w:pPr>
        <w:rPr>
          <w:rFonts w:ascii="Arial" w:hAnsi="Arial"/>
          <w:sz w:val="20"/>
          <w:szCs w:val="20"/>
        </w:rPr>
      </w:pPr>
    </w:p>
    <w:p w:rsidR="00A532EF" w:rsidRDefault="00A532EF">
      <w:pPr>
        <w:rPr>
          <w:rFonts w:ascii="Arial" w:hAnsi="Arial"/>
          <w:sz w:val="20"/>
          <w:szCs w:val="20"/>
        </w:rPr>
      </w:pPr>
    </w:p>
    <w:p w:rsidR="00A532EF" w:rsidRDefault="00A532EF">
      <w:pPr>
        <w:rPr>
          <w:rFonts w:ascii="Arial" w:hAnsi="Arial"/>
          <w:sz w:val="20"/>
          <w:szCs w:val="20"/>
        </w:rPr>
      </w:pPr>
    </w:p>
    <w:p w:rsidR="00C65425" w:rsidRDefault="00C65425">
      <w:pPr>
        <w:rPr>
          <w:rFonts w:ascii="Arial" w:hAnsi="Arial"/>
          <w:b/>
          <w:sz w:val="20"/>
          <w:szCs w:val="20"/>
        </w:rPr>
      </w:pPr>
    </w:p>
    <w:p w:rsidR="00A532EF" w:rsidRDefault="00A532EF">
      <w:pPr>
        <w:rPr>
          <w:rFonts w:ascii="Arial" w:hAnsi="Arial"/>
          <w:b/>
          <w:sz w:val="20"/>
          <w:szCs w:val="20"/>
        </w:rPr>
      </w:pPr>
      <w:r>
        <w:rPr>
          <w:rFonts w:ascii="Arial" w:hAnsi="Arial"/>
          <w:b/>
          <w:sz w:val="20"/>
          <w:szCs w:val="20"/>
        </w:rPr>
        <w:t>Nota 6: Clasificación de Saldos de Créditos y Deudas</w:t>
      </w:r>
    </w:p>
    <w:p w:rsidR="00C65425" w:rsidRDefault="00C65425">
      <w:pPr>
        <w:rPr>
          <w:rFonts w:ascii="Arial" w:hAnsi="Arial"/>
          <w:b/>
          <w:sz w:val="20"/>
          <w:szCs w:val="20"/>
        </w:rPr>
      </w:pPr>
    </w:p>
    <w:p w:rsidR="00A532EF" w:rsidRDefault="00A532EF">
      <w:pPr>
        <w:rPr>
          <w:rFonts w:ascii="Arial" w:hAnsi="Arial"/>
          <w:b/>
          <w:sz w:val="20"/>
          <w:szCs w:val="20"/>
          <w:u w:val="single"/>
        </w:rPr>
      </w:pPr>
    </w:p>
    <w:p w:rsidR="00A532EF" w:rsidRDefault="00407656">
      <w:pPr>
        <w:ind w:right="-10368"/>
        <w:jc w:val="both"/>
        <w:rPr>
          <w:rFonts w:ascii="Arial" w:hAnsi="Arial"/>
          <w:sz w:val="20"/>
          <w:szCs w:val="20"/>
        </w:rPr>
      </w:pPr>
      <w:r>
        <w:rPr>
          <w:rFonts w:ascii="Arial" w:hAnsi="Arial"/>
          <w:noProof/>
          <w:sz w:val="20"/>
          <w:szCs w:val="20"/>
        </w:rPr>
        <w:pict>
          <v:shape id="_x0000_s1062" type="#_x0000_t75" style="position:absolute;left:0;text-align:left;margin-left:0;margin-top:.3pt;width:333.65pt;height:116.8pt;z-index:251713024;mso-position-horizontal:center;mso-position-horizontal-relative:text;mso-position-vertical:absolute;mso-position-vertical-relative:text">
            <v:imagedata r:id="rId21" o:title=""/>
            <w10:wrap type="square"/>
          </v:shape>
        </w:pict>
      </w:r>
    </w:p>
    <w:p w:rsidR="00A532EF" w:rsidRDefault="00A532EF">
      <w:pPr>
        <w:ind w:left="709" w:right="-10368"/>
        <w:jc w:val="both"/>
        <w:rPr>
          <w:rFonts w:ascii="Arial" w:hAnsi="Arial"/>
          <w:sz w:val="20"/>
          <w:szCs w:val="20"/>
        </w:rPr>
      </w:pPr>
    </w:p>
    <w:p w:rsidR="00A532EF" w:rsidRDefault="00A532EF">
      <w:pPr>
        <w:ind w:right="-10368"/>
        <w:jc w:val="both"/>
        <w:rPr>
          <w:rFonts w:ascii="Arial" w:hAnsi="Arial"/>
          <w:sz w:val="20"/>
          <w:szCs w:val="20"/>
        </w:rPr>
      </w:pPr>
    </w:p>
    <w:p w:rsidR="00A532EF" w:rsidRDefault="00A532EF">
      <w:pPr>
        <w:ind w:right="-10368"/>
        <w:jc w:val="both"/>
        <w:rPr>
          <w:rFonts w:ascii="Arial" w:hAnsi="Arial"/>
          <w:sz w:val="20"/>
          <w:szCs w:val="20"/>
        </w:rPr>
      </w:pPr>
    </w:p>
    <w:p w:rsidR="00E32042" w:rsidRDefault="00E32042">
      <w:pPr>
        <w:ind w:right="-10368"/>
        <w:jc w:val="both"/>
        <w:rPr>
          <w:rFonts w:ascii="Arial" w:hAnsi="Arial"/>
          <w:sz w:val="20"/>
          <w:szCs w:val="20"/>
        </w:rPr>
      </w:pPr>
    </w:p>
    <w:p w:rsidR="00C65425" w:rsidRDefault="00C65425">
      <w:pPr>
        <w:pStyle w:val="Ttulo4"/>
      </w:pPr>
    </w:p>
    <w:p w:rsidR="00C65425" w:rsidRDefault="00C65425">
      <w:pPr>
        <w:pStyle w:val="Ttulo4"/>
      </w:pPr>
    </w:p>
    <w:p w:rsidR="00C65425" w:rsidRDefault="00C65425">
      <w:pPr>
        <w:pStyle w:val="Ttulo4"/>
      </w:pPr>
    </w:p>
    <w:p w:rsidR="00C65425" w:rsidRDefault="00C65425">
      <w:pPr>
        <w:pStyle w:val="Ttulo4"/>
      </w:pPr>
    </w:p>
    <w:p w:rsidR="00C65425" w:rsidRDefault="00C65425">
      <w:pPr>
        <w:pStyle w:val="Ttulo4"/>
      </w:pPr>
    </w:p>
    <w:p w:rsidR="00C65425" w:rsidRDefault="00C65425">
      <w:pPr>
        <w:pStyle w:val="Ttulo4"/>
      </w:pPr>
    </w:p>
    <w:p w:rsidR="00C65425" w:rsidRDefault="00C65425">
      <w:pPr>
        <w:pStyle w:val="Ttulo4"/>
      </w:pPr>
    </w:p>
    <w:p w:rsidR="00C65425" w:rsidRDefault="00C65425">
      <w:pPr>
        <w:pStyle w:val="Ttulo4"/>
      </w:pPr>
    </w:p>
    <w:p w:rsidR="00A532EF" w:rsidRPr="00C65425" w:rsidRDefault="00C65425" w:rsidP="00C65425">
      <w:pPr>
        <w:rPr>
          <w:rFonts w:ascii="Arial" w:hAnsi="Arial"/>
          <w:b/>
          <w:sz w:val="20"/>
          <w:szCs w:val="20"/>
        </w:rPr>
      </w:pPr>
      <w:r>
        <w:rPr>
          <w:rFonts w:ascii="Arial" w:hAnsi="Arial"/>
          <w:b/>
          <w:sz w:val="20"/>
          <w:szCs w:val="20"/>
        </w:rPr>
        <w:t xml:space="preserve">Nota 7: </w:t>
      </w:r>
      <w:r w:rsidR="00A532EF" w:rsidRPr="00C65425">
        <w:rPr>
          <w:rFonts w:ascii="Arial" w:hAnsi="Arial"/>
          <w:b/>
          <w:sz w:val="20"/>
          <w:szCs w:val="20"/>
        </w:rPr>
        <w:t>Hechos posteriores</w:t>
      </w:r>
    </w:p>
    <w:p w:rsidR="00A532EF" w:rsidRDefault="00A532EF">
      <w:pPr>
        <w:jc w:val="both"/>
        <w:rPr>
          <w:rFonts w:ascii="Arial" w:hAnsi="Arial"/>
          <w:b/>
          <w:sz w:val="20"/>
          <w:szCs w:val="20"/>
          <w:u w:val="single"/>
        </w:rPr>
      </w:pPr>
    </w:p>
    <w:p w:rsidR="00A532EF" w:rsidRDefault="00A532EF">
      <w:pPr>
        <w:jc w:val="both"/>
        <w:rPr>
          <w:rFonts w:ascii="Arial" w:hAnsi="Arial"/>
          <w:b/>
          <w:sz w:val="20"/>
          <w:szCs w:val="20"/>
          <w:u w:val="single"/>
        </w:rPr>
      </w:pPr>
    </w:p>
    <w:p w:rsidR="00A532EF" w:rsidRDefault="00A532EF">
      <w:pPr>
        <w:pStyle w:val="Sangra3detindependiente"/>
        <w:rPr>
          <w:rFonts w:cs="Times New Roman"/>
        </w:rPr>
      </w:pPr>
      <w:r>
        <w:rPr>
          <w:rFonts w:cs="Times New Roman"/>
        </w:rPr>
        <w:t xml:space="preserve">Con posterioridad al </w:t>
      </w:r>
      <w:r w:rsidR="00E32042">
        <w:rPr>
          <w:rFonts w:cs="Times New Roman"/>
        </w:rPr>
        <w:t>3</w:t>
      </w:r>
      <w:r w:rsidR="00B61DDD">
        <w:rPr>
          <w:rFonts w:cs="Times New Roman"/>
        </w:rPr>
        <w:t>1</w:t>
      </w:r>
      <w:r w:rsidR="00E32042">
        <w:rPr>
          <w:rFonts w:cs="Times New Roman"/>
        </w:rPr>
        <w:t xml:space="preserve"> de </w:t>
      </w:r>
      <w:r w:rsidR="00B61DDD">
        <w:rPr>
          <w:rFonts w:cs="Times New Roman"/>
        </w:rPr>
        <w:t>Diciembre</w:t>
      </w:r>
      <w:r w:rsidR="00E32042">
        <w:rPr>
          <w:rFonts w:cs="Times New Roman"/>
        </w:rPr>
        <w:t xml:space="preserve"> de 201</w:t>
      </w:r>
      <w:r w:rsidR="00C65425">
        <w:rPr>
          <w:rFonts w:cs="Times New Roman"/>
        </w:rPr>
        <w:t>8</w:t>
      </w:r>
      <w:r>
        <w:rPr>
          <w:rFonts w:cs="Times New Roman"/>
        </w:rPr>
        <w:t xml:space="preserve"> y hasta el </w:t>
      </w:r>
      <w:r w:rsidR="009C3138">
        <w:rPr>
          <w:rFonts w:cs="Times New Roman"/>
        </w:rPr>
        <w:t>1</w:t>
      </w:r>
      <w:r w:rsidR="00B61DDD">
        <w:rPr>
          <w:rFonts w:cs="Times New Roman"/>
        </w:rPr>
        <w:t>3</w:t>
      </w:r>
      <w:r w:rsidR="00E32042">
        <w:rPr>
          <w:rFonts w:cs="Times New Roman"/>
        </w:rPr>
        <w:t xml:space="preserve"> de </w:t>
      </w:r>
      <w:r w:rsidR="00B61DDD">
        <w:rPr>
          <w:rFonts w:cs="Times New Roman"/>
        </w:rPr>
        <w:t>Febrero</w:t>
      </w:r>
      <w:r w:rsidR="009C3138">
        <w:rPr>
          <w:rFonts w:cs="Times New Roman"/>
        </w:rPr>
        <w:t xml:space="preserve"> de 201</w:t>
      </w:r>
      <w:r w:rsidR="00B61DDD">
        <w:rPr>
          <w:rFonts w:cs="Times New Roman"/>
        </w:rPr>
        <w:t>9</w:t>
      </w:r>
      <w:r>
        <w:rPr>
          <w:rFonts w:cs="Times New Roman"/>
        </w:rPr>
        <w:t xml:space="preserve">, no se han producido otros hechos, situaciones o circunstancias que modifiquen o puedan incidir significativamente sobre la situación patrimonial, económica o financiera de la U.T.E. </w:t>
      </w:r>
    </w:p>
    <w:p w:rsidR="00A532EF" w:rsidRDefault="00A532EF">
      <w:pPr>
        <w:pStyle w:val="Textoindependiente3"/>
        <w:rPr>
          <w:sz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jc w:val="both"/>
        <w:rPr>
          <w:rFonts w:ascii="Arial" w:hAnsi="Arial"/>
          <w:sz w:val="20"/>
          <w:szCs w:val="20"/>
        </w:rPr>
      </w:pPr>
    </w:p>
    <w:p w:rsidR="00A532EF" w:rsidRDefault="00A532EF">
      <w:pPr>
        <w:rPr>
          <w:rFonts w:ascii="Arial" w:hAnsi="Arial"/>
          <w:sz w:val="20"/>
          <w:szCs w:val="20"/>
        </w:rPr>
        <w:sectPr w:rsidR="00A532EF">
          <w:footerReference w:type="default" r:id="rId22"/>
          <w:pgSz w:w="11906" w:h="16838" w:code="9"/>
          <w:pgMar w:top="1701" w:right="1286" w:bottom="1418" w:left="1701" w:header="709" w:footer="709" w:gutter="0"/>
          <w:cols w:space="708"/>
          <w:docGrid w:linePitch="360"/>
        </w:sectPr>
      </w:pPr>
    </w:p>
    <w:p w:rsidR="00A532EF" w:rsidRDefault="00A532EF">
      <w:pPr>
        <w:rPr>
          <w:rFonts w:ascii="Arial" w:hAnsi="Arial"/>
          <w:sz w:val="20"/>
          <w:szCs w:val="20"/>
        </w:rPr>
      </w:pPr>
    </w:p>
    <w:p w:rsidR="00A532EF" w:rsidRDefault="00A532EF">
      <w:pPr>
        <w:rPr>
          <w:rFonts w:ascii="Arial" w:hAnsi="Arial"/>
          <w:sz w:val="20"/>
          <w:szCs w:val="20"/>
        </w:rPr>
      </w:pPr>
    </w:p>
    <w:p w:rsidR="00A532EF" w:rsidRDefault="00A532EF">
      <w:pPr>
        <w:rPr>
          <w:rFonts w:ascii="Arial" w:hAnsi="Arial"/>
          <w:sz w:val="20"/>
          <w:szCs w:val="20"/>
        </w:rPr>
      </w:pPr>
    </w:p>
    <w:p w:rsidR="00A532EF" w:rsidRDefault="00407656" w:rsidP="00C65425">
      <w:pPr>
        <w:rPr>
          <w:rFonts w:ascii="Arial" w:hAnsi="Arial"/>
          <w:sz w:val="20"/>
          <w:szCs w:val="20"/>
        </w:rPr>
      </w:pPr>
      <w:r>
        <w:rPr>
          <w:rFonts w:ascii="Arial" w:hAnsi="Arial"/>
          <w:noProof/>
          <w:sz w:val="20"/>
          <w:szCs w:val="20"/>
        </w:rPr>
        <w:pict>
          <v:shape id="_x0000_s1061" type="#_x0000_t75" style="position:absolute;margin-left:0;margin-top:.55pt;width:536.5pt;height:235.3pt;z-index:251710976;mso-position-horizontal:center;mso-position-horizontal-relative:text;mso-position-vertical:absolute;mso-position-vertical-relative:text">
            <v:imagedata r:id="rId23" o:title=""/>
            <w10:wrap type="square"/>
          </v:shape>
        </w:pict>
      </w:r>
    </w:p>
    <w:p w:rsidR="00A532EF" w:rsidRDefault="00A532EF">
      <w:pPr>
        <w:rPr>
          <w:rFonts w:ascii="Arial" w:hAnsi="Arial"/>
          <w:sz w:val="20"/>
          <w:szCs w:val="20"/>
        </w:rPr>
      </w:pPr>
      <w:r>
        <w:rPr>
          <w:rFonts w:ascii="Arial" w:hAnsi="Arial"/>
          <w:sz w:val="20"/>
          <w:szCs w:val="20"/>
        </w:rPr>
        <w:br w:type="page"/>
      </w:r>
    </w:p>
    <w:p w:rsidR="00A532EF" w:rsidRDefault="00A532EF">
      <w:pPr>
        <w:rPr>
          <w:rFonts w:ascii="Arial" w:hAnsi="Arial"/>
          <w:sz w:val="20"/>
          <w:szCs w:val="20"/>
        </w:rPr>
      </w:pPr>
    </w:p>
    <w:p w:rsidR="00A532EF" w:rsidRDefault="00407656">
      <w:pPr>
        <w:jc w:val="center"/>
        <w:rPr>
          <w:rFonts w:ascii="Arial" w:hAnsi="Arial"/>
          <w:sz w:val="20"/>
          <w:szCs w:val="20"/>
        </w:rPr>
      </w:pPr>
      <w:r>
        <w:rPr>
          <w:rFonts w:ascii="Arial" w:hAnsi="Arial"/>
          <w:noProof/>
          <w:sz w:val="20"/>
          <w:szCs w:val="20"/>
          <w:lang w:val="es-AR" w:eastAsia="es-AR"/>
        </w:rPr>
        <w:pict>
          <v:shape id="_x0000_i1026" type="#_x0000_t75" style="width:533pt;height:266.95pt">
            <v:imagedata r:id="rId24" o:title=""/>
          </v:shape>
        </w:pict>
      </w:r>
    </w:p>
    <w:p w:rsidR="00A532EF" w:rsidRDefault="00A532EF">
      <w:pPr>
        <w:rPr>
          <w:rFonts w:ascii="Arial" w:hAnsi="Arial"/>
          <w:sz w:val="20"/>
          <w:szCs w:val="20"/>
        </w:rPr>
      </w:pPr>
    </w:p>
    <w:p w:rsidR="00A532EF" w:rsidRDefault="00A532EF">
      <w:pPr>
        <w:rPr>
          <w:rFonts w:ascii="Arial" w:hAnsi="Arial"/>
          <w:sz w:val="20"/>
          <w:szCs w:val="20"/>
        </w:rPr>
        <w:sectPr w:rsidR="00A532EF">
          <w:footerReference w:type="default" r:id="rId25"/>
          <w:pgSz w:w="16838" w:h="11906" w:orient="landscape" w:code="9"/>
          <w:pgMar w:top="1617" w:right="1701" w:bottom="3235" w:left="1418" w:header="709" w:footer="709" w:gutter="0"/>
          <w:cols w:space="708"/>
          <w:docGrid w:linePitch="360"/>
        </w:sectPr>
      </w:pPr>
    </w:p>
    <w:p w:rsidR="00866E0C" w:rsidRPr="003B5A10" w:rsidRDefault="00866E0C" w:rsidP="00866E0C">
      <w:pPr>
        <w:jc w:val="center"/>
        <w:rPr>
          <w:rFonts w:ascii="Arial" w:hAnsi="Arial"/>
        </w:rPr>
      </w:pPr>
      <w:r w:rsidRPr="003B5A10">
        <w:rPr>
          <w:rFonts w:ascii="Arial" w:hAnsi="Arial"/>
          <w:b/>
          <w:u w:val="single"/>
        </w:rPr>
        <w:lastRenderedPageBreak/>
        <w:t>INFORME DEL AUDITOR</w:t>
      </w:r>
    </w:p>
    <w:p w:rsidR="00A532EF" w:rsidRDefault="00A532EF">
      <w:pPr>
        <w:rPr>
          <w:rFonts w:ascii="Arial" w:hAnsi="Arial" w:cs="Arial"/>
        </w:rPr>
      </w:pPr>
    </w:p>
    <w:p w:rsidR="00A532EF" w:rsidRDefault="00A532EF">
      <w:pPr>
        <w:pStyle w:val="Textoinfaud"/>
        <w:tabs>
          <w:tab w:val="clear" w:pos="720"/>
        </w:tabs>
        <w:spacing w:line="240" w:lineRule="auto"/>
        <w:rPr>
          <w:rFonts w:ascii="Arial" w:hAnsi="Arial"/>
          <w:szCs w:val="24"/>
          <w:lang w:val="es-ES"/>
        </w:rPr>
      </w:pPr>
      <w:r>
        <w:rPr>
          <w:rFonts w:ascii="Arial" w:hAnsi="Arial"/>
          <w:szCs w:val="24"/>
          <w:lang w:val="es-ES"/>
        </w:rPr>
        <w:t>A los señores Miembros del Comité Ejecutivo de</w:t>
      </w:r>
    </w:p>
    <w:p w:rsidR="00A532EF" w:rsidRDefault="00A532EF">
      <w:pPr>
        <w:ind w:left="2410" w:hanging="2410"/>
        <w:rPr>
          <w:rFonts w:ascii="Arial" w:hAnsi="Arial"/>
          <w:sz w:val="20"/>
        </w:rPr>
      </w:pPr>
      <w:r>
        <w:rPr>
          <w:rFonts w:ascii="Arial" w:hAnsi="Arial"/>
          <w:sz w:val="20"/>
        </w:rPr>
        <w:t>DRAGADOS S.A. - DYCASA S.A. -</w:t>
      </w:r>
    </w:p>
    <w:p w:rsidR="00A532EF" w:rsidRDefault="00A532EF">
      <w:pPr>
        <w:pStyle w:val="Textoindependiente"/>
      </w:pPr>
      <w:r>
        <w:t>CONTROL Y MONTAJES INDUSTRIALES CYMI S.A. -</w:t>
      </w:r>
    </w:p>
    <w:p w:rsidR="00A532EF" w:rsidRDefault="00A532EF">
      <w:pPr>
        <w:pStyle w:val="Ttulo"/>
        <w:jc w:val="left"/>
        <w:rPr>
          <w:rFonts w:ascii="Arial" w:hAnsi="Arial" w:cs="Arial"/>
          <w:b w:val="0"/>
          <w:sz w:val="20"/>
        </w:rPr>
      </w:pPr>
      <w:r>
        <w:rPr>
          <w:rFonts w:ascii="Arial" w:hAnsi="Arial" w:cs="Arial"/>
          <w:b w:val="0"/>
          <w:sz w:val="20"/>
        </w:rPr>
        <w:t>UNION TRANSITORIA DE EMPRESAS</w:t>
      </w:r>
    </w:p>
    <w:p w:rsidR="00A532EF" w:rsidRDefault="00A532EF">
      <w:pPr>
        <w:pStyle w:val="Ttulo"/>
        <w:jc w:val="left"/>
        <w:rPr>
          <w:rFonts w:ascii="Arial" w:hAnsi="Arial" w:cs="Arial"/>
          <w:b w:val="0"/>
          <w:sz w:val="20"/>
        </w:rPr>
      </w:pPr>
      <w:r>
        <w:rPr>
          <w:rFonts w:ascii="Arial" w:hAnsi="Arial" w:cs="Arial"/>
          <w:b w:val="0"/>
          <w:sz w:val="20"/>
        </w:rPr>
        <w:t xml:space="preserve">CUIT: 30-68245898-0 </w:t>
      </w:r>
    </w:p>
    <w:p w:rsidR="00A532EF" w:rsidRDefault="00A532EF">
      <w:pPr>
        <w:pStyle w:val="Ttulo"/>
        <w:jc w:val="left"/>
        <w:rPr>
          <w:rFonts w:ascii="Arial" w:hAnsi="Arial" w:cs="Arial"/>
          <w:b w:val="0"/>
          <w:sz w:val="20"/>
        </w:rPr>
      </w:pPr>
      <w:r>
        <w:rPr>
          <w:rFonts w:ascii="Arial" w:hAnsi="Arial" w:cs="Arial"/>
          <w:b w:val="0"/>
          <w:sz w:val="20"/>
        </w:rPr>
        <w:t xml:space="preserve">Domicilio Legal: Leandro N. </w:t>
      </w:r>
      <w:proofErr w:type="spellStart"/>
      <w:r>
        <w:rPr>
          <w:rFonts w:ascii="Arial" w:hAnsi="Arial" w:cs="Arial"/>
          <w:b w:val="0"/>
          <w:sz w:val="20"/>
        </w:rPr>
        <w:t>Alem</w:t>
      </w:r>
      <w:proofErr w:type="spellEnd"/>
      <w:r>
        <w:rPr>
          <w:rFonts w:ascii="Arial" w:hAnsi="Arial" w:cs="Arial"/>
          <w:b w:val="0"/>
          <w:sz w:val="20"/>
        </w:rPr>
        <w:t xml:space="preserve"> 986 4º piso</w:t>
      </w:r>
    </w:p>
    <w:p w:rsidR="00A532EF" w:rsidRDefault="00A532EF">
      <w:pPr>
        <w:pStyle w:val="Ttulo"/>
        <w:jc w:val="left"/>
        <w:rPr>
          <w:rFonts w:ascii="Arial" w:hAnsi="Arial" w:cs="Arial"/>
          <w:b w:val="0"/>
          <w:sz w:val="20"/>
          <w:u w:val="single"/>
        </w:rPr>
      </w:pPr>
      <w:r>
        <w:rPr>
          <w:rFonts w:ascii="Arial" w:hAnsi="Arial" w:cs="Arial"/>
          <w:b w:val="0"/>
          <w:sz w:val="20"/>
          <w:u w:val="single"/>
        </w:rPr>
        <w:t>Ciudad Autónoma de Buenos Aires</w:t>
      </w:r>
    </w:p>
    <w:p w:rsidR="00A532EF" w:rsidRDefault="00A532EF">
      <w:pPr>
        <w:rPr>
          <w:rFonts w:ascii="Arial" w:hAnsi="Arial" w:cs="Arial"/>
        </w:rPr>
      </w:pPr>
    </w:p>
    <w:p w:rsidR="0030779C" w:rsidRPr="00C9269D" w:rsidRDefault="001A3F49" w:rsidP="0030779C">
      <w:pPr>
        <w:jc w:val="both"/>
        <w:rPr>
          <w:rFonts w:ascii="Arial" w:hAnsi="Arial"/>
          <w:b/>
          <w:bCs/>
          <w:sz w:val="20"/>
          <w:szCs w:val="20"/>
          <w:u w:val="single"/>
        </w:rPr>
      </w:pPr>
      <w:proofErr w:type="gramStart"/>
      <w:r>
        <w:rPr>
          <w:rFonts w:ascii="Arial" w:hAnsi="Arial"/>
          <w:b/>
          <w:bCs/>
          <w:sz w:val="20"/>
          <w:szCs w:val="20"/>
        </w:rPr>
        <w:t xml:space="preserve">1 </w:t>
      </w:r>
      <w:r w:rsidR="0030779C" w:rsidRPr="00C9269D">
        <w:rPr>
          <w:rFonts w:ascii="Arial" w:hAnsi="Arial"/>
          <w:b/>
          <w:bCs/>
          <w:sz w:val="20"/>
          <w:szCs w:val="20"/>
        </w:rPr>
        <w:t>.</w:t>
      </w:r>
      <w:proofErr w:type="gramEnd"/>
      <w:r w:rsidR="0030779C" w:rsidRPr="00C9269D">
        <w:rPr>
          <w:rFonts w:ascii="Arial" w:hAnsi="Arial"/>
          <w:b/>
          <w:bCs/>
          <w:sz w:val="20"/>
          <w:szCs w:val="20"/>
        </w:rPr>
        <w:t xml:space="preserve"> </w:t>
      </w:r>
      <w:r w:rsidR="0030779C" w:rsidRPr="00C9269D">
        <w:rPr>
          <w:rFonts w:ascii="Arial" w:hAnsi="Arial"/>
          <w:b/>
          <w:bCs/>
          <w:sz w:val="20"/>
          <w:szCs w:val="20"/>
          <w:u w:val="single"/>
        </w:rPr>
        <w:t>Info</w:t>
      </w:r>
      <w:r w:rsidR="00866E0C">
        <w:rPr>
          <w:rFonts w:ascii="Arial" w:hAnsi="Arial"/>
          <w:b/>
          <w:bCs/>
          <w:sz w:val="20"/>
          <w:szCs w:val="20"/>
          <w:u w:val="single"/>
        </w:rPr>
        <w:t>rme sobre los estados contables</w:t>
      </w:r>
    </w:p>
    <w:p w:rsidR="0030779C" w:rsidRPr="00C9269D" w:rsidRDefault="0030779C" w:rsidP="0030779C">
      <w:pPr>
        <w:ind w:left="284"/>
        <w:jc w:val="both"/>
        <w:rPr>
          <w:rFonts w:ascii="Arial" w:hAnsi="Arial"/>
          <w:sz w:val="20"/>
          <w:szCs w:val="20"/>
        </w:rPr>
      </w:pPr>
    </w:p>
    <w:p w:rsidR="00866E0C" w:rsidRDefault="00866E0C" w:rsidP="00866E0C">
      <w:pPr>
        <w:ind w:left="284"/>
        <w:jc w:val="both"/>
        <w:rPr>
          <w:rFonts w:ascii="Arial" w:hAnsi="Arial"/>
          <w:sz w:val="20"/>
        </w:rPr>
      </w:pPr>
      <w:r>
        <w:rPr>
          <w:rFonts w:ascii="Arial" w:hAnsi="Arial"/>
          <w:sz w:val="20"/>
        </w:rPr>
        <w:t xml:space="preserve">He auditado los estados contables adjuntos de DRAGADOS S.A. – DYCASA S.A. – CONTROL Y MONTAJES INDUSTRIALES CYMI S.A. - UNION TRANSITORIA DE EMPRESAS, </w:t>
      </w:r>
      <w:r>
        <w:rPr>
          <w:rFonts w:ascii="Arial" w:hAnsi="Arial"/>
          <w:bCs/>
          <w:sz w:val="20"/>
        </w:rPr>
        <w:t>que</w:t>
      </w:r>
      <w:r>
        <w:rPr>
          <w:rFonts w:ascii="Arial" w:hAnsi="Arial"/>
          <w:sz w:val="20"/>
        </w:rPr>
        <w:t xml:space="preserve"> comprenden el estado de situación patrimonial al 31 de Diciembre de 2018, el estado de resultado, el estado de cuentas de los socios y el estado de flujo de efectivo correspondientes al ejercicio económico finalizado en la fecha mencionada, así como un resumen de las políticas contables significativas u otra información explicativa incluidas en las notas </w:t>
      </w:r>
      <w:smartTag w:uri="urn:schemas-microsoft-com:office:smarttags" w:element="metricconverter">
        <w:smartTagPr>
          <w:attr w:name="ProductID" w:val="1 a"/>
        </w:smartTagPr>
        <w:r>
          <w:rPr>
            <w:rFonts w:ascii="Arial" w:hAnsi="Arial"/>
            <w:sz w:val="20"/>
          </w:rPr>
          <w:t>1 a</w:t>
        </w:r>
      </w:smartTag>
      <w:r>
        <w:rPr>
          <w:rFonts w:ascii="Arial" w:hAnsi="Arial"/>
          <w:sz w:val="20"/>
        </w:rPr>
        <w:t xml:space="preserve"> 7 y los anexos I y II.</w:t>
      </w:r>
    </w:p>
    <w:p w:rsidR="00866E0C" w:rsidRDefault="00866E0C" w:rsidP="00866E0C">
      <w:pPr>
        <w:ind w:left="284"/>
        <w:jc w:val="both"/>
        <w:rPr>
          <w:rFonts w:ascii="Arial" w:hAnsi="Arial"/>
          <w:sz w:val="20"/>
        </w:rPr>
      </w:pPr>
    </w:p>
    <w:p w:rsidR="00866E0C" w:rsidRDefault="00866E0C" w:rsidP="00866E0C">
      <w:pPr>
        <w:ind w:left="284"/>
        <w:jc w:val="both"/>
        <w:rPr>
          <w:rFonts w:ascii="Arial" w:hAnsi="Arial"/>
          <w:sz w:val="20"/>
        </w:rPr>
      </w:pPr>
      <w:r>
        <w:rPr>
          <w:rFonts w:ascii="Arial" w:hAnsi="Arial"/>
          <w:sz w:val="20"/>
        </w:rPr>
        <w:t xml:space="preserve">Las cifras y otra información correspondiente al ejercicio económico terminado el 31 de Diciembre de 2017 son parte integrante de los estados contables mencionados precedentemente y se las presenta con el propósito de que se interpreten en forma comparativa exclusivamente en relación con las cifras y con la información del ejercicio económico actual. </w:t>
      </w:r>
    </w:p>
    <w:p w:rsidR="000A025E" w:rsidRDefault="000A025E" w:rsidP="00866E0C">
      <w:pPr>
        <w:ind w:left="284"/>
        <w:jc w:val="both"/>
        <w:rPr>
          <w:rFonts w:ascii="Arial" w:hAnsi="Arial"/>
          <w:sz w:val="20"/>
        </w:rPr>
      </w:pPr>
    </w:p>
    <w:p w:rsidR="0030779C" w:rsidRPr="00C9269D" w:rsidRDefault="0030779C" w:rsidP="0030779C">
      <w:pPr>
        <w:ind w:left="284"/>
        <w:jc w:val="both"/>
        <w:rPr>
          <w:rFonts w:ascii="Arial" w:hAnsi="Arial"/>
          <w:sz w:val="20"/>
          <w:szCs w:val="20"/>
        </w:rPr>
      </w:pPr>
    </w:p>
    <w:p w:rsidR="0030779C" w:rsidRPr="00C9269D" w:rsidRDefault="0030779C" w:rsidP="0030779C">
      <w:pPr>
        <w:ind w:left="284" w:hanging="284"/>
        <w:jc w:val="both"/>
        <w:rPr>
          <w:rFonts w:ascii="Arial" w:hAnsi="Arial"/>
          <w:b/>
          <w:sz w:val="20"/>
          <w:szCs w:val="20"/>
          <w:u w:val="single"/>
        </w:rPr>
      </w:pPr>
      <w:r w:rsidRPr="00C9269D">
        <w:rPr>
          <w:rFonts w:ascii="Arial" w:hAnsi="Arial"/>
          <w:b/>
          <w:sz w:val="20"/>
          <w:szCs w:val="20"/>
        </w:rPr>
        <w:t xml:space="preserve">2. </w:t>
      </w:r>
      <w:r w:rsidRPr="00C9269D">
        <w:rPr>
          <w:rFonts w:ascii="Arial" w:hAnsi="Arial"/>
          <w:b/>
          <w:sz w:val="20"/>
          <w:szCs w:val="20"/>
          <w:u w:val="single"/>
        </w:rPr>
        <w:t>Responsabilidad de los representantes legales de la UTE en  relación con los estados contables</w:t>
      </w:r>
    </w:p>
    <w:p w:rsidR="0030779C" w:rsidRPr="00C9269D" w:rsidRDefault="0030779C" w:rsidP="0030779C">
      <w:pPr>
        <w:jc w:val="both"/>
        <w:rPr>
          <w:rFonts w:ascii="Arial" w:hAnsi="Arial"/>
          <w:b/>
          <w:sz w:val="20"/>
          <w:szCs w:val="20"/>
        </w:rPr>
      </w:pPr>
    </w:p>
    <w:p w:rsidR="000A025E" w:rsidRDefault="000A025E" w:rsidP="000A025E">
      <w:pPr>
        <w:ind w:left="284"/>
        <w:jc w:val="both"/>
        <w:rPr>
          <w:rFonts w:ascii="Arial" w:hAnsi="Arial"/>
          <w:sz w:val="20"/>
        </w:rPr>
      </w:pPr>
      <w:r>
        <w:rPr>
          <w:rFonts w:ascii="Arial" w:hAnsi="Arial"/>
          <w:sz w:val="20"/>
        </w:rPr>
        <w:t>Los representantes legales son responsables de la preparación y presentación razonable de los estados contables adjuntos de conformidad con las normas contables profesionales argentinas y del control interno que consideren necesario para permitir la preparación de estados contables libres de incorrecciones significativas.</w:t>
      </w:r>
    </w:p>
    <w:p w:rsidR="0030779C" w:rsidRDefault="0030779C" w:rsidP="0030779C">
      <w:pPr>
        <w:ind w:left="284"/>
        <w:jc w:val="both"/>
        <w:rPr>
          <w:rFonts w:ascii="Arial" w:hAnsi="Arial"/>
          <w:sz w:val="20"/>
          <w:szCs w:val="20"/>
        </w:rPr>
      </w:pPr>
    </w:p>
    <w:p w:rsidR="000A025E" w:rsidRPr="00C9269D" w:rsidRDefault="000A025E" w:rsidP="0030779C">
      <w:pPr>
        <w:ind w:left="284"/>
        <w:jc w:val="both"/>
        <w:rPr>
          <w:rFonts w:ascii="Arial" w:hAnsi="Arial"/>
          <w:sz w:val="20"/>
          <w:szCs w:val="20"/>
        </w:rPr>
      </w:pPr>
    </w:p>
    <w:p w:rsidR="0030779C" w:rsidRPr="00C9269D" w:rsidRDefault="0030779C" w:rsidP="0030779C">
      <w:pPr>
        <w:jc w:val="both"/>
        <w:rPr>
          <w:rFonts w:ascii="Arial" w:hAnsi="Arial"/>
          <w:b/>
          <w:bCs/>
          <w:sz w:val="20"/>
          <w:szCs w:val="20"/>
          <w:u w:val="single"/>
        </w:rPr>
      </w:pPr>
      <w:r w:rsidRPr="00C9269D">
        <w:rPr>
          <w:rFonts w:ascii="Arial" w:hAnsi="Arial"/>
          <w:b/>
          <w:bCs/>
          <w:sz w:val="20"/>
          <w:szCs w:val="20"/>
        </w:rPr>
        <w:t xml:space="preserve">3. </w:t>
      </w:r>
      <w:r w:rsidRPr="00C9269D">
        <w:rPr>
          <w:rFonts w:ascii="Arial" w:hAnsi="Arial"/>
          <w:b/>
          <w:bCs/>
          <w:sz w:val="20"/>
          <w:szCs w:val="20"/>
          <w:u w:val="single"/>
        </w:rPr>
        <w:t xml:space="preserve">Responsabilidad </w:t>
      </w:r>
      <w:r w:rsidR="00866E0C">
        <w:rPr>
          <w:rFonts w:ascii="Arial" w:hAnsi="Arial"/>
          <w:b/>
          <w:bCs/>
          <w:sz w:val="20"/>
          <w:szCs w:val="20"/>
          <w:u w:val="single"/>
        </w:rPr>
        <w:t>del auditor</w:t>
      </w:r>
    </w:p>
    <w:p w:rsidR="0030779C" w:rsidRPr="00C9269D" w:rsidRDefault="0030779C" w:rsidP="0030779C">
      <w:pPr>
        <w:jc w:val="both"/>
        <w:rPr>
          <w:rFonts w:ascii="Arial" w:hAnsi="Arial"/>
          <w:sz w:val="20"/>
          <w:szCs w:val="20"/>
        </w:rPr>
      </w:pPr>
    </w:p>
    <w:p w:rsidR="00CF79DD" w:rsidRDefault="00CF79DD" w:rsidP="00CF79DD">
      <w:pPr>
        <w:ind w:left="284"/>
        <w:jc w:val="both"/>
        <w:rPr>
          <w:rFonts w:ascii="Arial" w:hAnsi="Arial"/>
          <w:sz w:val="20"/>
        </w:rPr>
      </w:pPr>
      <w:r>
        <w:rPr>
          <w:rFonts w:ascii="Arial" w:hAnsi="Arial"/>
          <w:sz w:val="20"/>
        </w:rPr>
        <w:t xml:space="preserve">Mi responsabilidad consiste en expresar una opinión sobre los estados contables adjuntos basada en mi auditoria. He llevado a cabo mi examen de conformidad con las normas de auditoria establecidas en </w:t>
      </w:r>
      <w:smartTag w:uri="urn:schemas-microsoft-com:office:smarttags" w:element="PersonName">
        <w:smartTagPr>
          <w:attr w:name="ProductID" w:val="la Resoluci￳n T￩cnica N"/>
        </w:smartTagPr>
        <w:r>
          <w:rPr>
            <w:rFonts w:ascii="Arial" w:hAnsi="Arial"/>
            <w:sz w:val="20"/>
          </w:rPr>
          <w:t>la Resolución Técnica N</w:t>
        </w:r>
      </w:smartTag>
      <w:r>
        <w:rPr>
          <w:rFonts w:ascii="Arial" w:hAnsi="Arial"/>
          <w:sz w:val="20"/>
        </w:rPr>
        <w:t xml:space="preserve">º 37 de </w:t>
      </w:r>
      <w:smartTag w:uri="urn:schemas-microsoft-com:office:smarttags" w:element="PersonName">
        <w:smartTagPr>
          <w:attr w:name="ProductID" w:val="la Federaci￳n Argentina"/>
        </w:smartTagPr>
        <w:r>
          <w:rPr>
            <w:rFonts w:ascii="Arial" w:hAnsi="Arial"/>
            <w:sz w:val="20"/>
          </w:rPr>
          <w:t>la Federación Argentina</w:t>
        </w:r>
      </w:smartTag>
      <w:r>
        <w:rPr>
          <w:rFonts w:ascii="Arial" w:hAnsi="Arial"/>
          <w:sz w:val="20"/>
        </w:rPr>
        <w:t xml:space="preserve"> de Consejos Profesionales de Ciencias Económicas. Dichas normas exigen que cumpla los requerimientos de ética, así como que planifique y ejecute la auditoria con el fin de obtener una seguridad razonable de que los estados contables están libres de incorrecciones significativas. </w:t>
      </w:r>
    </w:p>
    <w:p w:rsidR="00CF79DD" w:rsidRDefault="00CF79DD" w:rsidP="00CF79DD">
      <w:pPr>
        <w:ind w:left="284"/>
        <w:jc w:val="both"/>
        <w:rPr>
          <w:rFonts w:ascii="Arial" w:hAnsi="Arial"/>
          <w:sz w:val="20"/>
        </w:rPr>
      </w:pPr>
    </w:p>
    <w:p w:rsidR="00CF79DD" w:rsidRDefault="00CF79DD" w:rsidP="00CF79DD">
      <w:pPr>
        <w:ind w:left="284"/>
        <w:jc w:val="both"/>
        <w:rPr>
          <w:rFonts w:ascii="Arial" w:hAnsi="Arial"/>
          <w:sz w:val="20"/>
        </w:rPr>
      </w:pPr>
      <w:r>
        <w:rPr>
          <w:rFonts w:ascii="Arial" w:hAnsi="Arial"/>
          <w:sz w:val="20"/>
        </w:rPr>
        <w:t>Una auditoria conlleva la aplicación de procedimientos para obtener elementos de juicio sobre las cifras y la información presentadas en los estados contables. Los procedimientos seleccionados dependen del juicio del auditor, incluida la valoración de los riesgos de incorrecciones significativas en los estados contables. Al efectuar dichas valoraciones del riesgo, el auditor tiene en cuenta el control interno pertinente para la preparación y presentación  razonable por parte de la entidad de los estados contables, con el fin de diseñar los procedimientos de auditoria que sean adecuados en función de las circunstancias y no con la finalidad de expresar una opinión sobre la eficacia del control interno de la entidad</w:t>
      </w:r>
    </w:p>
    <w:p w:rsidR="00A532EF" w:rsidRDefault="00A532EF">
      <w:pPr>
        <w:pStyle w:val="Textodebloque"/>
        <w:ind w:right="141"/>
        <w:rPr>
          <w:rFonts w:ascii="Arial" w:hAnsi="Arial"/>
          <w:sz w:val="20"/>
        </w:rPr>
      </w:pPr>
    </w:p>
    <w:p w:rsidR="00A532EF" w:rsidRDefault="00A532EF">
      <w:pPr>
        <w:pStyle w:val="Textodebloque"/>
        <w:ind w:right="141"/>
        <w:rPr>
          <w:rFonts w:ascii="Arial" w:hAnsi="Arial"/>
          <w:sz w:val="20"/>
        </w:rPr>
      </w:pPr>
    </w:p>
    <w:p w:rsidR="00A532EF" w:rsidRDefault="00A532EF">
      <w:pPr>
        <w:pStyle w:val="Textodebloque"/>
        <w:ind w:right="141"/>
        <w:rPr>
          <w:rFonts w:ascii="Arial" w:hAnsi="Arial"/>
          <w:sz w:val="20"/>
        </w:rPr>
      </w:pPr>
    </w:p>
    <w:p w:rsidR="00CF79DD" w:rsidRDefault="00CF79DD">
      <w:pPr>
        <w:pStyle w:val="Textodebloque"/>
        <w:ind w:right="141"/>
        <w:rPr>
          <w:rFonts w:ascii="Arial" w:hAnsi="Arial"/>
          <w:sz w:val="20"/>
        </w:rPr>
      </w:pPr>
    </w:p>
    <w:p w:rsidR="00A532EF" w:rsidRDefault="00A532EF">
      <w:pPr>
        <w:pStyle w:val="Textodebloque"/>
        <w:ind w:right="141"/>
        <w:rPr>
          <w:rFonts w:ascii="Arial" w:hAnsi="Arial"/>
          <w:sz w:val="20"/>
        </w:rPr>
      </w:pPr>
    </w:p>
    <w:p w:rsidR="00A532EF" w:rsidRDefault="00CF79DD">
      <w:pPr>
        <w:ind w:right="-227"/>
        <w:jc w:val="center"/>
        <w:rPr>
          <w:rFonts w:ascii="Arial" w:hAnsi="Arial"/>
          <w:sz w:val="20"/>
          <w:szCs w:val="20"/>
        </w:rPr>
      </w:pPr>
      <w:r>
        <w:rPr>
          <w:rFonts w:ascii="Arial" w:hAnsi="Arial"/>
          <w:sz w:val="20"/>
          <w:szCs w:val="20"/>
        </w:rPr>
        <w:t>D</w:t>
      </w:r>
      <w:r w:rsidR="00A532EF">
        <w:rPr>
          <w:rFonts w:ascii="Arial" w:hAnsi="Arial"/>
          <w:sz w:val="20"/>
          <w:szCs w:val="20"/>
        </w:rPr>
        <w:t>ra. Blanca Ester Rivero</w:t>
      </w:r>
    </w:p>
    <w:p w:rsidR="00A532EF" w:rsidRDefault="00A532EF">
      <w:pPr>
        <w:ind w:right="-227"/>
        <w:jc w:val="center"/>
        <w:rPr>
          <w:rFonts w:ascii="Arial" w:hAnsi="Arial"/>
          <w:sz w:val="20"/>
          <w:szCs w:val="20"/>
        </w:rPr>
      </w:pPr>
      <w:r>
        <w:rPr>
          <w:rFonts w:ascii="Arial" w:hAnsi="Arial"/>
          <w:sz w:val="20"/>
          <w:szCs w:val="20"/>
        </w:rPr>
        <w:t>Contadora Pública (UBA)</w:t>
      </w:r>
    </w:p>
    <w:p w:rsidR="00A532EF" w:rsidRDefault="00A532EF">
      <w:pPr>
        <w:ind w:right="-227"/>
        <w:jc w:val="center"/>
        <w:rPr>
          <w:rFonts w:ascii="Arial" w:hAnsi="Arial"/>
          <w:sz w:val="20"/>
          <w:szCs w:val="20"/>
        </w:rPr>
      </w:pPr>
      <w:r>
        <w:rPr>
          <w:rFonts w:ascii="Arial" w:hAnsi="Arial"/>
          <w:sz w:val="20"/>
          <w:szCs w:val="20"/>
        </w:rPr>
        <w:t xml:space="preserve">C.P.C.E.C.A.B.A. </w:t>
      </w:r>
      <w:proofErr w:type="spellStart"/>
      <w:r>
        <w:rPr>
          <w:rFonts w:ascii="Arial" w:hAnsi="Arial"/>
          <w:sz w:val="20"/>
          <w:szCs w:val="20"/>
        </w:rPr>
        <w:t>Tº</w:t>
      </w:r>
      <w:proofErr w:type="spellEnd"/>
      <w:r>
        <w:rPr>
          <w:rFonts w:ascii="Arial" w:hAnsi="Arial"/>
          <w:sz w:val="20"/>
          <w:szCs w:val="20"/>
        </w:rPr>
        <w:t xml:space="preserve"> 134 </w:t>
      </w:r>
      <w:proofErr w:type="spellStart"/>
      <w:r>
        <w:rPr>
          <w:rFonts w:ascii="Arial" w:hAnsi="Arial"/>
          <w:sz w:val="20"/>
          <w:szCs w:val="20"/>
        </w:rPr>
        <w:t>Fº</w:t>
      </w:r>
      <w:proofErr w:type="spellEnd"/>
      <w:r>
        <w:rPr>
          <w:rFonts w:ascii="Arial" w:hAnsi="Arial"/>
          <w:sz w:val="20"/>
          <w:szCs w:val="20"/>
        </w:rPr>
        <w:t xml:space="preserve"> 199</w:t>
      </w:r>
    </w:p>
    <w:p w:rsidR="00A532EF" w:rsidRDefault="00A532EF">
      <w:pPr>
        <w:ind w:right="-227"/>
        <w:rPr>
          <w:rFonts w:ascii="Arial" w:hAnsi="Arial"/>
          <w:sz w:val="20"/>
          <w:szCs w:val="20"/>
        </w:rPr>
      </w:pPr>
    </w:p>
    <w:p w:rsidR="00A532EF" w:rsidRDefault="00A532EF">
      <w:pPr>
        <w:jc w:val="both"/>
        <w:rPr>
          <w:rFonts w:ascii="Arial" w:hAnsi="Arial"/>
          <w:b/>
          <w:sz w:val="20"/>
          <w:szCs w:val="20"/>
        </w:rPr>
        <w:sectPr w:rsidR="00A532EF">
          <w:footerReference w:type="default" r:id="rId26"/>
          <w:pgSz w:w="11907" w:h="16840" w:code="9"/>
          <w:pgMar w:top="1559" w:right="1531" w:bottom="851" w:left="1531" w:header="720" w:footer="720" w:gutter="0"/>
          <w:cols w:space="720"/>
          <w:titlePg/>
        </w:sectPr>
      </w:pPr>
    </w:p>
    <w:p w:rsidR="00CF79DD" w:rsidRDefault="00CF79DD" w:rsidP="00CF79DD">
      <w:pPr>
        <w:ind w:left="284"/>
        <w:jc w:val="both"/>
        <w:rPr>
          <w:rFonts w:ascii="Arial" w:hAnsi="Arial"/>
          <w:sz w:val="20"/>
        </w:rPr>
      </w:pPr>
      <w:r>
        <w:rPr>
          <w:rFonts w:ascii="Arial" w:hAnsi="Arial"/>
          <w:sz w:val="20"/>
        </w:rPr>
        <w:lastRenderedPageBreak/>
        <w:t>Una auditoria también incluye la evaluación de la adecuación de las políticas contables aplicadas y de la razonabilidad de las estimaciones contables realizadas por los representantes de la UTE, así como la evaluación de la presentación de los estados contables en su conjunto.</w:t>
      </w:r>
    </w:p>
    <w:p w:rsidR="00CF79DD" w:rsidRDefault="00CF79DD" w:rsidP="00CF79DD">
      <w:pPr>
        <w:ind w:left="284"/>
        <w:jc w:val="both"/>
        <w:rPr>
          <w:rFonts w:ascii="Arial" w:hAnsi="Arial"/>
          <w:sz w:val="20"/>
        </w:rPr>
      </w:pPr>
    </w:p>
    <w:p w:rsidR="00CF79DD" w:rsidRDefault="00CF79DD" w:rsidP="00CF79DD">
      <w:pPr>
        <w:ind w:left="284"/>
        <w:jc w:val="both"/>
        <w:rPr>
          <w:rFonts w:ascii="Arial" w:hAnsi="Arial"/>
          <w:sz w:val="20"/>
        </w:rPr>
      </w:pPr>
      <w:r>
        <w:rPr>
          <w:rFonts w:ascii="Arial" w:hAnsi="Arial"/>
          <w:sz w:val="20"/>
        </w:rPr>
        <w:t>Considero que los elementos de juicio que he obtenido proporcionan una base suficiente y adecuada para mi opinión de auditoria.</w:t>
      </w:r>
    </w:p>
    <w:p w:rsidR="00CF79DD" w:rsidRDefault="00CF79DD" w:rsidP="0030779C">
      <w:pPr>
        <w:jc w:val="both"/>
        <w:rPr>
          <w:rFonts w:ascii="Arial" w:hAnsi="Arial" w:cs="Arial"/>
          <w:b/>
          <w:sz w:val="20"/>
          <w:szCs w:val="20"/>
        </w:rPr>
      </w:pPr>
    </w:p>
    <w:p w:rsidR="0030779C" w:rsidRPr="00C9269D" w:rsidRDefault="0030779C" w:rsidP="0030779C">
      <w:pPr>
        <w:jc w:val="both"/>
        <w:rPr>
          <w:rFonts w:ascii="Arial" w:hAnsi="Arial" w:cs="Arial"/>
          <w:bCs/>
          <w:sz w:val="20"/>
          <w:szCs w:val="20"/>
        </w:rPr>
      </w:pPr>
      <w:r w:rsidRPr="00C9269D">
        <w:rPr>
          <w:rFonts w:ascii="Arial" w:hAnsi="Arial" w:cs="Arial"/>
          <w:b/>
          <w:sz w:val="20"/>
          <w:szCs w:val="20"/>
        </w:rPr>
        <w:t xml:space="preserve">4. </w:t>
      </w:r>
      <w:r w:rsidR="004A29BC">
        <w:rPr>
          <w:rFonts w:ascii="Arial" w:hAnsi="Arial" w:cs="Arial"/>
          <w:b/>
          <w:sz w:val="20"/>
          <w:szCs w:val="20"/>
          <w:u w:val="single"/>
        </w:rPr>
        <w:t>Opinión</w:t>
      </w:r>
    </w:p>
    <w:p w:rsidR="0030779C" w:rsidRPr="00C9269D" w:rsidRDefault="0030779C" w:rsidP="0030779C">
      <w:pPr>
        <w:jc w:val="both"/>
        <w:rPr>
          <w:rFonts w:ascii="Arial" w:hAnsi="Arial" w:cs="Arial"/>
          <w:bCs/>
          <w:sz w:val="20"/>
          <w:szCs w:val="20"/>
        </w:rPr>
      </w:pPr>
    </w:p>
    <w:p w:rsidR="00CF79DD" w:rsidRDefault="00CF79DD" w:rsidP="00CF79DD">
      <w:pPr>
        <w:ind w:left="284"/>
        <w:jc w:val="both"/>
        <w:rPr>
          <w:rFonts w:ascii="Arial" w:hAnsi="Arial" w:cs="Arial"/>
          <w:bCs/>
          <w:sz w:val="20"/>
        </w:rPr>
      </w:pPr>
      <w:r>
        <w:rPr>
          <w:rFonts w:ascii="Arial" w:hAnsi="Arial" w:cs="Arial"/>
          <w:bCs/>
          <w:sz w:val="20"/>
        </w:rPr>
        <w:t xml:space="preserve">En mi opinión, los estados contables adjuntos presentan razonablemente, en todos sus aspectos significativos, la situación patrimonial de </w:t>
      </w:r>
      <w:r>
        <w:rPr>
          <w:rFonts w:ascii="Arial" w:hAnsi="Arial"/>
          <w:sz w:val="20"/>
        </w:rPr>
        <w:t xml:space="preserve">DRAGADOS S.A. – DYCASA S.A. – CONTROL Y MONTAJES INDUSTRIALES CYMI S.A. - UNION TRANSITORIA DE EMPRESAS al 31 de Diciembre de 2018, así como los resultados, el estado de cuentas de los socios y el flujo de efectivo correspondientes al ejercicio económico terminado en esa fecha, </w:t>
      </w:r>
      <w:r>
        <w:rPr>
          <w:rFonts w:ascii="Arial" w:hAnsi="Arial" w:cs="Arial"/>
          <w:bCs/>
          <w:sz w:val="20"/>
        </w:rPr>
        <w:t>de acuerdo con las normas contables profesionales argentinas.</w:t>
      </w:r>
    </w:p>
    <w:p w:rsidR="0030779C" w:rsidRDefault="0030779C" w:rsidP="0030779C">
      <w:pPr>
        <w:ind w:left="284"/>
        <w:jc w:val="both"/>
        <w:rPr>
          <w:rFonts w:ascii="Arial" w:hAnsi="Arial" w:cs="Arial"/>
          <w:bCs/>
          <w:sz w:val="20"/>
          <w:szCs w:val="20"/>
        </w:rPr>
      </w:pPr>
    </w:p>
    <w:p w:rsidR="0030779C" w:rsidRPr="001E395A" w:rsidRDefault="0030779C" w:rsidP="0030779C">
      <w:pPr>
        <w:jc w:val="both"/>
        <w:rPr>
          <w:rFonts w:ascii="Arial" w:hAnsi="Arial" w:cs="Arial"/>
          <w:b/>
          <w:sz w:val="20"/>
          <w:szCs w:val="20"/>
        </w:rPr>
      </w:pPr>
      <w:r w:rsidRPr="001E395A">
        <w:rPr>
          <w:rFonts w:ascii="Arial" w:hAnsi="Arial" w:cs="Arial"/>
          <w:b/>
          <w:sz w:val="20"/>
          <w:szCs w:val="20"/>
        </w:rPr>
        <w:t xml:space="preserve">5.  </w:t>
      </w:r>
      <w:r w:rsidRPr="001E395A">
        <w:rPr>
          <w:rFonts w:ascii="Arial" w:hAnsi="Arial" w:cs="Arial"/>
          <w:b/>
          <w:sz w:val="20"/>
          <w:szCs w:val="20"/>
          <w:u w:val="single"/>
        </w:rPr>
        <w:t>Otras cuestiones</w:t>
      </w:r>
    </w:p>
    <w:p w:rsidR="0030779C" w:rsidRPr="001E395A" w:rsidRDefault="0030779C" w:rsidP="0030779C">
      <w:pPr>
        <w:jc w:val="both"/>
        <w:rPr>
          <w:rFonts w:ascii="Arial" w:hAnsi="Arial" w:cs="Arial"/>
          <w:b/>
          <w:sz w:val="20"/>
          <w:szCs w:val="20"/>
        </w:rPr>
      </w:pPr>
    </w:p>
    <w:p w:rsidR="00CF79DD" w:rsidRDefault="0030779C" w:rsidP="0030779C">
      <w:pPr>
        <w:ind w:left="284"/>
        <w:jc w:val="both"/>
        <w:rPr>
          <w:rFonts w:ascii="Arial" w:hAnsi="Arial" w:cs="Arial"/>
          <w:bCs/>
          <w:sz w:val="20"/>
          <w:szCs w:val="20"/>
        </w:rPr>
      </w:pPr>
      <w:r w:rsidRPr="001E395A">
        <w:rPr>
          <w:rFonts w:ascii="Arial" w:hAnsi="Arial" w:cs="Arial"/>
          <w:bCs/>
          <w:sz w:val="20"/>
          <w:szCs w:val="20"/>
        </w:rPr>
        <w:t>Con referencia a los estados contables que dan origen a las cifras comparativas, informo que sobre los estados cont</w:t>
      </w:r>
      <w:r>
        <w:rPr>
          <w:rFonts w:ascii="Arial" w:hAnsi="Arial" w:cs="Arial"/>
          <w:bCs/>
          <w:sz w:val="20"/>
          <w:szCs w:val="20"/>
        </w:rPr>
        <w:t xml:space="preserve">ables al </w:t>
      </w:r>
      <w:r w:rsidR="00196F2F">
        <w:rPr>
          <w:rFonts w:ascii="Arial" w:hAnsi="Arial" w:cs="Arial"/>
          <w:bCs/>
          <w:sz w:val="20"/>
          <w:szCs w:val="20"/>
        </w:rPr>
        <w:t>31 de Diciembre de 201</w:t>
      </w:r>
      <w:r w:rsidR="00C65425">
        <w:rPr>
          <w:rFonts w:ascii="Arial" w:hAnsi="Arial" w:cs="Arial"/>
          <w:bCs/>
          <w:sz w:val="20"/>
          <w:szCs w:val="20"/>
        </w:rPr>
        <w:t>7</w:t>
      </w:r>
      <w:r w:rsidRPr="001E395A">
        <w:rPr>
          <w:rFonts w:ascii="Arial" w:hAnsi="Arial" w:cs="Arial"/>
          <w:bCs/>
          <w:sz w:val="20"/>
          <w:szCs w:val="20"/>
        </w:rPr>
        <w:t xml:space="preserve">, emití informe sin salvedades con fecha </w:t>
      </w:r>
      <w:r w:rsidR="00C65425">
        <w:rPr>
          <w:rFonts w:ascii="Arial" w:hAnsi="Arial" w:cs="Arial"/>
          <w:bCs/>
          <w:sz w:val="20"/>
          <w:szCs w:val="20"/>
        </w:rPr>
        <w:t>19 de Enero de 2018</w:t>
      </w:r>
      <w:r w:rsidR="00CF79DD">
        <w:rPr>
          <w:rFonts w:ascii="Arial" w:hAnsi="Arial" w:cs="Arial"/>
          <w:bCs/>
          <w:sz w:val="20"/>
          <w:szCs w:val="20"/>
        </w:rPr>
        <w:t>.</w:t>
      </w:r>
    </w:p>
    <w:p w:rsidR="00CF79DD" w:rsidRDefault="00CF79DD" w:rsidP="0030779C">
      <w:pPr>
        <w:ind w:left="284"/>
        <w:jc w:val="both"/>
        <w:rPr>
          <w:rFonts w:ascii="Arial" w:hAnsi="Arial" w:cs="Arial"/>
          <w:bCs/>
          <w:sz w:val="20"/>
          <w:szCs w:val="20"/>
        </w:rPr>
      </w:pPr>
    </w:p>
    <w:p w:rsidR="00CF79DD" w:rsidRDefault="00CF79DD" w:rsidP="00CF79DD">
      <w:pPr>
        <w:pStyle w:val="Textoindependiente"/>
        <w:ind w:left="322"/>
      </w:pPr>
      <w:r>
        <w:t xml:space="preserve">Según Nota 3, con fecha 19 de enero de 2001 se obtuvo </w:t>
      </w:r>
      <w:smartTag w:uri="urn:schemas-microsoft-com:office:smarttags" w:element="PersonName">
        <w:smartTagPr>
          <w:attr w:name="ProductID" w:val="la Recepci￳n Definitiva"/>
        </w:smartTagPr>
        <w:r>
          <w:t>la Recepción Definitiva</w:t>
        </w:r>
      </w:smartTag>
      <w:r>
        <w:t xml:space="preserve"> de la Obra.</w:t>
      </w:r>
    </w:p>
    <w:p w:rsidR="00CF79DD" w:rsidRDefault="00CF79DD" w:rsidP="00CF79DD">
      <w:pPr>
        <w:pStyle w:val="Textoindependiente"/>
        <w:ind w:left="322"/>
      </w:pPr>
    </w:p>
    <w:p w:rsidR="00CF79DD" w:rsidRDefault="00CF79DD" w:rsidP="00CF79DD">
      <w:pPr>
        <w:ind w:left="322"/>
        <w:jc w:val="both"/>
        <w:rPr>
          <w:rFonts w:ascii="Arial" w:hAnsi="Arial"/>
          <w:b/>
          <w:sz w:val="20"/>
          <w:szCs w:val="20"/>
        </w:rPr>
      </w:pPr>
      <w:r>
        <w:rPr>
          <w:rFonts w:ascii="Arial" w:hAnsi="Arial"/>
          <w:sz w:val="20"/>
        </w:rPr>
        <w:t xml:space="preserve">Debido al cese de actividades descripto en el párrafo anterior, la UTE se encuentra comprendida en la segunda parte de </w:t>
      </w:r>
      <w:smartTag w:uri="urn:schemas-microsoft-com:office:smarttags" w:element="PersonName">
        <w:smartTagPr>
          <w:attr w:name="ProductID" w:val="la Resoluci￳n T￩cnica N"/>
        </w:smartTagPr>
        <w:r>
          <w:rPr>
            <w:rFonts w:ascii="Arial" w:hAnsi="Arial"/>
            <w:sz w:val="20"/>
          </w:rPr>
          <w:t>la Resolución Técnica N</w:t>
        </w:r>
      </w:smartTag>
      <w:r>
        <w:rPr>
          <w:rFonts w:ascii="Arial" w:hAnsi="Arial"/>
          <w:sz w:val="20"/>
        </w:rPr>
        <w:t xml:space="preserve">° 17, apartado 1.b) para entes que no cumplen con la condición de “empresa en marcha”  A la fecha, la resolución final de las cuestiones que se podrían originar por lo mencionado precedentemente no puede ser determinada. Consecuentemente, los estados contables adjuntos no incluyen la totalidad de los ajustes relacionados con la </w:t>
      </w:r>
      <w:proofErr w:type="spellStart"/>
      <w:r>
        <w:rPr>
          <w:rFonts w:ascii="Arial" w:hAnsi="Arial"/>
          <w:sz w:val="20"/>
        </w:rPr>
        <w:t>recuperabilidad</w:t>
      </w:r>
      <w:proofErr w:type="spellEnd"/>
      <w:r>
        <w:rPr>
          <w:rFonts w:ascii="Arial" w:hAnsi="Arial"/>
          <w:sz w:val="20"/>
        </w:rPr>
        <w:t xml:space="preserve"> y clasificación de los activos y/o la suficiencia y clasificación de los pasivos que podrían originarse</w:t>
      </w:r>
    </w:p>
    <w:p w:rsidR="00CF79DD" w:rsidRPr="001E395A" w:rsidRDefault="00CF79DD" w:rsidP="0030779C">
      <w:pPr>
        <w:ind w:left="284"/>
        <w:jc w:val="both"/>
        <w:rPr>
          <w:rFonts w:ascii="Arial" w:hAnsi="Arial" w:cs="Arial"/>
          <w:bCs/>
          <w:sz w:val="20"/>
          <w:szCs w:val="20"/>
        </w:rPr>
      </w:pPr>
    </w:p>
    <w:p w:rsidR="00CF79DD" w:rsidRPr="00CF79DD" w:rsidRDefault="00CF79DD" w:rsidP="00CF79DD">
      <w:pPr>
        <w:jc w:val="both"/>
        <w:rPr>
          <w:rFonts w:ascii="Arial" w:hAnsi="Arial" w:cs="Arial"/>
          <w:b/>
          <w:sz w:val="20"/>
          <w:szCs w:val="20"/>
        </w:rPr>
      </w:pPr>
      <w:r>
        <w:rPr>
          <w:rFonts w:ascii="Arial" w:hAnsi="Arial" w:cs="Arial"/>
          <w:b/>
          <w:sz w:val="20"/>
          <w:szCs w:val="20"/>
        </w:rPr>
        <w:t>6</w:t>
      </w:r>
      <w:r w:rsidRPr="00CF79DD">
        <w:rPr>
          <w:rFonts w:ascii="Arial" w:hAnsi="Arial" w:cs="Arial"/>
          <w:b/>
          <w:sz w:val="20"/>
          <w:szCs w:val="20"/>
        </w:rPr>
        <w:t>. Énfasis so</w:t>
      </w:r>
      <w:r w:rsidR="005928DE">
        <w:rPr>
          <w:rFonts w:ascii="Arial" w:hAnsi="Arial" w:cs="Arial"/>
          <w:b/>
          <w:sz w:val="20"/>
          <w:szCs w:val="20"/>
        </w:rPr>
        <w:t xml:space="preserve">bre la </w:t>
      </w:r>
      <w:proofErr w:type="spellStart"/>
      <w:r w:rsidR="005928DE">
        <w:rPr>
          <w:rFonts w:ascii="Arial" w:hAnsi="Arial" w:cs="Arial"/>
          <w:b/>
          <w:sz w:val="20"/>
          <w:szCs w:val="20"/>
        </w:rPr>
        <w:t>reexpresión</w:t>
      </w:r>
      <w:proofErr w:type="spellEnd"/>
      <w:r w:rsidR="005928DE">
        <w:rPr>
          <w:rFonts w:ascii="Arial" w:hAnsi="Arial" w:cs="Arial"/>
          <w:b/>
          <w:sz w:val="20"/>
          <w:szCs w:val="20"/>
        </w:rPr>
        <w:t xml:space="preserve"> en Moneda Hom</w:t>
      </w:r>
      <w:r w:rsidRPr="00CF79DD">
        <w:rPr>
          <w:rFonts w:ascii="Arial" w:hAnsi="Arial" w:cs="Arial"/>
          <w:b/>
          <w:sz w:val="20"/>
          <w:szCs w:val="20"/>
        </w:rPr>
        <w:t>ogénea de los Estados Contables</w:t>
      </w:r>
    </w:p>
    <w:p w:rsidR="00CF79DD" w:rsidRPr="00CF79DD" w:rsidRDefault="00CF79DD" w:rsidP="00CF79DD">
      <w:pPr>
        <w:jc w:val="both"/>
        <w:rPr>
          <w:rFonts w:ascii="Arial" w:hAnsi="Arial" w:cs="Arial"/>
          <w:b/>
          <w:sz w:val="20"/>
          <w:szCs w:val="20"/>
        </w:rPr>
      </w:pPr>
    </w:p>
    <w:p w:rsidR="00CF79DD" w:rsidRPr="00CF79DD" w:rsidRDefault="00CF79DD" w:rsidP="00CF79DD">
      <w:pPr>
        <w:ind w:left="284"/>
        <w:jc w:val="both"/>
        <w:rPr>
          <w:rFonts w:ascii="Arial" w:hAnsi="Arial" w:cs="Arial"/>
          <w:bCs/>
          <w:sz w:val="20"/>
          <w:szCs w:val="20"/>
        </w:rPr>
      </w:pPr>
      <w:r w:rsidRPr="00CF79DD">
        <w:rPr>
          <w:rFonts w:ascii="Arial" w:hAnsi="Arial" w:cs="Arial"/>
          <w:bCs/>
          <w:sz w:val="20"/>
          <w:szCs w:val="20"/>
        </w:rPr>
        <w:t xml:space="preserve">Sin modificar mi </w:t>
      </w:r>
      <w:r w:rsidR="003963A9">
        <w:rPr>
          <w:rFonts w:ascii="Arial" w:hAnsi="Arial" w:cs="Arial"/>
          <w:bCs/>
          <w:sz w:val="20"/>
          <w:szCs w:val="20"/>
        </w:rPr>
        <w:t>opinión</w:t>
      </w:r>
      <w:r w:rsidRPr="00CF79DD">
        <w:rPr>
          <w:rFonts w:ascii="Arial" w:hAnsi="Arial" w:cs="Arial"/>
          <w:bCs/>
          <w:sz w:val="20"/>
          <w:szCs w:val="20"/>
        </w:rPr>
        <w:t xml:space="preserve">, quiero enfatizar la información contenida en la Nota </w:t>
      </w:r>
      <w:r w:rsidR="008D1C86">
        <w:rPr>
          <w:rFonts w:ascii="Arial" w:hAnsi="Arial" w:cs="Arial"/>
          <w:bCs/>
          <w:sz w:val="20"/>
          <w:szCs w:val="20"/>
        </w:rPr>
        <w:t>1.2</w:t>
      </w:r>
      <w:r w:rsidRPr="00CF79DD">
        <w:rPr>
          <w:rFonts w:ascii="Arial" w:hAnsi="Arial" w:cs="Arial"/>
          <w:bCs/>
          <w:sz w:val="20"/>
          <w:szCs w:val="20"/>
        </w:rPr>
        <w:t xml:space="preserve"> a los estados contables adjuntos donde se describe que </w:t>
      </w:r>
      <w:r w:rsidR="008D1C86">
        <w:rPr>
          <w:rFonts w:ascii="Arial" w:hAnsi="Arial" w:cs="Arial"/>
          <w:bCs/>
          <w:sz w:val="20"/>
          <w:szCs w:val="20"/>
        </w:rPr>
        <w:t>se resolvió</w:t>
      </w:r>
      <w:r w:rsidRPr="00CF79DD">
        <w:rPr>
          <w:rFonts w:ascii="Arial" w:hAnsi="Arial" w:cs="Arial"/>
          <w:bCs/>
          <w:sz w:val="20"/>
          <w:szCs w:val="20"/>
        </w:rPr>
        <w:t xml:space="preserve"> aplicar el método de </w:t>
      </w:r>
      <w:proofErr w:type="spellStart"/>
      <w:r w:rsidRPr="00CF79DD">
        <w:rPr>
          <w:rFonts w:ascii="Arial" w:hAnsi="Arial" w:cs="Arial"/>
          <w:bCs/>
          <w:sz w:val="20"/>
          <w:szCs w:val="20"/>
        </w:rPr>
        <w:t>reexpresión</w:t>
      </w:r>
      <w:proofErr w:type="spellEnd"/>
      <w:r w:rsidRPr="00CF79DD">
        <w:rPr>
          <w:rFonts w:ascii="Arial" w:hAnsi="Arial" w:cs="Arial"/>
          <w:bCs/>
          <w:sz w:val="20"/>
          <w:szCs w:val="20"/>
        </w:rPr>
        <w:t xml:space="preserve"> descriptos en la nota antes referida, </w:t>
      </w:r>
      <w:r w:rsidR="00941488">
        <w:rPr>
          <w:rFonts w:ascii="Arial" w:hAnsi="Arial" w:cs="Arial"/>
          <w:bCs/>
          <w:sz w:val="20"/>
          <w:szCs w:val="20"/>
        </w:rPr>
        <w:t xml:space="preserve">donde </w:t>
      </w:r>
      <w:r w:rsidRPr="00CF79DD">
        <w:rPr>
          <w:rFonts w:ascii="Arial" w:hAnsi="Arial" w:cs="Arial"/>
          <w:bCs/>
          <w:sz w:val="20"/>
          <w:szCs w:val="20"/>
        </w:rPr>
        <w:t>se reflejan los ajustes correspondientes en forma retroactiva en el balance general</w:t>
      </w:r>
      <w:r>
        <w:rPr>
          <w:rFonts w:ascii="Arial" w:hAnsi="Arial" w:cs="Arial"/>
          <w:bCs/>
          <w:sz w:val="20"/>
          <w:szCs w:val="20"/>
        </w:rPr>
        <w:t xml:space="preserve"> al</w:t>
      </w:r>
      <w:r w:rsidRPr="00CF79DD">
        <w:rPr>
          <w:rFonts w:ascii="Arial" w:hAnsi="Arial" w:cs="Arial"/>
          <w:bCs/>
          <w:sz w:val="20"/>
          <w:szCs w:val="20"/>
        </w:rPr>
        <w:t xml:space="preserve"> 31 de diciembre de 2018</w:t>
      </w:r>
      <w:r>
        <w:rPr>
          <w:rFonts w:ascii="Arial" w:hAnsi="Arial" w:cs="Arial"/>
          <w:bCs/>
          <w:sz w:val="20"/>
          <w:szCs w:val="20"/>
        </w:rPr>
        <w:t xml:space="preserve"> y 31 de diciembre de 2017</w:t>
      </w:r>
      <w:r w:rsidR="007B38C0">
        <w:rPr>
          <w:rFonts w:ascii="Arial" w:hAnsi="Arial" w:cs="Arial"/>
          <w:bCs/>
          <w:sz w:val="20"/>
          <w:szCs w:val="20"/>
        </w:rPr>
        <w:t xml:space="preserve"> respectivamente</w:t>
      </w:r>
      <w:r w:rsidRPr="00CF79DD">
        <w:rPr>
          <w:rFonts w:ascii="Arial" w:hAnsi="Arial" w:cs="Arial"/>
          <w:bCs/>
          <w:sz w:val="20"/>
          <w:szCs w:val="20"/>
        </w:rPr>
        <w:t xml:space="preserve">. </w:t>
      </w:r>
    </w:p>
    <w:p w:rsidR="0030779C" w:rsidRDefault="0030779C" w:rsidP="0030779C">
      <w:pPr>
        <w:ind w:left="284"/>
        <w:jc w:val="both"/>
        <w:rPr>
          <w:rFonts w:ascii="Arial" w:hAnsi="Arial" w:cs="Arial"/>
          <w:bCs/>
          <w:sz w:val="20"/>
          <w:szCs w:val="20"/>
        </w:rPr>
      </w:pPr>
    </w:p>
    <w:p w:rsidR="0030779C" w:rsidRPr="00C9269D" w:rsidRDefault="0030779C" w:rsidP="0030779C">
      <w:pPr>
        <w:jc w:val="both"/>
        <w:rPr>
          <w:rFonts w:ascii="Arial" w:hAnsi="Arial" w:cs="Arial"/>
          <w:bCs/>
          <w:sz w:val="20"/>
          <w:szCs w:val="20"/>
        </w:rPr>
      </w:pPr>
      <w:r>
        <w:rPr>
          <w:rFonts w:ascii="Arial" w:hAnsi="Arial" w:cs="Arial"/>
          <w:b/>
          <w:sz w:val="20"/>
          <w:szCs w:val="20"/>
        </w:rPr>
        <w:t>6</w:t>
      </w:r>
      <w:r w:rsidRPr="00C9269D">
        <w:rPr>
          <w:rFonts w:ascii="Arial" w:hAnsi="Arial" w:cs="Arial"/>
          <w:b/>
          <w:sz w:val="20"/>
          <w:szCs w:val="20"/>
        </w:rPr>
        <w:t xml:space="preserve">. </w:t>
      </w:r>
      <w:r w:rsidRPr="00C9269D">
        <w:rPr>
          <w:rFonts w:ascii="Arial" w:hAnsi="Arial" w:cs="Arial"/>
          <w:b/>
          <w:sz w:val="20"/>
          <w:szCs w:val="20"/>
          <w:u w:val="single"/>
        </w:rPr>
        <w:t>Informe sobre otros requerimientos legales y reglamentarios</w:t>
      </w:r>
    </w:p>
    <w:p w:rsidR="0030779C" w:rsidRPr="00C9269D" w:rsidRDefault="0030779C" w:rsidP="0030779C">
      <w:pPr>
        <w:jc w:val="both"/>
        <w:rPr>
          <w:rFonts w:ascii="Arial" w:hAnsi="Arial" w:cs="Arial"/>
          <w:bCs/>
          <w:sz w:val="20"/>
          <w:szCs w:val="20"/>
        </w:rPr>
      </w:pPr>
    </w:p>
    <w:p w:rsidR="00CF79DD" w:rsidRDefault="00CF79DD" w:rsidP="00CF79DD">
      <w:pPr>
        <w:numPr>
          <w:ilvl w:val="0"/>
          <w:numId w:val="14"/>
        </w:numPr>
        <w:jc w:val="both"/>
        <w:rPr>
          <w:rFonts w:ascii="Arial" w:hAnsi="Arial" w:cs="Arial"/>
          <w:bCs/>
          <w:sz w:val="20"/>
        </w:rPr>
      </w:pPr>
      <w:r>
        <w:rPr>
          <w:rFonts w:ascii="Arial" w:hAnsi="Arial" w:cs="Arial"/>
          <w:bCs/>
          <w:sz w:val="20"/>
        </w:rPr>
        <w:t>Según surge de los registros contables de la UTE, no existe pasivo devengado a favor del Sistema Integrado Previsional Argentino al 31 de Diciembre de 2018.</w:t>
      </w:r>
    </w:p>
    <w:p w:rsidR="00CF79DD" w:rsidRDefault="00CF79DD" w:rsidP="00CF79DD">
      <w:pPr>
        <w:ind w:left="284"/>
        <w:jc w:val="both"/>
        <w:rPr>
          <w:rFonts w:ascii="Arial" w:hAnsi="Arial" w:cs="Arial"/>
          <w:bCs/>
          <w:sz w:val="20"/>
        </w:rPr>
      </w:pPr>
    </w:p>
    <w:p w:rsidR="00CF79DD" w:rsidRDefault="00CF79DD" w:rsidP="00CF79DD">
      <w:pPr>
        <w:numPr>
          <w:ilvl w:val="0"/>
          <w:numId w:val="14"/>
        </w:numPr>
        <w:jc w:val="both"/>
        <w:rPr>
          <w:rFonts w:ascii="Arial" w:hAnsi="Arial" w:cs="Arial"/>
          <w:bCs/>
          <w:sz w:val="20"/>
        </w:rPr>
      </w:pPr>
      <w:r>
        <w:rPr>
          <w:rFonts w:ascii="Arial" w:hAnsi="Arial" w:cs="Arial"/>
          <w:bCs/>
          <w:sz w:val="20"/>
        </w:rPr>
        <w:t xml:space="preserve">He aplicado los procedimientos sobre prevención de lavado de activos de origen delictivo y financiación del terrorismo previsto en </w:t>
      </w:r>
      <w:smartTag w:uri="urn:schemas-microsoft-com:office:smarttags" w:element="PersonName">
        <w:smartTagPr>
          <w:attr w:name="ProductID" w:val="la Resoluci￳n N"/>
        </w:smartTagPr>
        <w:r>
          <w:rPr>
            <w:rFonts w:ascii="Arial" w:hAnsi="Arial" w:cs="Arial"/>
            <w:bCs/>
            <w:sz w:val="20"/>
          </w:rPr>
          <w:t>la Resolución N</w:t>
        </w:r>
      </w:smartTag>
      <w:r>
        <w:rPr>
          <w:rFonts w:ascii="Arial" w:hAnsi="Arial" w:cs="Arial"/>
          <w:bCs/>
          <w:sz w:val="20"/>
        </w:rPr>
        <w:t xml:space="preserve">º 420/11 de </w:t>
      </w:r>
      <w:smartTag w:uri="urn:schemas-microsoft-com:office:smarttags" w:element="PersonName">
        <w:smartTagPr>
          <w:attr w:name="ProductID" w:val="la Federaci￳n Argentina"/>
        </w:smartTagPr>
        <w:r>
          <w:rPr>
            <w:rFonts w:ascii="Arial" w:hAnsi="Arial" w:cs="Arial"/>
            <w:bCs/>
            <w:sz w:val="20"/>
          </w:rPr>
          <w:t>la Federación Argentina</w:t>
        </w:r>
      </w:smartTag>
      <w:r>
        <w:rPr>
          <w:rFonts w:ascii="Arial" w:hAnsi="Arial" w:cs="Arial"/>
          <w:bCs/>
          <w:sz w:val="20"/>
        </w:rPr>
        <w:t xml:space="preserve"> de Consejos Profesionales de Ciencias Económicas.</w:t>
      </w:r>
    </w:p>
    <w:p w:rsidR="0030779C" w:rsidRDefault="0030779C" w:rsidP="0030779C">
      <w:pPr>
        <w:ind w:right="-85"/>
        <w:jc w:val="both"/>
        <w:rPr>
          <w:rFonts w:ascii="Arial" w:hAnsi="Arial"/>
          <w:sz w:val="20"/>
          <w:szCs w:val="20"/>
        </w:rPr>
      </w:pPr>
    </w:p>
    <w:p w:rsidR="0030779C" w:rsidRDefault="0030779C" w:rsidP="0030779C">
      <w:pPr>
        <w:ind w:right="-85"/>
        <w:jc w:val="both"/>
        <w:rPr>
          <w:rFonts w:ascii="Arial" w:hAnsi="Arial"/>
          <w:sz w:val="20"/>
          <w:szCs w:val="20"/>
        </w:rPr>
      </w:pPr>
      <w:r>
        <w:rPr>
          <w:rFonts w:ascii="Arial" w:hAnsi="Arial"/>
          <w:sz w:val="20"/>
          <w:szCs w:val="20"/>
        </w:rPr>
        <w:t>Ciudad Autónoma de B</w:t>
      </w:r>
      <w:r w:rsidR="00C65425">
        <w:rPr>
          <w:rFonts w:ascii="Arial" w:hAnsi="Arial"/>
          <w:sz w:val="20"/>
          <w:szCs w:val="20"/>
        </w:rPr>
        <w:t>uenos Aires, 1</w:t>
      </w:r>
      <w:r w:rsidR="00CF79DD">
        <w:rPr>
          <w:rFonts w:ascii="Arial" w:hAnsi="Arial"/>
          <w:sz w:val="20"/>
          <w:szCs w:val="20"/>
        </w:rPr>
        <w:t>3</w:t>
      </w:r>
      <w:r w:rsidR="00C65425">
        <w:rPr>
          <w:rFonts w:ascii="Arial" w:hAnsi="Arial"/>
          <w:sz w:val="20"/>
          <w:szCs w:val="20"/>
        </w:rPr>
        <w:t xml:space="preserve"> de </w:t>
      </w:r>
      <w:r w:rsidR="00CF79DD">
        <w:rPr>
          <w:rFonts w:ascii="Arial" w:hAnsi="Arial"/>
          <w:sz w:val="20"/>
          <w:szCs w:val="20"/>
        </w:rPr>
        <w:t>Febrero</w:t>
      </w:r>
      <w:r w:rsidR="00C65425">
        <w:rPr>
          <w:rFonts w:ascii="Arial" w:hAnsi="Arial"/>
          <w:sz w:val="20"/>
          <w:szCs w:val="20"/>
        </w:rPr>
        <w:t xml:space="preserve"> de 201</w:t>
      </w:r>
      <w:r w:rsidR="00CF79DD">
        <w:rPr>
          <w:rFonts w:ascii="Arial" w:hAnsi="Arial"/>
          <w:sz w:val="20"/>
          <w:szCs w:val="20"/>
        </w:rPr>
        <w:t>9</w:t>
      </w:r>
      <w:r>
        <w:rPr>
          <w:rFonts w:ascii="Arial" w:hAnsi="Arial"/>
          <w:sz w:val="20"/>
          <w:szCs w:val="20"/>
        </w:rPr>
        <w:t>.</w:t>
      </w:r>
    </w:p>
    <w:p w:rsidR="00A532EF" w:rsidRDefault="00A532EF">
      <w:pPr>
        <w:ind w:right="-227"/>
        <w:jc w:val="both"/>
        <w:rPr>
          <w:rFonts w:ascii="Arial" w:hAnsi="Arial"/>
          <w:sz w:val="20"/>
          <w:szCs w:val="20"/>
        </w:rPr>
      </w:pPr>
    </w:p>
    <w:p w:rsidR="00A532EF" w:rsidRDefault="00A532EF">
      <w:pPr>
        <w:ind w:right="-227"/>
        <w:jc w:val="both"/>
        <w:rPr>
          <w:rFonts w:ascii="Arial" w:hAnsi="Arial"/>
          <w:sz w:val="20"/>
          <w:szCs w:val="20"/>
        </w:rPr>
      </w:pPr>
    </w:p>
    <w:p w:rsidR="00A532EF" w:rsidRDefault="00A532EF">
      <w:pPr>
        <w:ind w:right="-227"/>
        <w:jc w:val="both"/>
        <w:rPr>
          <w:rFonts w:ascii="Arial" w:hAnsi="Arial"/>
          <w:sz w:val="20"/>
          <w:szCs w:val="20"/>
        </w:rPr>
      </w:pPr>
    </w:p>
    <w:p w:rsidR="00A532EF" w:rsidRDefault="00A532EF">
      <w:pPr>
        <w:ind w:right="-227"/>
        <w:jc w:val="both"/>
        <w:rPr>
          <w:rFonts w:ascii="Arial" w:hAnsi="Arial"/>
          <w:sz w:val="20"/>
          <w:szCs w:val="20"/>
        </w:rPr>
      </w:pPr>
    </w:p>
    <w:p w:rsidR="00A532EF" w:rsidRDefault="00A532EF">
      <w:pPr>
        <w:ind w:right="-227"/>
        <w:jc w:val="both"/>
        <w:rPr>
          <w:rFonts w:ascii="Arial" w:hAnsi="Arial"/>
          <w:sz w:val="20"/>
          <w:szCs w:val="20"/>
        </w:rPr>
      </w:pPr>
    </w:p>
    <w:p w:rsidR="00A532EF" w:rsidRDefault="00A532EF">
      <w:pPr>
        <w:ind w:right="-227"/>
        <w:jc w:val="center"/>
        <w:rPr>
          <w:rFonts w:ascii="Arial" w:hAnsi="Arial"/>
          <w:sz w:val="20"/>
          <w:szCs w:val="20"/>
        </w:rPr>
      </w:pPr>
      <w:r>
        <w:rPr>
          <w:rFonts w:ascii="Arial" w:hAnsi="Arial"/>
          <w:sz w:val="20"/>
          <w:szCs w:val="20"/>
        </w:rPr>
        <w:t>Dra. Blanca Ester Rivero</w:t>
      </w:r>
    </w:p>
    <w:p w:rsidR="00A532EF" w:rsidRDefault="00A532EF">
      <w:pPr>
        <w:ind w:right="-227"/>
        <w:jc w:val="center"/>
        <w:rPr>
          <w:rFonts w:ascii="Arial" w:hAnsi="Arial"/>
          <w:sz w:val="20"/>
          <w:szCs w:val="20"/>
        </w:rPr>
      </w:pPr>
      <w:r>
        <w:rPr>
          <w:rFonts w:ascii="Arial" w:hAnsi="Arial"/>
          <w:sz w:val="20"/>
          <w:szCs w:val="20"/>
        </w:rPr>
        <w:t>Contadora Pública (UBA)</w:t>
      </w:r>
    </w:p>
    <w:p w:rsidR="00A532EF" w:rsidRDefault="00A532EF">
      <w:pPr>
        <w:ind w:right="-227"/>
        <w:jc w:val="center"/>
        <w:rPr>
          <w:rFonts w:ascii="Arial" w:hAnsi="Arial"/>
          <w:sz w:val="20"/>
          <w:szCs w:val="20"/>
        </w:rPr>
      </w:pPr>
      <w:r>
        <w:rPr>
          <w:rFonts w:ascii="Arial" w:hAnsi="Arial"/>
          <w:sz w:val="20"/>
          <w:szCs w:val="20"/>
        </w:rPr>
        <w:t xml:space="preserve">C.P.C.E.C.A.B.A. </w:t>
      </w:r>
      <w:proofErr w:type="spellStart"/>
      <w:r>
        <w:rPr>
          <w:rFonts w:ascii="Arial" w:hAnsi="Arial"/>
          <w:sz w:val="20"/>
          <w:szCs w:val="20"/>
        </w:rPr>
        <w:t>Tº</w:t>
      </w:r>
      <w:proofErr w:type="spellEnd"/>
      <w:r>
        <w:rPr>
          <w:rFonts w:ascii="Arial" w:hAnsi="Arial"/>
          <w:sz w:val="20"/>
          <w:szCs w:val="20"/>
        </w:rPr>
        <w:t xml:space="preserve"> 134 </w:t>
      </w:r>
      <w:proofErr w:type="spellStart"/>
      <w:r>
        <w:rPr>
          <w:rFonts w:ascii="Arial" w:hAnsi="Arial"/>
          <w:sz w:val="20"/>
          <w:szCs w:val="20"/>
        </w:rPr>
        <w:t>Fº</w:t>
      </w:r>
      <w:proofErr w:type="spellEnd"/>
      <w:r>
        <w:rPr>
          <w:rFonts w:ascii="Arial" w:hAnsi="Arial"/>
          <w:sz w:val="20"/>
          <w:szCs w:val="20"/>
        </w:rPr>
        <w:t xml:space="preserve"> 199</w:t>
      </w:r>
    </w:p>
    <w:p w:rsidR="00A532EF" w:rsidRDefault="00A532EF">
      <w:pPr>
        <w:pStyle w:val="Textoinfaud"/>
        <w:tabs>
          <w:tab w:val="clear" w:pos="720"/>
        </w:tabs>
        <w:spacing w:line="240" w:lineRule="auto"/>
        <w:rPr>
          <w:rFonts w:ascii="Arial" w:hAnsi="Arial" w:cs="Arial"/>
          <w:lang w:val="es-ES"/>
        </w:rPr>
      </w:pPr>
    </w:p>
    <w:sectPr w:rsidR="00A532EF">
      <w:headerReference w:type="default" r:id="rId27"/>
      <w:footerReference w:type="default" r:id="rId28"/>
      <w:pgSz w:w="11906" w:h="16838" w:code="9"/>
      <w:pgMar w:top="1701" w:right="1646" w:bottom="1418"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5BD" w:rsidRDefault="009E55BD">
      <w:r>
        <w:separator/>
      </w:r>
    </w:p>
  </w:endnote>
  <w:endnote w:type="continuationSeparator" w:id="0">
    <w:p w:rsidR="009E55BD" w:rsidRDefault="009E5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EF" w:rsidRDefault="00A532E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532EF" w:rsidRDefault="00A532E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EF" w:rsidRDefault="00A532EF">
    <w:pPr>
      <w:jc w:val="center"/>
      <w:rPr>
        <w:sz w:val="20"/>
        <w:lang w:val="es-AR"/>
      </w:rPr>
    </w:pPr>
  </w:p>
  <w:tbl>
    <w:tblPr>
      <w:tblW w:w="8789" w:type="dxa"/>
      <w:tblInd w:w="70" w:type="dxa"/>
      <w:tblLayout w:type="fixed"/>
      <w:tblCellMar>
        <w:left w:w="70" w:type="dxa"/>
        <w:right w:w="70" w:type="dxa"/>
      </w:tblCellMar>
      <w:tblLook w:val="0000" w:firstRow="0" w:lastRow="0" w:firstColumn="0" w:lastColumn="0" w:noHBand="0" w:noVBand="0"/>
    </w:tblPr>
    <w:tblGrid>
      <w:gridCol w:w="3295"/>
      <w:gridCol w:w="2884"/>
      <w:gridCol w:w="2610"/>
    </w:tblGrid>
    <w:tr w:rsidR="00A532EF">
      <w:trPr>
        <w:trHeight w:val="624"/>
      </w:trPr>
      <w:tc>
        <w:tcPr>
          <w:tcW w:w="3295" w:type="dxa"/>
          <w:tcBorders>
            <w:top w:val="nil"/>
            <w:left w:val="nil"/>
            <w:bottom w:val="nil"/>
            <w:right w:val="nil"/>
          </w:tcBorders>
        </w:tcPr>
        <w:p w:rsidR="00A532EF" w:rsidRDefault="00A532EF">
          <w:pPr>
            <w:ind w:left="-70" w:right="-15"/>
            <w:jc w:val="center"/>
            <w:rPr>
              <w:rFonts w:ascii="Arial" w:hAnsi="Arial"/>
              <w:spacing w:val="-8"/>
              <w:sz w:val="20"/>
              <w:szCs w:val="18"/>
            </w:rPr>
          </w:pPr>
          <w:r>
            <w:rPr>
              <w:rFonts w:ascii="Arial" w:hAnsi="Arial"/>
              <w:spacing w:val="-8"/>
              <w:sz w:val="20"/>
              <w:szCs w:val="18"/>
            </w:rPr>
            <w:t xml:space="preserve">Firmado a efectos de su identificación con mi  informe de fecha </w:t>
          </w:r>
          <w:r w:rsidR="00B61DDD">
            <w:rPr>
              <w:rFonts w:ascii="Arial" w:hAnsi="Arial"/>
              <w:spacing w:val="-8"/>
              <w:sz w:val="20"/>
              <w:szCs w:val="18"/>
            </w:rPr>
            <w:t>13/02/2019</w:t>
          </w:r>
        </w:p>
        <w:p w:rsidR="00A532EF" w:rsidRDefault="00A532EF">
          <w:pPr>
            <w:ind w:left="-70" w:right="-15"/>
            <w:jc w:val="center"/>
            <w:rPr>
              <w:rFonts w:ascii="Arial" w:hAnsi="Arial"/>
              <w:spacing w:val="-8"/>
              <w:sz w:val="20"/>
              <w:szCs w:val="18"/>
            </w:rPr>
          </w:pPr>
        </w:p>
        <w:p w:rsidR="00A532EF" w:rsidRDefault="00A532EF">
          <w:pPr>
            <w:ind w:left="-70" w:right="-15"/>
            <w:jc w:val="center"/>
            <w:rPr>
              <w:rFonts w:ascii="Arial" w:hAnsi="Arial"/>
              <w:b/>
              <w:spacing w:val="-8"/>
              <w:sz w:val="20"/>
              <w:szCs w:val="18"/>
            </w:rPr>
          </w:pPr>
        </w:p>
      </w:tc>
      <w:tc>
        <w:tcPr>
          <w:tcW w:w="2884" w:type="dxa"/>
          <w:tcBorders>
            <w:top w:val="nil"/>
            <w:left w:val="nil"/>
            <w:bottom w:val="nil"/>
            <w:right w:val="nil"/>
          </w:tcBorders>
          <w:vAlign w:val="bottom"/>
        </w:tcPr>
        <w:p w:rsidR="00A532EF" w:rsidRDefault="00A532EF" w:rsidP="00B61DDD">
          <w:pPr>
            <w:pStyle w:val="Piedepgina"/>
            <w:jc w:val="center"/>
            <w:rPr>
              <w:rFonts w:ascii="Arial" w:hAnsi="Arial"/>
              <w:b/>
              <w:sz w:val="20"/>
              <w:szCs w:val="20"/>
            </w:rPr>
          </w:pPr>
        </w:p>
      </w:tc>
      <w:tc>
        <w:tcPr>
          <w:tcW w:w="2610" w:type="dxa"/>
          <w:tcBorders>
            <w:top w:val="nil"/>
            <w:left w:val="nil"/>
            <w:bottom w:val="nil"/>
            <w:right w:val="nil"/>
          </w:tcBorders>
          <w:vAlign w:val="bottom"/>
        </w:tcPr>
        <w:p w:rsidR="00A532EF" w:rsidRDefault="00A532EF">
          <w:pPr>
            <w:jc w:val="center"/>
            <w:rPr>
              <w:rFonts w:ascii="Arial" w:hAnsi="Arial"/>
              <w:b/>
              <w:sz w:val="20"/>
              <w:szCs w:val="20"/>
            </w:rPr>
          </w:pPr>
        </w:p>
      </w:tc>
    </w:tr>
    <w:tr w:rsidR="00A532EF">
      <w:tc>
        <w:tcPr>
          <w:tcW w:w="3295" w:type="dxa"/>
        </w:tcPr>
        <w:p w:rsidR="00A532EF" w:rsidRDefault="00A532EF">
          <w:pPr>
            <w:pStyle w:val="Encabezado"/>
            <w:ind w:right="-15"/>
            <w:jc w:val="center"/>
            <w:rPr>
              <w:rFonts w:ascii="Arial" w:hAnsi="Arial" w:cs="Arial"/>
              <w:sz w:val="20"/>
              <w:szCs w:val="18"/>
            </w:rPr>
          </w:pPr>
        </w:p>
        <w:p w:rsidR="00A532EF" w:rsidRDefault="00A532EF">
          <w:pPr>
            <w:pStyle w:val="Encabezado"/>
            <w:ind w:right="-15"/>
            <w:jc w:val="center"/>
            <w:rPr>
              <w:rFonts w:ascii="Arial" w:hAnsi="Arial" w:cs="Arial"/>
              <w:sz w:val="20"/>
              <w:szCs w:val="18"/>
            </w:rPr>
          </w:pPr>
        </w:p>
        <w:p w:rsidR="00A532EF" w:rsidRDefault="00A532EF">
          <w:pPr>
            <w:pStyle w:val="Encabezado"/>
            <w:ind w:right="-15"/>
            <w:jc w:val="center"/>
            <w:rPr>
              <w:rFonts w:ascii="Arial" w:hAnsi="Arial" w:cs="Arial"/>
              <w:sz w:val="20"/>
              <w:szCs w:val="18"/>
            </w:rPr>
          </w:pPr>
        </w:p>
        <w:p w:rsidR="00A532EF" w:rsidRDefault="00A532EF">
          <w:pPr>
            <w:pStyle w:val="Encabezado"/>
            <w:ind w:right="-15"/>
            <w:jc w:val="center"/>
            <w:rPr>
              <w:rFonts w:ascii="Arial" w:hAnsi="Arial" w:cs="Arial"/>
              <w:sz w:val="20"/>
              <w:szCs w:val="18"/>
            </w:rPr>
          </w:pPr>
        </w:p>
        <w:p w:rsidR="00A532EF" w:rsidRDefault="00A532EF">
          <w:pPr>
            <w:pStyle w:val="Encabezado"/>
            <w:ind w:right="-15"/>
            <w:jc w:val="center"/>
            <w:rPr>
              <w:rFonts w:ascii="Arial" w:hAnsi="Arial" w:cs="Arial"/>
              <w:sz w:val="20"/>
              <w:szCs w:val="18"/>
            </w:rPr>
          </w:pPr>
          <w:r>
            <w:rPr>
              <w:rFonts w:ascii="Arial" w:hAnsi="Arial" w:cs="Arial"/>
              <w:sz w:val="20"/>
              <w:szCs w:val="18"/>
            </w:rPr>
            <w:t>Dra. Blanca Ester Rivero</w:t>
          </w:r>
        </w:p>
        <w:p w:rsidR="00A532EF" w:rsidRDefault="00A532EF">
          <w:pPr>
            <w:pStyle w:val="Encabezado"/>
            <w:ind w:right="-15"/>
            <w:jc w:val="center"/>
            <w:rPr>
              <w:rFonts w:ascii="Arial" w:hAnsi="Arial" w:cs="Arial"/>
              <w:sz w:val="20"/>
              <w:szCs w:val="18"/>
            </w:rPr>
          </w:pPr>
          <w:r>
            <w:rPr>
              <w:rFonts w:ascii="Arial" w:hAnsi="Arial" w:cs="Arial"/>
              <w:sz w:val="20"/>
              <w:szCs w:val="18"/>
            </w:rPr>
            <w:t>Contadora Pública (UBA)</w:t>
          </w:r>
        </w:p>
        <w:p w:rsidR="00A532EF" w:rsidRDefault="00A532EF">
          <w:pPr>
            <w:pStyle w:val="Encabezado"/>
            <w:ind w:right="-15"/>
            <w:jc w:val="center"/>
            <w:rPr>
              <w:rFonts w:ascii="Arial" w:hAnsi="Arial" w:cs="Arial"/>
              <w:sz w:val="20"/>
              <w:szCs w:val="18"/>
            </w:rPr>
          </w:pPr>
          <w:r>
            <w:rPr>
              <w:rFonts w:ascii="Arial" w:hAnsi="Arial" w:cs="Arial"/>
              <w:sz w:val="20"/>
              <w:szCs w:val="18"/>
            </w:rPr>
            <w:t xml:space="preserve">C.P.C.E.C.A.B.A. </w:t>
          </w:r>
          <w:proofErr w:type="spellStart"/>
          <w:r>
            <w:rPr>
              <w:rFonts w:ascii="Arial" w:hAnsi="Arial" w:cs="Arial"/>
              <w:sz w:val="20"/>
              <w:szCs w:val="18"/>
            </w:rPr>
            <w:t>Tº</w:t>
          </w:r>
          <w:proofErr w:type="spellEnd"/>
          <w:r>
            <w:rPr>
              <w:rFonts w:ascii="Arial" w:hAnsi="Arial" w:cs="Arial"/>
              <w:sz w:val="20"/>
              <w:szCs w:val="18"/>
            </w:rPr>
            <w:t xml:space="preserve"> 134 </w:t>
          </w:r>
          <w:proofErr w:type="spellStart"/>
          <w:r>
            <w:rPr>
              <w:rFonts w:ascii="Arial" w:hAnsi="Arial" w:cs="Arial"/>
              <w:sz w:val="20"/>
              <w:szCs w:val="18"/>
            </w:rPr>
            <w:t>Fº</w:t>
          </w:r>
          <w:proofErr w:type="spellEnd"/>
          <w:r>
            <w:rPr>
              <w:rFonts w:ascii="Arial" w:hAnsi="Arial" w:cs="Arial"/>
              <w:sz w:val="20"/>
              <w:szCs w:val="18"/>
            </w:rPr>
            <w:t xml:space="preserve"> 199</w:t>
          </w:r>
        </w:p>
      </w:tc>
      <w:tc>
        <w:tcPr>
          <w:tcW w:w="2884" w:type="dxa"/>
        </w:tcPr>
        <w:p w:rsidR="00A532EF" w:rsidRDefault="00A532EF">
          <w:pPr>
            <w:jc w:val="center"/>
            <w:rPr>
              <w:rFonts w:ascii="Arial" w:hAnsi="Arial" w:cs="Arial"/>
              <w:sz w:val="20"/>
              <w:szCs w:val="18"/>
            </w:rPr>
          </w:pPr>
        </w:p>
      </w:tc>
      <w:tc>
        <w:tcPr>
          <w:tcW w:w="2610" w:type="dxa"/>
        </w:tcPr>
        <w:p w:rsidR="00A532EF" w:rsidRDefault="00A532EF">
          <w:pPr>
            <w:pStyle w:val="Encabezado"/>
            <w:jc w:val="center"/>
            <w:rPr>
              <w:rFonts w:ascii="Arial" w:hAnsi="Arial" w:cs="Arial"/>
              <w:sz w:val="20"/>
              <w:szCs w:val="18"/>
            </w:rPr>
          </w:pPr>
        </w:p>
        <w:p w:rsidR="00A532EF" w:rsidRDefault="00A532EF">
          <w:pPr>
            <w:pStyle w:val="Encabezado"/>
            <w:jc w:val="center"/>
            <w:rPr>
              <w:rFonts w:ascii="Arial" w:hAnsi="Arial" w:cs="Arial"/>
              <w:sz w:val="20"/>
              <w:szCs w:val="18"/>
            </w:rPr>
          </w:pPr>
        </w:p>
        <w:p w:rsidR="00A532EF" w:rsidRDefault="00A532EF">
          <w:pPr>
            <w:pStyle w:val="Encabezado"/>
            <w:jc w:val="center"/>
            <w:rPr>
              <w:rFonts w:ascii="Arial" w:hAnsi="Arial" w:cs="Arial"/>
              <w:sz w:val="20"/>
              <w:szCs w:val="18"/>
            </w:rPr>
          </w:pPr>
        </w:p>
      </w:tc>
    </w:tr>
  </w:tbl>
  <w:p w:rsidR="00A532EF" w:rsidRDefault="00A532EF">
    <w:pPr>
      <w:pStyle w:val="Estilo1"/>
      <w:rPr>
        <w:rFonts w:ascii="Times New Roman" w:hAnsi="Times New Roman"/>
        <w:sz w:val="20"/>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17" w:type="pct"/>
      <w:tblCellMar>
        <w:left w:w="70" w:type="dxa"/>
        <w:right w:w="70" w:type="dxa"/>
      </w:tblCellMar>
      <w:tblLook w:val="0000" w:firstRow="0" w:lastRow="0" w:firstColumn="0" w:lastColumn="0" w:noHBand="0" w:noVBand="0"/>
    </w:tblPr>
    <w:tblGrid>
      <w:gridCol w:w="6370"/>
      <w:gridCol w:w="3060"/>
      <w:gridCol w:w="695"/>
      <w:gridCol w:w="2793"/>
      <w:gridCol w:w="706"/>
    </w:tblGrid>
    <w:tr w:rsidR="00A532EF">
      <w:trPr>
        <w:trHeight w:val="624"/>
      </w:trPr>
      <w:tc>
        <w:tcPr>
          <w:tcW w:w="2338" w:type="pct"/>
          <w:tcBorders>
            <w:top w:val="nil"/>
            <w:left w:val="nil"/>
            <w:bottom w:val="nil"/>
            <w:right w:val="nil"/>
          </w:tcBorders>
          <w:vAlign w:val="center"/>
        </w:tcPr>
        <w:p w:rsidR="00A532EF" w:rsidRDefault="00A532EF">
          <w:pPr>
            <w:ind w:left="-70"/>
            <w:jc w:val="center"/>
            <w:rPr>
              <w:rFonts w:ascii="Arial" w:hAnsi="Arial" w:cs="Arial"/>
              <w:spacing w:val="-8"/>
              <w:sz w:val="20"/>
              <w:szCs w:val="18"/>
            </w:rPr>
          </w:pPr>
          <w:r>
            <w:rPr>
              <w:rFonts w:ascii="Arial" w:hAnsi="Arial" w:cs="Arial"/>
              <w:spacing w:val="-8"/>
              <w:sz w:val="20"/>
              <w:szCs w:val="18"/>
            </w:rPr>
            <w:t xml:space="preserve">Firmado a efectos de su identificación con mi  informe de fecha </w:t>
          </w:r>
          <w:r w:rsidR="00B61DDD">
            <w:rPr>
              <w:rFonts w:ascii="Arial" w:hAnsi="Arial" w:cs="Arial"/>
              <w:spacing w:val="-8"/>
              <w:sz w:val="20"/>
              <w:szCs w:val="18"/>
            </w:rPr>
            <w:t>13/02/2019</w:t>
          </w:r>
        </w:p>
        <w:p w:rsidR="00B61DDD" w:rsidRDefault="00B61DDD">
          <w:pPr>
            <w:ind w:left="-70"/>
            <w:jc w:val="center"/>
            <w:rPr>
              <w:rFonts w:ascii="Arial" w:hAnsi="Arial" w:cs="Arial"/>
              <w:spacing w:val="-8"/>
              <w:sz w:val="20"/>
              <w:szCs w:val="18"/>
            </w:rPr>
          </w:pPr>
        </w:p>
        <w:p w:rsidR="00A532EF" w:rsidRDefault="00A532EF">
          <w:pPr>
            <w:rPr>
              <w:rFonts w:ascii="Arial" w:hAnsi="Arial" w:cs="Arial"/>
              <w:spacing w:val="-8"/>
              <w:sz w:val="20"/>
              <w:szCs w:val="18"/>
            </w:rPr>
          </w:pPr>
        </w:p>
        <w:p w:rsidR="00A532EF" w:rsidRDefault="00A532EF">
          <w:pPr>
            <w:ind w:left="-70"/>
            <w:jc w:val="center"/>
            <w:rPr>
              <w:rFonts w:ascii="Arial" w:hAnsi="Arial" w:cs="Arial"/>
              <w:b/>
              <w:spacing w:val="-8"/>
              <w:sz w:val="20"/>
              <w:szCs w:val="18"/>
            </w:rPr>
          </w:pPr>
        </w:p>
      </w:tc>
      <w:tc>
        <w:tcPr>
          <w:tcW w:w="1123" w:type="pct"/>
          <w:tcBorders>
            <w:top w:val="nil"/>
            <w:left w:val="nil"/>
            <w:bottom w:val="nil"/>
            <w:right w:val="nil"/>
          </w:tcBorders>
          <w:vAlign w:val="bottom"/>
        </w:tcPr>
        <w:p w:rsidR="00A532EF" w:rsidRDefault="00A532EF" w:rsidP="00B61DDD">
          <w:pPr>
            <w:pStyle w:val="Piedepgina"/>
            <w:jc w:val="center"/>
            <w:rPr>
              <w:rFonts w:ascii="Arial" w:hAnsi="Arial" w:cs="Arial"/>
              <w:b/>
              <w:sz w:val="20"/>
              <w:szCs w:val="18"/>
            </w:rPr>
          </w:pPr>
        </w:p>
      </w:tc>
      <w:tc>
        <w:tcPr>
          <w:tcW w:w="1539" w:type="pct"/>
          <w:gridSpan w:val="3"/>
          <w:tcBorders>
            <w:top w:val="nil"/>
            <w:left w:val="nil"/>
            <w:bottom w:val="nil"/>
            <w:right w:val="nil"/>
          </w:tcBorders>
          <w:vAlign w:val="bottom"/>
        </w:tcPr>
        <w:p w:rsidR="00A532EF" w:rsidRDefault="00A532EF">
          <w:pPr>
            <w:jc w:val="center"/>
            <w:rPr>
              <w:rFonts w:ascii="Arial" w:hAnsi="Arial" w:cs="Arial"/>
              <w:b/>
              <w:sz w:val="20"/>
              <w:szCs w:val="18"/>
            </w:rPr>
          </w:pPr>
        </w:p>
      </w:tc>
    </w:tr>
    <w:tr w:rsidR="00A532EF">
      <w:trPr>
        <w:gridAfter w:val="1"/>
        <w:wAfter w:w="259" w:type="pct"/>
      </w:trPr>
      <w:tc>
        <w:tcPr>
          <w:tcW w:w="2338" w:type="pct"/>
        </w:tcPr>
        <w:p w:rsidR="00A532EF" w:rsidRDefault="00A532EF">
          <w:pPr>
            <w:pStyle w:val="Encabezado"/>
            <w:rPr>
              <w:rFonts w:ascii="Arial" w:hAnsi="Arial" w:cs="Arial"/>
              <w:sz w:val="20"/>
              <w:szCs w:val="18"/>
            </w:rPr>
          </w:pPr>
        </w:p>
        <w:p w:rsidR="00A532EF" w:rsidRDefault="00A532EF">
          <w:pPr>
            <w:pStyle w:val="Encabezado"/>
            <w:rPr>
              <w:rFonts w:ascii="Arial" w:hAnsi="Arial" w:cs="Arial"/>
              <w:sz w:val="20"/>
              <w:szCs w:val="18"/>
            </w:rPr>
          </w:pPr>
        </w:p>
        <w:p w:rsidR="00A532EF" w:rsidRDefault="00A532EF">
          <w:pPr>
            <w:pStyle w:val="Encabezado"/>
            <w:rPr>
              <w:rFonts w:ascii="Arial" w:hAnsi="Arial" w:cs="Arial"/>
              <w:sz w:val="20"/>
              <w:szCs w:val="18"/>
            </w:rPr>
          </w:pPr>
        </w:p>
        <w:p w:rsidR="00A532EF" w:rsidRDefault="00A532EF">
          <w:pPr>
            <w:pStyle w:val="Encabezado"/>
            <w:jc w:val="center"/>
            <w:rPr>
              <w:rFonts w:ascii="Arial" w:hAnsi="Arial" w:cs="Arial"/>
              <w:sz w:val="20"/>
              <w:szCs w:val="18"/>
            </w:rPr>
          </w:pPr>
          <w:r>
            <w:rPr>
              <w:rFonts w:ascii="Arial" w:hAnsi="Arial" w:cs="Arial"/>
              <w:sz w:val="20"/>
              <w:szCs w:val="18"/>
            </w:rPr>
            <w:t>Dra. Blanca Ester Rivero</w:t>
          </w:r>
        </w:p>
        <w:p w:rsidR="00A532EF" w:rsidRDefault="00A532EF">
          <w:pPr>
            <w:pStyle w:val="Encabezado"/>
            <w:jc w:val="center"/>
            <w:rPr>
              <w:rFonts w:ascii="Arial" w:hAnsi="Arial" w:cs="Arial"/>
              <w:sz w:val="20"/>
              <w:szCs w:val="18"/>
            </w:rPr>
          </w:pPr>
          <w:r>
            <w:rPr>
              <w:rFonts w:ascii="Arial" w:hAnsi="Arial" w:cs="Arial"/>
              <w:sz w:val="20"/>
              <w:szCs w:val="18"/>
            </w:rPr>
            <w:t>Contadora Pública (UBA)</w:t>
          </w:r>
        </w:p>
        <w:p w:rsidR="00A532EF" w:rsidRDefault="00A532EF">
          <w:pPr>
            <w:pStyle w:val="Encabezado"/>
            <w:jc w:val="center"/>
            <w:rPr>
              <w:rFonts w:ascii="Arial" w:hAnsi="Arial" w:cs="Arial"/>
              <w:sz w:val="20"/>
              <w:szCs w:val="18"/>
            </w:rPr>
          </w:pPr>
          <w:r>
            <w:rPr>
              <w:rFonts w:ascii="Arial" w:hAnsi="Arial" w:cs="Arial"/>
              <w:sz w:val="20"/>
              <w:szCs w:val="18"/>
            </w:rPr>
            <w:t xml:space="preserve">C.P.C.E.C.A.B.A. </w:t>
          </w:r>
          <w:proofErr w:type="spellStart"/>
          <w:r>
            <w:rPr>
              <w:rFonts w:ascii="Arial" w:hAnsi="Arial" w:cs="Arial"/>
              <w:sz w:val="20"/>
              <w:szCs w:val="18"/>
            </w:rPr>
            <w:t>Tº</w:t>
          </w:r>
          <w:proofErr w:type="spellEnd"/>
          <w:r>
            <w:rPr>
              <w:rFonts w:ascii="Arial" w:hAnsi="Arial" w:cs="Arial"/>
              <w:sz w:val="20"/>
              <w:szCs w:val="18"/>
            </w:rPr>
            <w:t xml:space="preserve"> 134 </w:t>
          </w:r>
          <w:proofErr w:type="spellStart"/>
          <w:r>
            <w:rPr>
              <w:rFonts w:ascii="Arial" w:hAnsi="Arial" w:cs="Arial"/>
              <w:sz w:val="20"/>
              <w:szCs w:val="18"/>
            </w:rPr>
            <w:t>Fº</w:t>
          </w:r>
          <w:proofErr w:type="spellEnd"/>
          <w:r>
            <w:rPr>
              <w:rFonts w:ascii="Arial" w:hAnsi="Arial" w:cs="Arial"/>
              <w:sz w:val="20"/>
              <w:szCs w:val="18"/>
            </w:rPr>
            <w:t xml:space="preserve"> 199</w:t>
          </w:r>
        </w:p>
      </w:tc>
      <w:tc>
        <w:tcPr>
          <w:tcW w:w="1378" w:type="pct"/>
          <w:gridSpan w:val="2"/>
        </w:tcPr>
        <w:p w:rsidR="00A532EF" w:rsidRDefault="00A532EF">
          <w:pPr>
            <w:jc w:val="center"/>
            <w:rPr>
              <w:rFonts w:ascii="Arial" w:hAnsi="Arial" w:cs="Arial"/>
              <w:sz w:val="20"/>
              <w:szCs w:val="18"/>
            </w:rPr>
          </w:pPr>
        </w:p>
      </w:tc>
      <w:tc>
        <w:tcPr>
          <w:tcW w:w="1025" w:type="pct"/>
        </w:tcPr>
        <w:p w:rsidR="00A532EF" w:rsidRDefault="00A532EF">
          <w:pPr>
            <w:pStyle w:val="Encabezado"/>
            <w:jc w:val="center"/>
            <w:rPr>
              <w:rFonts w:ascii="Arial" w:hAnsi="Arial" w:cs="Arial"/>
              <w:sz w:val="20"/>
              <w:szCs w:val="18"/>
            </w:rPr>
          </w:pPr>
        </w:p>
        <w:p w:rsidR="00A532EF" w:rsidRDefault="00A532EF">
          <w:pPr>
            <w:pStyle w:val="Encabezado"/>
            <w:jc w:val="center"/>
            <w:rPr>
              <w:rFonts w:ascii="Arial" w:hAnsi="Arial" w:cs="Arial"/>
              <w:sz w:val="20"/>
              <w:szCs w:val="18"/>
            </w:rPr>
          </w:pPr>
        </w:p>
        <w:p w:rsidR="00A532EF" w:rsidRDefault="00A532EF">
          <w:pPr>
            <w:pStyle w:val="Encabezado"/>
            <w:jc w:val="center"/>
            <w:rPr>
              <w:rFonts w:ascii="Arial" w:hAnsi="Arial" w:cs="Arial"/>
              <w:sz w:val="20"/>
              <w:szCs w:val="18"/>
            </w:rPr>
          </w:pPr>
        </w:p>
        <w:p w:rsidR="00A532EF" w:rsidRDefault="00A532EF">
          <w:pPr>
            <w:pStyle w:val="Encabezado"/>
            <w:jc w:val="center"/>
            <w:rPr>
              <w:rFonts w:ascii="Arial" w:hAnsi="Arial" w:cs="Arial"/>
              <w:sz w:val="20"/>
              <w:szCs w:val="18"/>
            </w:rPr>
          </w:pPr>
        </w:p>
      </w:tc>
    </w:tr>
  </w:tbl>
  <w:p w:rsidR="00A532EF" w:rsidRDefault="00A532EF">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30" w:type="dxa"/>
      <w:tblInd w:w="70" w:type="dxa"/>
      <w:tblLayout w:type="fixed"/>
      <w:tblCellMar>
        <w:left w:w="70" w:type="dxa"/>
        <w:right w:w="70" w:type="dxa"/>
      </w:tblCellMar>
      <w:tblLook w:val="0000" w:firstRow="0" w:lastRow="0" w:firstColumn="0" w:lastColumn="0" w:noHBand="0" w:noVBand="0"/>
    </w:tblPr>
    <w:tblGrid>
      <w:gridCol w:w="4140"/>
      <w:gridCol w:w="1980"/>
      <w:gridCol w:w="2610"/>
    </w:tblGrid>
    <w:tr w:rsidR="00A532EF">
      <w:trPr>
        <w:trHeight w:val="624"/>
      </w:trPr>
      <w:tc>
        <w:tcPr>
          <w:tcW w:w="4140" w:type="dxa"/>
          <w:tcBorders>
            <w:top w:val="nil"/>
            <w:left w:val="nil"/>
            <w:bottom w:val="nil"/>
            <w:right w:val="nil"/>
          </w:tcBorders>
        </w:tcPr>
        <w:p w:rsidR="00A532EF" w:rsidRDefault="00A532EF">
          <w:pPr>
            <w:ind w:left="-70"/>
            <w:jc w:val="center"/>
            <w:rPr>
              <w:rFonts w:ascii="Arial" w:hAnsi="Arial" w:cs="Arial"/>
              <w:spacing w:val="-8"/>
              <w:sz w:val="20"/>
              <w:szCs w:val="18"/>
            </w:rPr>
          </w:pPr>
          <w:r>
            <w:rPr>
              <w:rFonts w:ascii="Arial" w:hAnsi="Arial" w:cs="Arial"/>
              <w:spacing w:val="-8"/>
              <w:sz w:val="20"/>
              <w:szCs w:val="18"/>
            </w:rPr>
            <w:t xml:space="preserve">Firmado a efectos de su identificación con mi  informe de fecha </w:t>
          </w:r>
          <w:r w:rsidR="00B61DDD">
            <w:rPr>
              <w:rFonts w:ascii="Arial" w:hAnsi="Arial" w:cs="Arial"/>
              <w:spacing w:val="-8"/>
              <w:sz w:val="20"/>
              <w:szCs w:val="18"/>
            </w:rPr>
            <w:t>13/02/2019</w:t>
          </w:r>
        </w:p>
        <w:p w:rsidR="00B61DDD" w:rsidRDefault="00B61DDD" w:rsidP="00B61DDD">
          <w:pPr>
            <w:ind w:left="-70"/>
            <w:rPr>
              <w:rFonts w:ascii="Arial" w:hAnsi="Arial" w:cs="Arial"/>
              <w:spacing w:val="-8"/>
              <w:sz w:val="20"/>
              <w:szCs w:val="18"/>
            </w:rPr>
          </w:pPr>
        </w:p>
        <w:p w:rsidR="00A532EF" w:rsidRDefault="00A532EF">
          <w:pPr>
            <w:ind w:left="-70"/>
            <w:jc w:val="center"/>
            <w:rPr>
              <w:rFonts w:ascii="Arial" w:hAnsi="Arial" w:cs="Arial"/>
              <w:b/>
              <w:spacing w:val="-8"/>
              <w:sz w:val="20"/>
              <w:szCs w:val="18"/>
            </w:rPr>
          </w:pPr>
        </w:p>
      </w:tc>
      <w:tc>
        <w:tcPr>
          <w:tcW w:w="1980" w:type="dxa"/>
          <w:tcBorders>
            <w:top w:val="nil"/>
            <w:left w:val="nil"/>
            <w:bottom w:val="nil"/>
            <w:right w:val="nil"/>
          </w:tcBorders>
          <w:vAlign w:val="bottom"/>
        </w:tcPr>
        <w:p w:rsidR="00A532EF" w:rsidRDefault="00A532EF" w:rsidP="00B61DDD">
          <w:pPr>
            <w:pStyle w:val="Piedepgina"/>
            <w:jc w:val="center"/>
            <w:rPr>
              <w:rFonts w:ascii="Arial" w:hAnsi="Arial" w:cs="Arial"/>
              <w:b/>
              <w:sz w:val="20"/>
              <w:szCs w:val="18"/>
            </w:rPr>
          </w:pPr>
        </w:p>
      </w:tc>
      <w:tc>
        <w:tcPr>
          <w:tcW w:w="2610" w:type="dxa"/>
          <w:tcBorders>
            <w:top w:val="nil"/>
            <w:left w:val="nil"/>
            <w:bottom w:val="nil"/>
            <w:right w:val="nil"/>
          </w:tcBorders>
          <w:vAlign w:val="bottom"/>
        </w:tcPr>
        <w:p w:rsidR="00A532EF" w:rsidRDefault="00A532EF">
          <w:pPr>
            <w:jc w:val="center"/>
            <w:rPr>
              <w:rFonts w:ascii="Arial" w:hAnsi="Arial" w:cs="Arial"/>
              <w:b/>
              <w:sz w:val="20"/>
              <w:szCs w:val="18"/>
            </w:rPr>
          </w:pPr>
        </w:p>
      </w:tc>
    </w:tr>
    <w:tr w:rsidR="00A532EF">
      <w:trPr>
        <w:trHeight w:val="851"/>
      </w:trPr>
      <w:tc>
        <w:tcPr>
          <w:tcW w:w="4140" w:type="dxa"/>
          <w:tcBorders>
            <w:top w:val="nil"/>
            <w:left w:val="nil"/>
            <w:bottom w:val="nil"/>
            <w:right w:val="nil"/>
          </w:tcBorders>
          <w:vAlign w:val="bottom"/>
        </w:tcPr>
        <w:p w:rsidR="00A532EF" w:rsidRDefault="00A532EF">
          <w:pPr>
            <w:ind w:left="-70" w:right="446"/>
            <w:jc w:val="center"/>
            <w:rPr>
              <w:rFonts w:ascii="Arial" w:hAnsi="Arial" w:cs="Arial"/>
              <w:b/>
              <w:sz w:val="20"/>
              <w:szCs w:val="18"/>
            </w:rPr>
          </w:pPr>
        </w:p>
        <w:p w:rsidR="00A532EF" w:rsidRDefault="00A532EF">
          <w:pPr>
            <w:ind w:left="-70" w:right="446"/>
            <w:jc w:val="center"/>
            <w:rPr>
              <w:rFonts w:ascii="Arial" w:hAnsi="Arial" w:cs="Arial"/>
              <w:b/>
              <w:sz w:val="20"/>
              <w:szCs w:val="18"/>
            </w:rPr>
          </w:pPr>
        </w:p>
      </w:tc>
      <w:tc>
        <w:tcPr>
          <w:tcW w:w="1980" w:type="dxa"/>
          <w:tcBorders>
            <w:top w:val="nil"/>
            <w:left w:val="nil"/>
            <w:bottom w:val="nil"/>
            <w:right w:val="nil"/>
          </w:tcBorders>
          <w:vAlign w:val="bottom"/>
        </w:tcPr>
        <w:p w:rsidR="00A532EF" w:rsidRDefault="00A532EF">
          <w:pPr>
            <w:jc w:val="center"/>
            <w:rPr>
              <w:rFonts w:ascii="Arial" w:hAnsi="Arial" w:cs="Arial"/>
              <w:b/>
              <w:sz w:val="20"/>
              <w:szCs w:val="18"/>
            </w:rPr>
          </w:pPr>
        </w:p>
      </w:tc>
      <w:tc>
        <w:tcPr>
          <w:tcW w:w="2610" w:type="dxa"/>
          <w:tcBorders>
            <w:top w:val="nil"/>
            <w:left w:val="nil"/>
            <w:bottom w:val="nil"/>
            <w:right w:val="nil"/>
          </w:tcBorders>
          <w:vAlign w:val="bottom"/>
        </w:tcPr>
        <w:p w:rsidR="00A532EF" w:rsidRDefault="00A532EF">
          <w:pPr>
            <w:jc w:val="center"/>
            <w:rPr>
              <w:rFonts w:ascii="Arial" w:hAnsi="Arial" w:cs="Arial"/>
              <w:b/>
              <w:sz w:val="20"/>
              <w:szCs w:val="18"/>
            </w:rPr>
          </w:pPr>
        </w:p>
      </w:tc>
    </w:tr>
    <w:tr w:rsidR="00A532EF">
      <w:tc>
        <w:tcPr>
          <w:tcW w:w="4140" w:type="dxa"/>
        </w:tcPr>
        <w:p w:rsidR="00A532EF" w:rsidRDefault="00A532EF">
          <w:pPr>
            <w:pStyle w:val="Encabezado"/>
            <w:jc w:val="center"/>
            <w:rPr>
              <w:rFonts w:ascii="Arial" w:hAnsi="Arial" w:cs="Arial"/>
              <w:sz w:val="20"/>
              <w:szCs w:val="18"/>
            </w:rPr>
          </w:pPr>
          <w:r>
            <w:rPr>
              <w:rFonts w:ascii="Arial" w:hAnsi="Arial" w:cs="Arial"/>
              <w:sz w:val="20"/>
              <w:szCs w:val="18"/>
            </w:rPr>
            <w:t>Dra. Blanca Ester Rivero</w:t>
          </w:r>
        </w:p>
        <w:p w:rsidR="00A532EF" w:rsidRDefault="00A532EF">
          <w:pPr>
            <w:pStyle w:val="Encabezado"/>
            <w:jc w:val="center"/>
            <w:rPr>
              <w:rFonts w:ascii="Arial" w:hAnsi="Arial" w:cs="Arial"/>
              <w:sz w:val="20"/>
              <w:szCs w:val="18"/>
            </w:rPr>
          </w:pPr>
          <w:r>
            <w:rPr>
              <w:rFonts w:ascii="Arial" w:hAnsi="Arial" w:cs="Arial"/>
              <w:sz w:val="20"/>
              <w:szCs w:val="18"/>
            </w:rPr>
            <w:t>Contadora Pública (UBA)</w:t>
          </w:r>
        </w:p>
        <w:p w:rsidR="00A532EF" w:rsidRDefault="00A532EF">
          <w:pPr>
            <w:pStyle w:val="Encabezado"/>
            <w:jc w:val="center"/>
            <w:rPr>
              <w:rFonts w:ascii="Arial" w:hAnsi="Arial" w:cs="Arial"/>
              <w:sz w:val="20"/>
              <w:szCs w:val="18"/>
            </w:rPr>
          </w:pPr>
          <w:r>
            <w:rPr>
              <w:rFonts w:ascii="Arial" w:hAnsi="Arial" w:cs="Arial"/>
              <w:sz w:val="20"/>
              <w:szCs w:val="18"/>
            </w:rPr>
            <w:t xml:space="preserve">C.P.C.E.C.A.B.A. </w:t>
          </w:r>
          <w:proofErr w:type="spellStart"/>
          <w:r>
            <w:rPr>
              <w:rFonts w:ascii="Arial" w:hAnsi="Arial" w:cs="Arial"/>
              <w:sz w:val="20"/>
              <w:szCs w:val="18"/>
            </w:rPr>
            <w:t>Tº</w:t>
          </w:r>
          <w:proofErr w:type="spellEnd"/>
          <w:r>
            <w:rPr>
              <w:rFonts w:ascii="Arial" w:hAnsi="Arial" w:cs="Arial"/>
              <w:sz w:val="20"/>
              <w:szCs w:val="18"/>
            </w:rPr>
            <w:t xml:space="preserve"> 134 </w:t>
          </w:r>
          <w:proofErr w:type="spellStart"/>
          <w:r>
            <w:rPr>
              <w:rFonts w:ascii="Arial" w:hAnsi="Arial" w:cs="Arial"/>
              <w:sz w:val="20"/>
              <w:szCs w:val="18"/>
            </w:rPr>
            <w:t>Fº</w:t>
          </w:r>
          <w:proofErr w:type="spellEnd"/>
          <w:r>
            <w:rPr>
              <w:rFonts w:ascii="Arial" w:hAnsi="Arial" w:cs="Arial"/>
              <w:sz w:val="20"/>
              <w:szCs w:val="18"/>
            </w:rPr>
            <w:t xml:space="preserve"> 199</w:t>
          </w:r>
        </w:p>
      </w:tc>
      <w:tc>
        <w:tcPr>
          <w:tcW w:w="1980" w:type="dxa"/>
        </w:tcPr>
        <w:p w:rsidR="00A532EF" w:rsidRDefault="00A532EF">
          <w:pPr>
            <w:jc w:val="center"/>
            <w:rPr>
              <w:rFonts w:ascii="Arial" w:hAnsi="Arial" w:cs="Arial"/>
              <w:sz w:val="20"/>
              <w:szCs w:val="18"/>
            </w:rPr>
          </w:pPr>
        </w:p>
      </w:tc>
      <w:tc>
        <w:tcPr>
          <w:tcW w:w="2610" w:type="dxa"/>
        </w:tcPr>
        <w:p w:rsidR="00A532EF" w:rsidRDefault="00A532EF">
          <w:pPr>
            <w:pStyle w:val="Encabezado"/>
            <w:jc w:val="center"/>
            <w:rPr>
              <w:rFonts w:ascii="Arial" w:hAnsi="Arial" w:cs="Arial"/>
              <w:sz w:val="20"/>
              <w:szCs w:val="18"/>
            </w:rPr>
          </w:pPr>
        </w:p>
      </w:tc>
    </w:tr>
  </w:tbl>
  <w:p w:rsidR="00A532EF" w:rsidRDefault="00A532EF">
    <w:pPr>
      <w:pStyle w:val="Estilo1"/>
      <w:jc w:val="center"/>
      <w:rPr>
        <w:rFonts w:ascii="Arial" w:hAnsi="Arial" w:cs="Arial"/>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340" w:type="dxa"/>
      <w:tblInd w:w="70" w:type="dxa"/>
      <w:tblLayout w:type="fixed"/>
      <w:tblCellMar>
        <w:left w:w="70" w:type="dxa"/>
        <w:right w:w="70" w:type="dxa"/>
      </w:tblCellMar>
      <w:tblLook w:val="0000" w:firstRow="0" w:lastRow="0" w:firstColumn="0" w:lastColumn="0" w:noHBand="0" w:noVBand="0"/>
    </w:tblPr>
    <w:tblGrid>
      <w:gridCol w:w="6300"/>
      <w:gridCol w:w="2160"/>
      <w:gridCol w:w="2880"/>
    </w:tblGrid>
    <w:tr w:rsidR="00A532EF">
      <w:trPr>
        <w:trHeight w:val="624"/>
      </w:trPr>
      <w:tc>
        <w:tcPr>
          <w:tcW w:w="6300" w:type="dxa"/>
          <w:tcBorders>
            <w:top w:val="nil"/>
            <w:left w:val="nil"/>
            <w:bottom w:val="nil"/>
            <w:right w:val="nil"/>
          </w:tcBorders>
        </w:tcPr>
        <w:p w:rsidR="00A532EF" w:rsidRDefault="00A532EF">
          <w:pPr>
            <w:ind w:left="-70"/>
            <w:jc w:val="center"/>
            <w:rPr>
              <w:rFonts w:ascii="Arial" w:hAnsi="Arial" w:cs="Arial"/>
              <w:spacing w:val="-8"/>
              <w:sz w:val="20"/>
              <w:szCs w:val="18"/>
            </w:rPr>
          </w:pPr>
          <w:r>
            <w:rPr>
              <w:rFonts w:ascii="Arial" w:hAnsi="Arial" w:cs="Arial"/>
              <w:spacing w:val="-8"/>
              <w:sz w:val="20"/>
              <w:szCs w:val="18"/>
            </w:rPr>
            <w:t xml:space="preserve">Firmado a efectos de su identificación con mi  informe de fecha </w:t>
          </w:r>
          <w:r w:rsidR="00866E0C">
            <w:rPr>
              <w:rFonts w:ascii="Arial" w:hAnsi="Arial" w:cs="Arial"/>
              <w:spacing w:val="-8"/>
              <w:sz w:val="20"/>
              <w:szCs w:val="18"/>
            </w:rPr>
            <w:t>13/02/2019</w:t>
          </w:r>
        </w:p>
        <w:p w:rsidR="00A532EF" w:rsidRDefault="00A532EF">
          <w:pPr>
            <w:ind w:left="-70"/>
            <w:jc w:val="center"/>
            <w:rPr>
              <w:rFonts w:ascii="Arial" w:hAnsi="Arial" w:cs="Arial"/>
              <w:b/>
              <w:spacing w:val="-8"/>
              <w:sz w:val="20"/>
              <w:szCs w:val="18"/>
            </w:rPr>
          </w:pPr>
        </w:p>
      </w:tc>
      <w:tc>
        <w:tcPr>
          <w:tcW w:w="2160" w:type="dxa"/>
          <w:tcBorders>
            <w:top w:val="nil"/>
            <w:left w:val="nil"/>
            <w:bottom w:val="nil"/>
            <w:right w:val="nil"/>
          </w:tcBorders>
          <w:vAlign w:val="bottom"/>
        </w:tcPr>
        <w:p w:rsidR="00A532EF" w:rsidRDefault="00A532EF" w:rsidP="00866E0C">
          <w:pPr>
            <w:pStyle w:val="Piedepgina"/>
            <w:jc w:val="center"/>
            <w:rPr>
              <w:rFonts w:ascii="Arial" w:hAnsi="Arial" w:cs="Arial"/>
              <w:b/>
              <w:sz w:val="20"/>
              <w:szCs w:val="18"/>
            </w:rPr>
          </w:pPr>
        </w:p>
      </w:tc>
      <w:tc>
        <w:tcPr>
          <w:tcW w:w="2880" w:type="dxa"/>
          <w:tcBorders>
            <w:top w:val="nil"/>
            <w:left w:val="nil"/>
            <w:bottom w:val="nil"/>
            <w:right w:val="nil"/>
          </w:tcBorders>
          <w:vAlign w:val="bottom"/>
        </w:tcPr>
        <w:p w:rsidR="00A532EF" w:rsidRDefault="00A532EF">
          <w:pPr>
            <w:jc w:val="center"/>
            <w:rPr>
              <w:rFonts w:ascii="Arial" w:hAnsi="Arial" w:cs="Arial"/>
              <w:b/>
              <w:sz w:val="20"/>
              <w:szCs w:val="18"/>
            </w:rPr>
          </w:pPr>
        </w:p>
      </w:tc>
    </w:tr>
    <w:tr w:rsidR="00A532EF">
      <w:trPr>
        <w:trHeight w:val="851"/>
      </w:trPr>
      <w:tc>
        <w:tcPr>
          <w:tcW w:w="6300" w:type="dxa"/>
          <w:tcBorders>
            <w:top w:val="nil"/>
            <w:left w:val="nil"/>
            <w:bottom w:val="nil"/>
            <w:right w:val="nil"/>
          </w:tcBorders>
          <w:vAlign w:val="bottom"/>
        </w:tcPr>
        <w:p w:rsidR="00A532EF" w:rsidRDefault="00A532EF">
          <w:pPr>
            <w:ind w:left="-70" w:right="446"/>
            <w:jc w:val="center"/>
            <w:rPr>
              <w:rFonts w:ascii="Arial" w:hAnsi="Arial" w:cs="Arial"/>
              <w:b/>
              <w:sz w:val="20"/>
              <w:szCs w:val="18"/>
            </w:rPr>
          </w:pPr>
        </w:p>
        <w:p w:rsidR="00A532EF" w:rsidRDefault="00A532EF">
          <w:pPr>
            <w:ind w:left="-70" w:right="446"/>
            <w:jc w:val="center"/>
            <w:rPr>
              <w:rFonts w:ascii="Arial" w:hAnsi="Arial" w:cs="Arial"/>
              <w:b/>
              <w:sz w:val="20"/>
              <w:szCs w:val="18"/>
            </w:rPr>
          </w:pPr>
        </w:p>
      </w:tc>
      <w:tc>
        <w:tcPr>
          <w:tcW w:w="2160" w:type="dxa"/>
          <w:tcBorders>
            <w:top w:val="nil"/>
            <w:left w:val="nil"/>
            <w:bottom w:val="nil"/>
            <w:right w:val="nil"/>
          </w:tcBorders>
          <w:vAlign w:val="bottom"/>
        </w:tcPr>
        <w:p w:rsidR="00A532EF" w:rsidRDefault="00A532EF">
          <w:pPr>
            <w:jc w:val="center"/>
            <w:rPr>
              <w:rFonts w:ascii="Arial" w:hAnsi="Arial" w:cs="Arial"/>
              <w:b/>
              <w:sz w:val="20"/>
              <w:szCs w:val="18"/>
            </w:rPr>
          </w:pPr>
        </w:p>
      </w:tc>
      <w:tc>
        <w:tcPr>
          <w:tcW w:w="2880" w:type="dxa"/>
          <w:tcBorders>
            <w:top w:val="nil"/>
            <w:left w:val="nil"/>
            <w:bottom w:val="nil"/>
            <w:right w:val="nil"/>
          </w:tcBorders>
          <w:vAlign w:val="bottom"/>
        </w:tcPr>
        <w:p w:rsidR="00A532EF" w:rsidRDefault="00A532EF">
          <w:pPr>
            <w:jc w:val="center"/>
            <w:rPr>
              <w:rFonts w:ascii="Arial" w:hAnsi="Arial" w:cs="Arial"/>
              <w:b/>
              <w:sz w:val="20"/>
              <w:szCs w:val="18"/>
            </w:rPr>
          </w:pPr>
        </w:p>
      </w:tc>
    </w:tr>
    <w:tr w:rsidR="00A532EF">
      <w:tc>
        <w:tcPr>
          <w:tcW w:w="6300" w:type="dxa"/>
        </w:tcPr>
        <w:p w:rsidR="00A532EF" w:rsidRDefault="00A532EF">
          <w:pPr>
            <w:pStyle w:val="Encabezado"/>
            <w:jc w:val="center"/>
            <w:rPr>
              <w:rFonts w:ascii="Arial" w:hAnsi="Arial" w:cs="Arial"/>
              <w:sz w:val="20"/>
              <w:szCs w:val="18"/>
            </w:rPr>
          </w:pPr>
          <w:r>
            <w:rPr>
              <w:rFonts w:ascii="Arial" w:hAnsi="Arial" w:cs="Arial"/>
              <w:sz w:val="20"/>
              <w:szCs w:val="18"/>
            </w:rPr>
            <w:t>Dra. Blanca Ester Rivero</w:t>
          </w:r>
        </w:p>
        <w:p w:rsidR="00A532EF" w:rsidRDefault="00A532EF">
          <w:pPr>
            <w:pStyle w:val="Encabezado"/>
            <w:jc w:val="center"/>
            <w:rPr>
              <w:rFonts w:ascii="Arial" w:hAnsi="Arial" w:cs="Arial"/>
              <w:sz w:val="20"/>
              <w:szCs w:val="18"/>
            </w:rPr>
          </w:pPr>
          <w:r>
            <w:rPr>
              <w:rFonts w:ascii="Arial" w:hAnsi="Arial" w:cs="Arial"/>
              <w:sz w:val="20"/>
              <w:szCs w:val="18"/>
            </w:rPr>
            <w:t>Contadora Pública (UBA)</w:t>
          </w:r>
        </w:p>
        <w:p w:rsidR="00A532EF" w:rsidRDefault="00A532EF">
          <w:pPr>
            <w:pStyle w:val="Encabezado"/>
            <w:jc w:val="center"/>
            <w:rPr>
              <w:rFonts w:ascii="Arial" w:hAnsi="Arial" w:cs="Arial"/>
              <w:sz w:val="20"/>
              <w:szCs w:val="18"/>
            </w:rPr>
          </w:pPr>
          <w:r>
            <w:rPr>
              <w:rFonts w:ascii="Arial" w:hAnsi="Arial" w:cs="Arial"/>
              <w:sz w:val="20"/>
              <w:szCs w:val="18"/>
            </w:rPr>
            <w:t xml:space="preserve">C.P.C.E.C.A.B.A. </w:t>
          </w:r>
          <w:proofErr w:type="spellStart"/>
          <w:r>
            <w:rPr>
              <w:rFonts w:ascii="Arial" w:hAnsi="Arial" w:cs="Arial"/>
              <w:sz w:val="20"/>
              <w:szCs w:val="18"/>
            </w:rPr>
            <w:t>Tº</w:t>
          </w:r>
          <w:proofErr w:type="spellEnd"/>
          <w:r>
            <w:rPr>
              <w:rFonts w:ascii="Arial" w:hAnsi="Arial" w:cs="Arial"/>
              <w:sz w:val="20"/>
              <w:szCs w:val="18"/>
            </w:rPr>
            <w:t xml:space="preserve"> 134 </w:t>
          </w:r>
          <w:proofErr w:type="spellStart"/>
          <w:r>
            <w:rPr>
              <w:rFonts w:ascii="Arial" w:hAnsi="Arial" w:cs="Arial"/>
              <w:sz w:val="20"/>
              <w:szCs w:val="18"/>
            </w:rPr>
            <w:t>Fº</w:t>
          </w:r>
          <w:proofErr w:type="spellEnd"/>
          <w:r>
            <w:rPr>
              <w:rFonts w:ascii="Arial" w:hAnsi="Arial" w:cs="Arial"/>
              <w:sz w:val="20"/>
              <w:szCs w:val="18"/>
            </w:rPr>
            <w:t xml:space="preserve"> 199</w:t>
          </w:r>
        </w:p>
      </w:tc>
      <w:tc>
        <w:tcPr>
          <w:tcW w:w="2160" w:type="dxa"/>
        </w:tcPr>
        <w:p w:rsidR="00A532EF" w:rsidRDefault="00A532EF">
          <w:pPr>
            <w:jc w:val="center"/>
            <w:rPr>
              <w:rFonts w:ascii="Arial" w:hAnsi="Arial" w:cs="Arial"/>
              <w:sz w:val="20"/>
              <w:szCs w:val="18"/>
            </w:rPr>
          </w:pPr>
        </w:p>
      </w:tc>
      <w:tc>
        <w:tcPr>
          <w:tcW w:w="2880" w:type="dxa"/>
        </w:tcPr>
        <w:p w:rsidR="00A532EF" w:rsidRDefault="00A532EF">
          <w:pPr>
            <w:pStyle w:val="Encabezado"/>
            <w:jc w:val="center"/>
            <w:rPr>
              <w:rFonts w:ascii="Arial" w:hAnsi="Arial" w:cs="Arial"/>
              <w:sz w:val="20"/>
              <w:szCs w:val="18"/>
            </w:rPr>
          </w:pPr>
        </w:p>
      </w:tc>
    </w:tr>
  </w:tbl>
  <w:p w:rsidR="00A532EF" w:rsidRDefault="00A532EF">
    <w:pPr>
      <w:pStyle w:val="Estilo1"/>
      <w:jc w:val="center"/>
      <w:rPr>
        <w:rFonts w:ascii="Arial" w:hAnsi="Arial" w:cs="Arial"/>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30" w:type="dxa"/>
      <w:tblInd w:w="70" w:type="dxa"/>
      <w:tblLayout w:type="fixed"/>
      <w:tblCellMar>
        <w:left w:w="70" w:type="dxa"/>
        <w:right w:w="70" w:type="dxa"/>
      </w:tblCellMar>
      <w:tblLook w:val="0000" w:firstRow="0" w:lastRow="0" w:firstColumn="0" w:lastColumn="0" w:noHBand="0" w:noVBand="0"/>
    </w:tblPr>
    <w:tblGrid>
      <w:gridCol w:w="4140"/>
      <w:gridCol w:w="1980"/>
      <w:gridCol w:w="2610"/>
    </w:tblGrid>
    <w:tr w:rsidR="00A532EF">
      <w:trPr>
        <w:trHeight w:val="624"/>
      </w:trPr>
      <w:tc>
        <w:tcPr>
          <w:tcW w:w="4140" w:type="dxa"/>
          <w:tcBorders>
            <w:top w:val="nil"/>
            <w:left w:val="nil"/>
            <w:bottom w:val="nil"/>
            <w:right w:val="nil"/>
          </w:tcBorders>
        </w:tcPr>
        <w:p w:rsidR="00A532EF" w:rsidRDefault="00A532EF">
          <w:pPr>
            <w:ind w:left="-70"/>
            <w:jc w:val="center"/>
            <w:rPr>
              <w:rFonts w:ascii="Arial" w:hAnsi="Arial" w:cs="Arial"/>
              <w:spacing w:val="-8"/>
              <w:sz w:val="20"/>
              <w:szCs w:val="18"/>
            </w:rPr>
          </w:pPr>
          <w:r>
            <w:rPr>
              <w:rFonts w:ascii="Arial" w:hAnsi="Arial" w:cs="Arial"/>
              <w:spacing w:val="-8"/>
              <w:sz w:val="20"/>
              <w:szCs w:val="18"/>
            </w:rPr>
            <w:t>Firmado a efectos de su identificación con mi  informe de fecha 20/07/2010</w:t>
          </w:r>
        </w:p>
        <w:p w:rsidR="00A532EF" w:rsidRDefault="00A532EF">
          <w:pPr>
            <w:ind w:left="-70"/>
            <w:jc w:val="center"/>
            <w:rPr>
              <w:rFonts w:ascii="Arial" w:hAnsi="Arial" w:cs="Arial"/>
              <w:b/>
              <w:spacing w:val="-8"/>
              <w:sz w:val="20"/>
              <w:szCs w:val="18"/>
            </w:rPr>
          </w:pPr>
        </w:p>
      </w:tc>
      <w:tc>
        <w:tcPr>
          <w:tcW w:w="1980" w:type="dxa"/>
          <w:tcBorders>
            <w:top w:val="nil"/>
            <w:left w:val="nil"/>
            <w:bottom w:val="nil"/>
            <w:right w:val="nil"/>
          </w:tcBorders>
          <w:vAlign w:val="bottom"/>
        </w:tcPr>
        <w:p w:rsidR="00A532EF" w:rsidRDefault="00A532EF">
          <w:pPr>
            <w:pStyle w:val="Piedepgina"/>
            <w:jc w:val="center"/>
            <w:rPr>
              <w:rStyle w:val="Nmerodepgina"/>
              <w:rFonts w:ascii="Arial" w:hAnsi="Arial" w:cs="Arial"/>
              <w:sz w:val="20"/>
              <w:szCs w:val="18"/>
            </w:rPr>
          </w:pPr>
          <w:r>
            <w:rPr>
              <w:rStyle w:val="Nmerodepgina"/>
              <w:rFonts w:ascii="Arial" w:hAnsi="Arial" w:cs="Arial"/>
              <w:sz w:val="20"/>
              <w:szCs w:val="18"/>
            </w:rPr>
            <w:fldChar w:fldCharType="begin"/>
          </w:r>
          <w:r>
            <w:rPr>
              <w:rStyle w:val="Nmerodepgina"/>
              <w:rFonts w:ascii="Arial" w:hAnsi="Arial" w:cs="Arial"/>
              <w:sz w:val="20"/>
              <w:szCs w:val="18"/>
            </w:rPr>
            <w:instrText xml:space="preserve">PAGE  </w:instrText>
          </w:r>
          <w:r>
            <w:rPr>
              <w:rStyle w:val="Nmerodepgina"/>
              <w:rFonts w:ascii="Arial" w:hAnsi="Arial" w:cs="Arial"/>
              <w:sz w:val="20"/>
              <w:szCs w:val="18"/>
            </w:rPr>
            <w:fldChar w:fldCharType="separate"/>
          </w:r>
          <w:r w:rsidR="000A025E">
            <w:rPr>
              <w:rStyle w:val="Nmerodepgina"/>
              <w:rFonts w:ascii="Arial" w:hAnsi="Arial" w:cs="Arial"/>
              <w:noProof/>
              <w:sz w:val="20"/>
              <w:szCs w:val="18"/>
            </w:rPr>
            <w:t>17</w:t>
          </w:r>
          <w:r>
            <w:rPr>
              <w:rStyle w:val="Nmerodepgina"/>
              <w:rFonts w:ascii="Arial" w:hAnsi="Arial" w:cs="Arial"/>
              <w:sz w:val="20"/>
              <w:szCs w:val="18"/>
            </w:rPr>
            <w:fldChar w:fldCharType="end"/>
          </w:r>
        </w:p>
        <w:p w:rsidR="00A532EF" w:rsidRDefault="00A532EF">
          <w:pPr>
            <w:jc w:val="center"/>
            <w:rPr>
              <w:rFonts w:ascii="Arial" w:hAnsi="Arial" w:cs="Arial"/>
              <w:b/>
              <w:sz w:val="20"/>
              <w:szCs w:val="18"/>
            </w:rPr>
          </w:pPr>
        </w:p>
      </w:tc>
      <w:tc>
        <w:tcPr>
          <w:tcW w:w="2610" w:type="dxa"/>
          <w:tcBorders>
            <w:top w:val="nil"/>
            <w:left w:val="nil"/>
            <w:bottom w:val="nil"/>
            <w:right w:val="nil"/>
          </w:tcBorders>
          <w:vAlign w:val="bottom"/>
        </w:tcPr>
        <w:p w:rsidR="00A532EF" w:rsidRDefault="00A532EF">
          <w:pPr>
            <w:jc w:val="center"/>
            <w:rPr>
              <w:rFonts w:ascii="Arial" w:hAnsi="Arial" w:cs="Arial"/>
              <w:b/>
              <w:sz w:val="20"/>
              <w:szCs w:val="18"/>
            </w:rPr>
          </w:pPr>
        </w:p>
      </w:tc>
    </w:tr>
    <w:tr w:rsidR="00A532EF">
      <w:trPr>
        <w:trHeight w:val="851"/>
      </w:trPr>
      <w:tc>
        <w:tcPr>
          <w:tcW w:w="4140" w:type="dxa"/>
          <w:tcBorders>
            <w:top w:val="nil"/>
            <w:left w:val="nil"/>
            <w:bottom w:val="nil"/>
            <w:right w:val="nil"/>
          </w:tcBorders>
          <w:vAlign w:val="bottom"/>
        </w:tcPr>
        <w:p w:rsidR="00A532EF" w:rsidRDefault="00A532EF">
          <w:pPr>
            <w:ind w:left="-70" w:right="446"/>
            <w:jc w:val="center"/>
            <w:rPr>
              <w:rFonts w:ascii="Arial" w:hAnsi="Arial" w:cs="Arial"/>
              <w:b/>
              <w:sz w:val="20"/>
              <w:szCs w:val="18"/>
            </w:rPr>
          </w:pPr>
        </w:p>
        <w:p w:rsidR="00A532EF" w:rsidRDefault="00A532EF">
          <w:pPr>
            <w:ind w:left="-70" w:right="446"/>
            <w:jc w:val="center"/>
            <w:rPr>
              <w:rFonts w:ascii="Arial" w:hAnsi="Arial" w:cs="Arial"/>
              <w:b/>
              <w:sz w:val="20"/>
              <w:szCs w:val="18"/>
            </w:rPr>
          </w:pPr>
        </w:p>
      </w:tc>
      <w:tc>
        <w:tcPr>
          <w:tcW w:w="1980" w:type="dxa"/>
          <w:tcBorders>
            <w:top w:val="nil"/>
            <w:left w:val="nil"/>
            <w:bottom w:val="nil"/>
            <w:right w:val="nil"/>
          </w:tcBorders>
          <w:vAlign w:val="bottom"/>
        </w:tcPr>
        <w:p w:rsidR="00A532EF" w:rsidRDefault="00A532EF">
          <w:pPr>
            <w:jc w:val="center"/>
            <w:rPr>
              <w:rFonts w:ascii="Arial" w:hAnsi="Arial" w:cs="Arial"/>
              <w:b/>
              <w:sz w:val="20"/>
              <w:szCs w:val="18"/>
            </w:rPr>
          </w:pPr>
        </w:p>
      </w:tc>
      <w:tc>
        <w:tcPr>
          <w:tcW w:w="2610" w:type="dxa"/>
          <w:tcBorders>
            <w:top w:val="nil"/>
            <w:left w:val="nil"/>
            <w:bottom w:val="nil"/>
            <w:right w:val="nil"/>
          </w:tcBorders>
          <w:vAlign w:val="bottom"/>
        </w:tcPr>
        <w:p w:rsidR="00A532EF" w:rsidRDefault="00A532EF">
          <w:pPr>
            <w:jc w:val="center"/>
            <w:rPr>
              <w:rFonts w:ascii="Arial" w:hAnsi="Arial" w:cs="Arial"/>
              <w:b/>
              <w:sz w:val="20"/>
              <w:szCs w:val="18"/>
            </w:rPr>
          </w:pPr>
        </w:p>
      </w:tc>
    </w:tr>
    <w:tr w:rsidR="00A532EF">
      <w:tc>
        <w:tcPr>
          <w:tcW w:w="4140" w:type="dxa"/>
        </w:tcPr>
        <w:p w:rsidR="00A532EF" w:rsidRDefault="00A532EF">
          <w:pPr>
            <w:pStyle w:val="Encabezado"/>
            <w:jc w:val="center"/>
            <w:rPr>
              <w:rFonts w:ascii="Arial" w:hAnsi="Arial" w:cs="Arial"/>
              <w:sz w:val="20"/>
              <w:szCs w:val="18"/>
            </w:rPr>
          </w:pPr>
          <w:r>
            <w:rPr>
              <w:rFonts w:ascii="Arial" w:hAnsi="Arial" w:cs="Arial"/>
              <w:sz w:val="20"/>
              <w:szCs w:val="18"/>
            </w:rPr>
            <w:t>Dra. Blanca Ester Rivero</w:t>
          </w:r>
        </w:p>
        <w:p w:rsidR="00A532EF" w:rsidRDefault="00A532EF">
          <w:pPr>
            <w:pStyle w:val="Encabezado"/>
            <w:jc w:val="center"/>
            <w:rPr>
              <w:rFonts w:ascii="Arial" w:hAnsi="Arial" w:cs="Arial"/>
              <w:sz w:val="20"/>
              <w:szCs w:val="18"/>
            </w:rPr>
          </w:pPr>
          <w:r>
            <w:rPr>
              <w:rFonts w:ascii="Arial" w:hAnsi="Arial" w:cs="Arial"/>
              <w:sz w:val="20"/>
              <w:szCs w:val="18"/>
            </w:rPr>
            <w:t>Contadora Pública (UBA)</w:t>
          </w:r>
        </w:p>
        <w:p w:rsidR="00A532EF" w:rsidRDefault="00A532EF">
          <w:pPr>
            <w:pStyle w:val="Encabezado"/>
            <w:jc w:val="center"/>
            <w:rPr>
              <w:rFonts w:ascii="Arial" w:hAnsi="Arial" w:cs="Arial"/>
              <w:sz w:val="20"/>
              <w:szCs w:val="18"/>
            </w:rPr>
          </w:pPr>
          <w:r>
            <w:rPr>
              <w:rFonts w:ascii="Arial" w:hAnsi="Arial" w:cs="Arial"/>
              <w:sz w:val="20"/>
              <w:szCs w:val="18"/>
            </w:rPr>
            <w:t xml:space="preserve">C.P.C.E.C.A.B.A. </w:t>
          </w:r>
          <w:proofErr w:type="spellStart"/>
          <w:r>
            <w:rPr>
              <w:rFonts w:ascii="Arial" w:hAnsi="Arial" w:cs="Arial"/>
              <w:sz w:val="20"/>
              <w:szCs w:val="18"/>
            </w:rPr>
            <w:t>Tº</w:t>
          </w:r>
          <w:proofErr w:type="spellEnd"/>
          <w:r>
            <w:rPr>
              <w:rFonts w:ascii="Arial" w:hAnsi="Arial" w:cs="Arial"/>
              <w:sz w:val="20"/>
              <w:szCs w:val="18"/>
            </w:rPr>
            <w:t xml:space="preserve"> 134 </w:t>
          </w:r>
          <w:proofErr w:type="spellStart"/>
          <w:r>
            <w:rPr>
              <w:rFonts w:ascii="Arial" w:hAnsi="Arial" w:cs="Arial"/>
              <w:sz w:val="20"/>
              <w:szCs w:val="18"/>
            </w:rPr>
            <w:t>Fº</w:t>
          </w:r>
          <w:proofErr w:type="spellEnd"/>
          <w:r>
            <w:rPr>
              <w:rFonts w:ascii="Arial" w:hAnsi="Arial" w:cs="Arial"/>
              <w:sz w:val="20"/>
              <w:szCs w:val="18"/>
            </w:rPr>
            <w:t xml:space="preserve"> 199</w:t>
          </w:r>
        </w:p>
      </w:tc>
      <w:tc>
        <w:tcPr>
          <w:tcW w:w="1980" w:type="dxa"/>
        </w:tcPr>
        <w:p w:rsidR="00A532EF" w:rsidRDefault="00A532EF">
          <w:pPr>
            <w:jc w:val="center"/>
            <w:rPr>
              <w:rFonts w:ascii="Arial" w:hAnsi="Arial" w:cs="Arial"/>
              <w:sz w:val="20"/>
              <w:szCs w:val="18"/>
            </w:rPr>
          </w:pPr>
        </w:p>
      </w:tc>
      <w:tc>
        <w:tcPr>
          <w:tcW w:w="2610" w:type="dxa"/>
        </w:tcPr>
        <w:p w:rsidR="00A532EF" w:rsidRDefault="00A532EF">
          <w:pPr>
            <w:pStyle w:val="Encabezado"/>
            <w:jc w:val="center"/>
            <w:rPr>
              <w:rFonts w:ascii="Arial" w:hAnsi="Arial" w:cs="Arial"/>
              <w:sz w:val="20"/>
              <w:szCs w:val="18"/>
            </w:rPr>
          </w:pPr>
        </w:p>
      </w:tc>
    </w:tr>
  </w:tbl>
  <w:p w:rsidR="00A532EF" w:rsidRDefault="00A532EF">
    <w:pPr>
      <w:pStyle w:val="Estilo1"/>
      <w:jc w:val="center"/>
      <w:rPr>
        <w:rFonts w:ascii="Arial" w:hAnsi="Arial" w:cs="Arial"/>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EF" w:rsidRDefault="00A532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5BD" w:rsidRDefault="009E55BD">
      <w:r>
        <w:separator/>
      </w:r>
    </w:p>
  </w:footnote>
  <w:footnote w:type="continuationSeparator" w:id="0">
    <w:p w:rsidR="009E55BD" w:rsidRDefault="009E55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EF" w:rsidRDefault="00A532EF">
    <w:pPr>
      <w:tabs>
        <w:tab w:val="left" w:pos="2340"/>
      </w:tabs>
      <w:ind w:left="2410" w:hanging="2410"/>
      <w:rPr>
        <w:rFonts w:ascii="Arial" w:hAnsi="Arial"/>
        <w:b/>
        <w:bCs/>
        <w:sz w:val="20"/>
      </w:rPr>
    </w:pPr>
    <w:r>
      <w:rPr>
        <w:rFonts w:ascii="Arial" w:hAnsi="Arial"/>
        <w:b/>
        <w:bCs/>
        <w:sz w:val="20"/>
      </w:rPr>
      <w:t xml:space="preserve">Denominación del Ente: </w:t>
    </w:r>
    <w:r>
      <w:rPr>
        <w:rFonts w:ascii="Arial" w:hAnsi="Arial"/>
        <w:b/>
        <w:bCs/>
        <w:sz w:val="20"/>
      </w:rPr>
      <w:tab/>
      <w:t xml:space="preserve"> DRAGADOS S.A. – DYCASA S.A. – CONTROL Y MONTAJES </w:t>
    </w:r>
    <w:r w:rsidR="00247CE3">
      <w:rPr>
        <w:rFonts w:ascii="Arial" w:hAnsi="Arial"/>
        <w:b/>
        <w:bCs/>
        <w:sz w:val="20"/>
      </w:rPr>
      <w:t>|</w:t>
    </w:r>
    <w:r>
      <w:rPr>
        <w:rFonts w:ascii="Arial" w:hAnsi="Arial"/>
        <w:b/>
        <w:bCs/>
        <w:sz w:val="20"/>
      </w:rPr>
      <w:t>INDUSTRIALES CYMI S.A. - UNION TRANSITORIA DE EMPRESAS</w:t>
    </w:r>
  </w:p>
  <w:p w:rsidR="00A532EF" w:rsidRDefault="00A532EF">
    <w:pPr>
      <w:ind w:right="-10368"/>
      <w:jc w:val="both"/>
      <w:rPr>
        <w:lang w:val="es-AR"/>
      </w:rPr>
    </w:pPr>
    <w:r>
      <w:rPr>
        <w:lang w:val="es-AR"/>
      </w:rPr>
      <w:object w:dxaOrig="9435" w:dyaOrig="9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1pt;height:472.4pt" o:ole="">
          <v:imagedata r:id="rId1" o:title=""/>
        </v:shape>
        <o:OLEObject Type="Embed" ProgID="Excel.Sheet.8" ShapeID="_x0000_i1025" DrawAspect="Content" ObjectID="_1612607928" r:id="rId2"/>
      </w:object>
    </w:r>
  </w:p>
  <w:p w:rsidR="00A532EF" w:rsidRDefault="00A532EF">
    <w:pPr>
      <w:jc w:val="both"/>
      <w:rPr>
        <w:lang w:val="es-AR"/>
      </w:rPr>
    </w:pPr>
  </w:p>
  <w:p w:rsidR="00A532EF" w:rsidRDefault="00A532EF">
    <w:pPr>
      <w:ind w:right="-10368"/>
      <w:jc w:val="both"/>
    </w:pPr>
  </w:p>
  <w:p w:rsidR="00A532EF" w:rsidRDefault="00A532E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EF" w:rsidRDefault="00A532EF">
    <w:pPr>
      <w:ind w:right="-10368"/>
      <w:jc w:val="both"/>
      <w:rPr>
        <w:lang w:val="es-AR"/>
      </w:rPr>
    </w:pPr>
  </w:p>
  <w:p w:rsidR="00A532EF" w:rsidRDefault="00A532EF">
    <w:pPr>
      <w:ind w:right="-10368"/>
      <w:jc w:val="both"/>
      <w:rPr>
        <w:lang w:val="es-AR"/>
      </w:rPr>
    </w:pPr>
    <w:r>
      <w:rPr>
        <w:lang w:val="es-AR"/>
      </w:rPr>
      <w:object w:dxaOrig="9435" w:dyaOrig="9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1.1pt;height:472.4pt" o:ole="">
          <v:imagedata r:id="rId1" o:title=""/>
        </v:shape>
        <o:OLEObject Type="Embed" ProgID="Excel.Sheet.8" ShapeID="_x0000_i1027" DrawAspect="Content" ObjectID="_1612607929" r:id="rId2"/>
      </w:object>
    </w:r>
  </w:p>
  <w:p w:rsidR="00A532EF" w:rsidRDefault="00A532EF">
    <w:pPr>
      <w:jc w:val="both"/>
      <w:rPr>
        <w:lang w:val="es-AR"/>
      </w:rPr>
    </w:pPr>
  </w:p>
  <w:p w:rsidR="00A532EF" w:rsidRDefault="00A532EF">
    <w:pPr>
      <w:ind w:right="-10368"/>
      <w:jc w:val="both"/>
    </w:pPr>
  </w:p>
  <w:p w:rsidR="00A532EF" w:rsidRDefault="00A532EF">
    <w:pPr>
      <w:ind w:right="-10368"/>
      <w:jc w:val="both"/>
    </w:pPr>
  </w:p>
  <w:p w:rsidR="00A532EF" w:rsidRDefault="00A532EF">
    <w:pPr>
      <w:ind w:right="-10368"/>
      <w:jc w:val="both"/>
      <w:rPr>
        <w:lang w:val="es-AR"/>
      </w:rPr>
    </w:pPr>
    <w:r>
      <w:rPr>
        <w:lang w:val="es-AR"/>
      </w:rPr>
      <w:object w:dxaOrig="9435" w:dyaOrig="9450">
        <v:shape id="_x0000_i1028" type="#_x0000_t75" style="width:431.1pt;height:472.4pt" o:ole="">
          <v:imagedata r:id="rId1" o:title=""/>
        </v:shape>
        <o:OLEObject Type="Embed" ProgID="Excel.Sheet.8" ShapeID="_x0000_i1028" DrawAspect="Content" ObjectID="_1612607930" r:id="rId3"/>
      </w:object>
    </w:r>
  </w:p>
  <w:p w:rsidR="00A532EF" w:rsidRDefault="00A532EF">
    <w:pPr>
      <w:jc w:val="both"/>
      <w:rPr>
        <w:lang w:val="es-AR"/>
      </w:rPr>
    </w:pPr>
  </w:p>
  <w:p w:rsidR="00A532EF" w:rsidRDefault="00A532EF">
    <w:pPr>
      <w:ind w:right="-10368"/>
      <w:jc w:val="both"/>
    </w:pPr>
  </w:p>
  <w:p w:rsidR="00A532EF" w:rsidRDefault="00A532E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B1F"/>
    <w:multiLevelType w:val="hybridMultilevel"/>
    <w:tmpl w:val="433E188A"/>
    <w:lvl w:ilvl="0" w:tplc="0C0A000F">
      <w:start w:val="1"/>
      <w:numFmt w:val="decimal"/>
      <w:lvlText w:val="%1."/>
      <w:lvlJc w:val="left"/>
      <w:pPr>
        <w:tabs>
          <w:tab w:val="num" w:pos="786"/>
        </w:tabs>
        <w:ind w:left="786" w:hanging="360"/>
      </w:p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
    <w:nsid w:val="160C73EA"/>
    <w:multiLevelType w:val="hybridMultilevel"/>
    <w:tmpl w:val="5C405C9E"/>
    <w:lvl w:ilvl="0" w:tplc="0C0A0001">
      <w:start w:val="1"/>
      <w:numFmt w:val="bullet"/>
      <w:lvlText w:val=""/>
      <w:lvlJc w:val="left"/>
      <w:pPr>
        <w:tabs>
          <w:tab w:val="num" w:pos="1142"/>
        </w:tabs>
        <w:ind w:left="1142" w:hanging="360"/>
      </w:pPr>
      <w:rPr>
        <w:rFonts w:ascii="Symbol" w:hAnsi="Symbol" w:hint="default"/>
      </w:rPr>
    </w:lvl>
    <w:lvl w:ilvl="1" w:tplc="0C0A0003" w:tentative="1">
      <w:start w:val="1"/>
      <w:numFmt w:val="bullet"/>
      <w:lvlText w:val="o"/>
      <w:lvlJc w:val="left"/>
      <w:pPr>
        <w:tabs>
          <w:tab w:val="num" w:pos="1862"/>
        </w:tabs>
        <w:ind w:left="1862" w:hanging="360"/>
      </w:pPr>
      <w:rPr>
        <w:rFonts w:ascii="Courier New" w:hAnsi="Courier New" w:hint="default"/>
      </w:rPr>
    </w:lvl>
    <w:lvl w:ilvl="2" w:tplc="0C0A0005" w:tentative="1">
      <w:start w:val="1"/>
      <w:numFmt w:val="bullet"/>
      <w:lvlText w:val=""/>
      <w:lvlJc w:val="left"/>
      <w:pPr>
        <w:tabs>
          <w:tab w:val="num" w:pos="2582"/>
        </w:tabs>
        <w:ind w:left="2582" w:hanging="360"/>
      </w:pPr>
      <w:rPr>
        <w:rFonts w:ascii="Wingdings" w:hAnsi="Wingdings" w:hint="default"/>
      </w:rPr>
    </w:lvl>
    <w:lvl w:ilvl="3" w:tplc="0C0A0001" w:tentative="1">
      <w:start w:val="1"/>
      <w:numFmt w:val="bullet"/>
      <w:lvlText w:val=""/>
      <w:lvlJc w:val="left"/>
      <w:pPr>
        <w:tabs>
          <w:tab w:val="num" w:pos="3302"/>
        </w:tabs>
        <w:ind w:left="3302" w:hanging="360"/>
      </w:pPr>
      <w:rPr>
        <w:rFonts w:ascii="Symbol" w:hAnsi="Symbol" w:hint="default"/>
      </w:rPr>
    </w:lvl>
    <w:lvl w:ilvl="4" w:tplc="0C0A0003" w:tentative="1">
      <w:start w:val="1"/>
      <w:numFmt w:val="bullet"/>
      <w:lvlText w:val="o"/>
      <w:lvlJc w:val="left"/>
      <w:pPr>
        <w:tabs>
          <w:tab w:val="num" w:pos="4022"/>
        </w:tabs>
        <w:ind w:left="4022" w:hanging="360"/>
      </w:pPr>
      <w:rPr>
        <w:rFonts w:ascii="Courier New" w:hAnsi="Courier New" w:hint="default"/>
      </w:rPr>
    </w:lvl>
    <w:lvl w:ilvl="5" w:tplc="0C0A0005" w:tentative="1">
      <w:start w:val="1"/>
      <w:numFmt w:val="bullet"/>
      <w:lvlText w:val=""/>
      <w:lvlJc w:val="left"/>
      <w:pPr>
        <w:tabs>
          <w:tab w:val="num" w:pos="4742"/>
        </w:tabs>
        <w:ind w:left="4742" w:hanging="360"/>
      </w:pPr>
      <w:rPr>
        <w:rFonts w:ascii="Wingdings" w:hAnsi="Wingdings" w:hint="default"/>
      </w:rPr>
    </w:lvl>
    <w:lvl w:ilvl="6" w:tplc="0C0A0001" w:tentative="1">
      <w:start w:val="1"/>
      <w:numFmt w:val="bullet"/>
      <w:lvlText w:val=""/>
      <w:lvlJc w:val="left"/>
      <w:pPr>
        <w:tabs>
          <w:tab w:val="num" w:pos="5462"/>
        </w:tabs>
        <w:ind w:left="5462" w:hanging="360"/>
      </w:pPr>
      <w:rPr>
        <w:rFonts w:ascii="Symbol" w:hAnsi="Symbol" w:hint="default"/>
      </w:rPr>
    </w:lvl>
    <w:lvl w:ilvl="7" w:tplc="0C0A0003" w:tentative="1">
      <w:start w:val="1"/>
      <w:numFmt w:val="bullet"/>
      <w:lvlText w:val="o"/>
      <w:lvlJc w:val="left"/>
      <w:pPr>
        <w:tabs>
          <w:tab w:val="num" w:pos="6182"/>
        </w:tabs>
        <w:ind w:left="6182" w:hanging="360"/>
      </w:pPr>
      <w:rPr>
        <w:rFonts w:ascii="Courier New" w:hAnsi="Courier New" w:hint="default"/>
      </w:rPr>
    </w:lvl>
    <w:lvl w:ilvl="8" w:tplc="0C0A0005" w:tentative="1">
      <w:start w:val="1"/>
      <w:numFmt w:val="bullet"/>
      <w:lvlText w:val=""/>
      <w:lvlJc w:val="left"/>
      <w:pPr>
        <w:tabs>
          <w:tab w:val="num" w:pos="6902"/>
        </w:tabs>
        <w:ind w:left="6902" w:hanging="360"/>
      </w:pPr>
      <w:rPr>
        <w:rFonts w:ascii="Wingdings" w:hAnsi="Wingdings" w:hint="default"/>
      </w:rPr>
    </w:lvl>
  </w:abstractNum>
  <w:abstractNum w:abstractNumId="2">
    <w:nsid w:val="1AAA3264"/>
    <w:multiLevelType w:val="hybridMultilevel"/>
    <w:tmpl w:val="0A501E5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A244739"/>
    <w:multiLevelType w:val="hybridMultilevel"/>
    <w:tmpl w:val="FF76EFE2"/>
    <w:lvl w:ilvl="0" w:tplc="FFFFFFFF">
      <w:start w:val="1"/>
      <w:numFmt w:val="decimal"/>
      <w:lvlText w:val="%1."/>
      <w:lvlJc w:val="left"/>
      <w:pPr>
        <w:tabs>
          <w:tab w:val="num" w:pos="781"/>
        </w:tabs>
        <w:ind w:left="781" w:hanging="360"/>
      </w:pPr>
    </w:lvl>
    <w:lvl w:ilvl="1" w:tplc="FFFFFFFF" w:tentative="1">
      <w:start w:val="1"/>
      <w:numFmt w:val="lowerLetter"/>
      <w:lvlText w:val="%2."/>
      <w:lvlJc w:val="left"/>
      <w:pPr>
        <w:tabs>
          <w:tab w:val="num" w:pos="1501"/>
        </w:tabs>
        <w:ind w:left="1501" w:hanging="360"/>
      </w:pPr>
    </w:lvl>
    <w:lvl w:ilvl="2" w:tplc="FFFFFFFF" w:tentative="1">
      <w:start w:val="1"/>
      <w:numFmt w:val="lowerRoman"/>
      <w:lvlText w:val="%3."/>
      <w:lvlJc w:val="right"/>
      <w:pPr>
        <w:tabs>
          <w:tab w:val="num" w:pos="2221"/>
        </w:tabs>
        <w:ind w:left="2221" w:hanging="180"/>
      </w:pPr>
    </w:lvl>
    <w:lvl w:ilvl="3" w:tplc="FFFFFFFF" w:tentative="1">
      <w:start w:val="1"/>
      <w:numFmt w:val="decimal"/>
      <w:lvlText w:val="%4."/>
      <w:lvlJc w:val="left"/>
      <w:pPr>
        <w:tabs>
          <w:tab w:val="num" w:pos="2941"/>
        </w:tabs>
        <w:ind w:left="2941" w:hanging="360"/>
      </w:pPr>
    </w:lvl>
    <w:lvl w:ilvl="4" w:tplc="FFFFFFFF" w:tentative="1">
      <w:start w:val="1"/>
      <w:numFmt w:val="lowerLetter"/>
      <w:lvlText w:val="%5."/>
      <w:lvlJc w:val="left"/>
      <w:pPr>
        <w:tabs>
          <w:tab w:val="num" w:pos="3661"/>
        </w:tabs>
        <w:ind w:left="3661" w:hanging="360"/>
      </w:pPr>
    </w:lvl>
    <w:lvl w:ilvl="5" w:tplc="FFFFFFFF" w:tentative="1">
      <w:start w:val="1"/>
      <w:numFmt w:val="lowerRoman"/>
      <w:lvlText w:val="%6."/>
      <w:lvlJc w:val="right"/>
      <w:pPr>
        <w:tabs>
          <w:tab w:val="num" w:pos="4381"/>
        </w:tabs>
        <w:ind w:left="4381" w:hanging="180"/>
      </w:pPr>
    </w:lvl>
    <w:lvl w:ilvl="6" w:tplc="FFFFFFFF" w:tentative="1">
      <w:start w:val="1"/>
      <w:numFmt w:val="decimal"/>
      <w:lvlText w:val="%7."/>
      <w:lvlJc w:val="left"/>
      <w:pPr>
        <w:tabs>
          <w:tab w:val="num" w:pos="5101"/>
        </w:tabs>
        <w:ind w:left="5101" w:hanging="360"/>
      </w:pPr>
    </w:lvl>
    <w:lvl w:ilvl="7" w:tplc="FFFFFFFF" w:tentative="1">
      <w:start w:val="1"/>
      <w:numFmt w:val="lowerLetter"/>
      <w:lvlText w:val="%8."/>
      <w:lvlJc w:val="left"/>
      <w:pPr>
        <w:tabs>
          <w:tab w:val="num" w:pos="5821"/>
        </w:tabs>
        <w:ind w:left="5821" w:hanging="360"/>
      </w:pPr>
    </w:lvl>
    <w:lvl w:ilvl="8" w:tplc="FFFFFFFF" w:tentative="1">
      <w:start w:val="1"/>
      <w:numFmt w:val="lowerRoman"/>
      <w:lvlText w:val="%9."/>
      <w:lvlJc w:val="right"/>
      <w:pPr>
        <w:tabs>
          <w:tab w:val="num" w:pos="6541"/>
        </w:tabs>
        <w:ind w:left="6541" w:hanging="180"/>
      </w:pPr>
    </w:lvl>
  </w:abstractNum>
  <w:abstractNum w:abstractNumId="4">
    <w:nsid w:val="3E143DCD"/>
    <w:multiLevelType w:val="hybridMultilevel"/>
    <w:tmpl w:val="2BC6D9F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nsid w:val="3E6D26CB"/>
    <w:multiLevelType w:val="singleLevel"/>
    <w:tmpl w:val="4ED84902"/>
    <w:lvl w:ilvl="0">
      <w:start w:val="1"/>
      <w:numFmt w:val="lowerLetter"/>
      <w:lvlText w:val="%1)"/>
      <w:lvlJc w:val="left"/>
      <w:pPr>
        <w:tabs>
          <w:tab w:val="num" w:pos="824"/>
        </w:tabs>
        <w:ind w:left="824" w:hanging="540"/>
      </w:pPr>
      <w:rPr>
        <w:rFonts w:hint="default"/>
      </w:rPr>
    </w:lvl>
  </w:abstractNum>
  <w:abstractNum w:abstractNumId="6">
    <w:nsid w:val="481D3BED"/>
    <w:multiLevelType w:val="hybridMultilevel"/>
    <w:tmpl w:val="BA62DA62"/>
    <w:lvl w:ilvl="0" w:tplc="AC54C3A2">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9D7036F"/>
    <w:multiLevelType w:val="hybridMultilevel"/>
    <w:tmpl w:val="B2B0BB6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DE64613"/>
    <w:multiLevelType w:val="hybridMultilevel"/>
    <w:tmpl w:val="62EEC9CE"/>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55F72F9"/>
    <w:multiLevelType w:val="hybridMultilevel"/>
    <w:tmpl w:val="2B34C38A"/>
    <w:lvl w:ilvl="0" w:tplc="DC38EE0E">
      <w:start w:val="5"/>
      <w:numFmt w:val="bullet"/>
      <w:lvlText w:val="-"/>
      <w:lvlJc w:val="left"/>
      <w:pPr>
        <w:tabs>
          <w:tab w:val="num" w:pos="720"/>
        </w:tabs>
        <w:ind w:left="720" w:hanging="360"/>
      </w:pPr>
      <w:rPr>
        <w:rFonts w:ascii="Arial" w:eastAsia="Times New Roman" w:hAnsi="Arial" w:cs="Aria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61D3247D"/>
    <w:multiLevelType w:val="hybridMultilevel"/>
    <w:tmpl w:val="F7F86C62"/>
    <w:lvl w:ilvl="0" w:tplc="0C0A000F">
      <w:start w:val="1"/>
      <w:numFmt w:val="decimal"/>
      <w:lvlText w:val="%1."/>
      <w:lvlJc w:val="left"/>
      <w:pPr>
        <w:tabs>
          <w:tab w:val="num" w:pos="786"/>
        </w:tabs>
        <w:ind w:left="786" w:hanging="360"/>
      </w:p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1">
    <w:nsid w:val="62FA61FE"/>
    <w:multiLevelType w:val="hybridMultilevel"/>
    <w:tmpl w:val="5270213E"/>
    <w:lvl w:ilvl="0" w:tplc="0C0A000F">
      <w:start w:val="1"/>
      <w:numFmt w:val="decimal"/>
      <w:lvlText w:val="%1."/>
      <w:lvlJc w:val="left"/>
      <w:pPr>
        <w:tabs>
          <w:tab w:val="num" w:pos="786"/>
        </w:tabs>
        <w:ind w:left="786" w:hanging="360"/>
      </w:p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2">
    <w:nsid w:val="69982BF5"/>
    <w:multiLevelType w:val="hybridMultilevel"/>
    <w:tmpl w:val="46B27186"/>
    <w:lvl w:ilvl="0" w:tplc="0C0A000F">
      <w:start w:val="1"/>
      <w:numFmt w:val="decimal"/>
      <w:lvlText w:val="%1."/>
      <w:lvlJc w:val="left"/>
      <w:pPr>
        <w:tabs>
          <w:tab w:val="num" w:pos="786"/>
        </w:tabs>
        <w:ind w:left="786" w:hanging="360"/>
      </w:p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13">
    <w:nsid w:val="7C1A54DC"/>
    <w:multiLevelType w:val="singleLevel"/>
    <w:tmpl w:val="0C0A0017"/>
    <w:lvl w:ilvl="0">
      <w:start w:val="1"/>
      <w:numFmt w:val="lowerLetter"/>
      <w:lvlText w:val="%1)"/>
      <w:lvlJc w:val="left"/>
      <w:pPr>
        <w:tabs>
          <w:tab w:val="num" w:pos="360"/>
        </w:tabs>
        <w:ind w:left="360" w:hanging="360"/>
      </w:pPr>
    </w:lvl>
  </w:abstractNum>
  <w:num w:numId="1">
    <w:abstractNumId w:val="13"/>
  </w:num>
  <w:num w:numId="2">
    <w:abstractNumId w:val="0"/>
  </w:num>
  <w:num w:numId="3">
    <w:abstractNumId w:val="12"/>
  </w:num>
  <w:num w:numId="4">
    <w:abstractNumId w:val="11"/>
  </w:num>
  <w:num w:numId="5">
    <w:abstractNumId w:val="10"/>
  </w:num>
  <w:num w:numId="6">
    <w:abstractNumId w:val="9"/>
  </w:num>
  <w:num w:numId="7">
    <w:abstractNumId w:val="4"/>
  </w:num>
  <w:num w:numId="8">
    <w:abstractNumId w:val="6"/>
  </w:num>
  <w:num w:numId="9">
    <w:abstractNumId w:val="7"/>
  </w:num>
  <w:num w:numId="10">
    <w:abstractNumId w:val="5"/>
  </w:num>
  <w:num w:numId="11">
    <w:abstractNumId w:val="3"/>
  </w:num>
  <w:num w:numId="12">
    <w:abstractNumId w:val="8"/>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noPunctuationKerning/>
  <w:characterSpacingControl w:val="doNotCompress"/>
  <w:hdrShapeDefaults>
    <o:shapedefaults v:ext="edit" spidmax="1741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D58"/>
    <w:rsid w:val="000A025E"/>
    <w:rsid w:val="00196F2F"/>
    <w:rsid w:val="001A3F49"/>
    <w:rsid w:val="001E2BE2"/>
    <w:rsid w:val="00247CE3"/>
    <w:rsid w:val="0030779C"/>
    <w:rsid w:val="00346651"/>
    <w:rsid w:val="003963A9"/>
    <w:rsid w:val="004038DB"/>
    <w:rsid w:val="00407656"/>
    <w:rsid w:val="004A29BC"/>
    <w:rsid w:val="005928DE"/>
    <w:rsid w:val="00726B5D"/>
    <w:rsid w:val="00763D58"/>
    <w:rsid w:val="007B38C0"/>
    <w:rsid w:val="00866E0C"/>
    <w:rsid w:val="008A14F4"/>
    <w:rsid w:val="008A5FCB"/>
    <w:rsid w:val="008D1C86"/>
    <w:rsid w:val="00941488"/>
    <w:rsid w:val="009C3138"/>
    <w:rsid w:val="009E55BD"/>
    <w:rsid w:val="00A532EF"/>
    <w:rsid w:val="00AF5EAB"/>
    <w:rsid w:val="00B5576B"/>
    <w:rsid w:val="00B61DDD"/>
    <w:rsid w:val="00C3086D"/>
    <w:rsid w:val="00C65425"/>
    <w:rsid w:val="00CB0D00"/>
    <w:rsid w:val="00CF79DD"/>
    <w:rsid w:val="00E320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741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both"/>
      <w:outlineLvl w:val="0"/>
    </w:pPr>
    <w:rPr>
      <w:b/>
      <w:szCs w:val="20"/>
      <w:lang w:val="es-AR"/>
    </w:rPr>
  </w:style>
  <w:style w:type="paragraph" w:styleId="Ttulo2">
    <w:name w:val="heading 2"/>
    <w:basedOn w:val="Normal"/>
    <w:next w:val="Normal"/>
    <w:qFormat/>
    <w:pPr>
      <w:keepNext/>
      <w:outlineLvl w:val="1"/>
    </w:pPr>
    <w:rPr>
      <w:rFonts w:ascii="Arial" w:hAnsi="Arial"/>
      <w:b/>
      <w:sz w:val="20"/>
      <w:lang w:val="en-GB"/>
    </w:rPr>
  </w:style>
  <w:style w:type="paragraph" w:styleId="Ttulo3">
    <w:name w:val="heading 3"/>
    <w:basedOn w:val="Normal"/>
    <w:next w:val="Normal"/>
    <w:qFormat/>
    <w:pPr>
      <w:keepNext/>
      <w:jc w:val="both"/>
      <w:outlineLvl w:val="2"/>
    </w:pPr>
    <w:rPr>
      <w:rFonts w:ascii="Arial" w:hAnsi="Arial"/>
      <w:sz w:val="20"/>
      <w:u w:val="single"/>
    </w:rPr>
  </w:style>
  <w:style w:type="paragraph" w:styleId="Ttulo4">
    <w:name w:val="heading 4"/>
    <w:basedOn w:val="Normal"/>
    <w:next w:val="Normal"/>
    <w:qFormat/>
    <w:pPr>
      <w:keepNext/>
      <w:jc w:val="both"/>
      <w:outlineLvl w:val="3"/>
    </w:pPr>
    <w:rPr>
      <w:rFonts w:ascii="Arial" w:hAnsi="Arial"/>
      <w:b/>
      <w:sz w:val="20"/>
      <w:szCs w:val="20"/>
    </w:rPr>
  </w:style>
  <w:style w:type="paragraph" w:styleId="Ttulo6">
    <w:name w:val="heading 6"/>
    <w:basedOn w:val="Normal"/>
    <w:next w:val="Normal"/>
    <w:qFormat/>
    <w:pPr>
      <w:spacing w:before="240" w:after="60"/>
      <w:outlineLvl w:val="5"/>
    </w:pPr>
    <w:rPr>
      <w:b/>
      <w:bCs/>
      <w:sz w:val="22"/>
      <w:szCs w:val="22"/>
    </w:rPr>
  </w:style>
  <w:style w:type="paragraph" w:styleId="Ttulo8">
    <w:name w:val="heading 8"/>
    <w:basedOn w:val="Normal"/>
    <w:next w:val="Normal"/>
    <w:qFormat/>
    <w:pPr>
      <w:keepNext/>
      <w:jc w:val="center"/>
      <w:outlineLvl w:val="7"/>
    </w:pPr>
    <w:rPr>
      <w:rFonts w:ascii="Arial"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Pr>
      <w:rFonts w:ascii="Univers" w:hAnsi="Univers"/>
    </w:rPr>
  </w:style>
  <w:style w:type="paragraph" w:styleId="Sangra2detindependiente">
    <w:name w:val="Body Text Indent 2"/>
    <w:basedOn w:val="Normal"/>
    <w:pPr>
      <w:ind w:left="2410" w:hanging="286"/>
    </w:pPr>
    <w:rPr>
      <w:szCs w:val="20"/>
      <w:lang w:val="es-AR"/>
    </w:rPr>
  </w:style>
  <w:style w:type="paragraph" w:styleId="Textoindependiente2">
    <w:name w:val="Body Text 2"/>
    <w:basedOn w:val="Normal"/>
    <w:pPr>
      <w:ind w:right="-1"/>
      <w:jc w:val="both"/>
    </w:pPr>
    <w:rPr>
      <w:sz w:val="22"/>
      <w:szCs w:val="20"/>
    </w:rPr>
  </w:style>
  <w:style w:type="paragraph" w:styleId="Sangradetextonormal">
    <w:name w:val="Body Text Indent"/>
    <w:basedOn w:val="Normal"/>
    <w:pPr>
      <w:ind w:left="1276" w:hanging="567"/>
      <w:jc w:val="both"/>
    </w:pPr>
    <w:rPr>
      <w:szCs w:val="20"/>
    </w:rPr>
  </w:style>
  <w:style w:type="paragraph" w:styleId="Textoindependiente3">
    <w:name w:val="Body Text 3"/>
    <w:basedOn w:val="Normal"/>
    <w:pPr>
      <w:jc w:val="both"/>
    </w:pPr>
    <w:rPr>
      <w:rFonts w:ascii="Arial" w:hAnsi="Arial"/>
      <w:sz w:val="18"/>
      <w:szCs w:val="20"/>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Pr>
      <w:rFonts w:ascii="Arial" w:hAnsi="Arial"/>
      <w:sz w:val="20"/>
    </w:rPr>
  </w:style>
  <w:style w:type="paragraph" w:styleId="Textodebloque">
    <w:name w:val="Block Text"/>
    <w:basedOn w:val="Normal"/>
    <w:pPr>
      <w:ind w:left="284" w:right="-426"/>
      <w:jc w:val="both"/>
    </w:pPr>
    <w:rPr>
      <w:szCs w:val="20"/>
    </w:rPr>
  </w:style>
  <w:style w:type="paragraph" w:styleId="Ttulo">
    <w:name w:val="Title"/>
    <w:basedOn w:val="Normal"/>
    <w:qFormat/>
    <w:pPr>
      <w:widowControl w:val="0"/>
      <w:spacing w:line="-240" w:lineRule="auto"/>
      <w:jc w:val="center"/>
    </w:pPr>
    <w:rPr>
      <w:rFonts w:ascii="CG Times (W1)" w:hAnsi="CG Times (W1)"/>
      <w:b/>
      <w:snapToGrid w:val="0"/>
      <w:sz w:val="28"/>
      <w:szCs w:val="20"/>
      <w:lang w:val="es-ES_tradnl"/>
    </w:rPr>
  </w:style>
  <w:style w:type="character" w:styleId="Nmerodepgina">
    <w:name w:val="page number"/>
    <w:basedOn w:val="Fuentedeprrafopredeter"/>
  </w:style>
  <w:style w:type="paragraph" w:customStyle="1" w:styleId="Textoinfaud">
    <w:name w:val="Texto inf.aud"/>
    <w:basedOn w:val="Normal"/>
    <w:pPr>
      <w:tabs>
        <w:tab w:val="left" w:pos="720"/>
      </w:tabs>
      <w:spacing w:line="360" w:lineRule="atLeast"/>
      <w:jc w:val="both"/>
    </w:pPr>
    <w:rPr>
      <w:rFonts w:ascii="Book Antiqua" w:hAnsi="Book Antiqua"/>
      <w:sz w:val="20"/>
      <w:szCs w:val="20"/>
      <w:lang w:val="es-AR"/>
    </w:rPr>
  </w:style>
  <w:style w:type="paragraph" w:styleId="Sangra3detindependiente">
    <w:name w:val="Body Text Indent 3"/>
    <w:basedOn w:val="Normal"/>
    <w:pPr>
      <w:ind w:left="720"/>
      <w:jc w:val="both"/>
    </w:pPr>
    <w:rPr>
      <w:rFonts w:ascii="Arial" w:hAnsi="Arial" w:cs="Arial"/>
      <w:sz w:val="20"/>
      <w:szCs w:val="20"/>
    </w:rPr>
  </w:style>
  <w:style w:type="paragraph" w:styleId="Textodeglobo">
    <w:name w:val="Balloon Text"/>
    <w:basedOn w:val="Normal"/>
    <w:semiHidden/>
    <w:rPr>
      <w:rFonts w:ascii="Tahoma" w:hAnsi="Tahoma" w:cs="Tahoma"/>
      <w:sz w:val="16"/>
      <w:szCs w:val="16"/>
    </w:rPr>
  </w:style>
  <w:style w:type="character" w:styleId="Hipervnculo">
    <w:name w:val="Hyperlink"/>
    <w:basedOn w:val="Fuentedeprrafopredeter"/>
    <w:uiPriority w:val="99"/>
    <w:unhideWhenUsed/>
    <w:rsid w:val="00247C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both"/>
      <w:outlineLvl w:val="0"/>
    </w:pPr>
    <w:rPr>
      <w:b/>
      <w:szCs w:val="20"/>
      <w:lang w:val="es-AR"/>
    </w:rPr>
  </w:style>
  <w:style w:type="paragraph" w:styleId="Ttulo2">
    <w:name w:val="heading 2"/>
    <w:basedOn w:val="Normal"/>
    <w:next w:val="Normal"/>
    <w:qFormat/>
    <w:pPr>
      <w:keepNext/>
      <w:outlineLvl w:val="1"/>
    </w:pPr>
    <w:rPr>
      <w:rFonts w:ascii="Arial" w:hAnsi="Arial"/>
      <w:b/>
      <w:sz w:val="20"/>
      <w:lang w:val="en-GB"/>
    </w:rPr>
  </w:style>
  <w:style w:type="paragraph" w:styleId="Ttulo3">
    <w:name w:val="heading 3"/>
    <w:basedOn w:val="Normal"/>
    <w:next w:val="Normal"/>
    <w:qFormat/>
    <w:pPr>
      <w:keepNext/>
      <w:jc w:val="both"/>
      <w:outlineLvl w:val="2"/>
    </w:pPr>
    <w:rPr>
      <w:rFonts w:ascii="Arial" w:hAnsi="Arial"/>
      <w:sz w:val="20"/>
      <w:u w:val="single"/>
    </w:rPr>
  </w:style>
  <w:style w:type="paragraph" w:styleId="Ttulo4">
    <w:name w:val="heading 4"/>
    <w:basedOn w:val="Normal"/>
    <w:next w:val="Normal"/>
    <w:qFormat/>
    <w:pPr>
      <w:keepNext/>
      <w:jc w:val="both"/>
      <w:outlineLvl w:val="3"/>
    </w:pPr>
    <w:rPr>
      <w:rFonts w:ascii="Arial" w:hAnsi="Arial"/>
      <w:b/>
      <w:sz w:val="20"/>
      <w:szCs w:val="20"/>
    </w:rPr>
  </w:style>
  <w:style w:type="paragraph" w:styleId="Ttulo6">
    <w:name w:val="heading 6"/>
    <w:basedOn w:val="Normal"/>
    <w:next w:val="Normal"/>
    <w:qFormat/>
    <w:pPr>
      <w:spacing w:before="240" w:after="60"/>
      <w:outlineLvl w:val="5"/>
    </w:pPr>
    <w:rPr>
      <w:b/>
      <w:bCs/>
      <w:sz w:val="22"/>
      <w:szCs w:val="22"/>
    </w:rPr>
  </w:style>
  <w:style w:type="paragraph" w:styleId="Ttulo8">
    <w:name w:val="heading 8"/>
    <w:basedOn w:val="Normal"/>
    <w:next w:val="Normal"/>
    <w:qFormat/>
    <w:pPr>
      <w:keepNext/>
      <w:jc w:val="center"/>
      <w:outlineLvl w:val="7"/>
    </w:pPr>
    <w:rPr>
      <w:rFonts w:ascii="Arial"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Pr>
      <w:rFonts w:ascii="Univers" w:hAnsi="Univers"/>
    </w:rPr>
  </w:style>
  <w:style w:type="paragraph" w:styleId="Sangra2detindependiente">
    <w:name w:val="Body Text Indent 2"/>
    <w:basedOn w:val="Normal"/>
    <w:pPr>
      <w:ind w:left="2410" w:hanging="286"/>
    </w:pPr>
    <w:rPr>
      <w:szCs w:val="20"/>
      <w:lang w:val="es-AR"/>
    </w:rPr>
  </w:style>
  <w:style w:type="paragraph" w:styleId="Textoindependiente2">
    <w:name w:val="Body Text 2"/>
    <w:basedOn w:val="Normal"/>
    <w:pPr>
      <w:ind w:right="-1"/>
      <w:jc w:val="both"/>
    </w:pPr>
    <w:rPr>
      <w:sz w:val="22"/>
      <w:szCs w:val="20"/>
    </w:rPr>
  </w:style>
  <w:style w:type="paragraph" w:styleId="Sangradetextonormal">
    <w:name w:val="Body Text Indent"/>
    <w:basedOn w:val="Normal"/>
    <w:pPr>
      <w:ind w:left="1276" w:hanging="567"/>
      <w:jc w:val="both"/>
    </w:pPr>
    <w:rPr>
      <w:szCs w:val="20"/>
    </w:rPr>
  </w:style>
  <w:style w:type="paragraph" w:styleId="Textoindependiente3">
    <w:name w:val="Body Text 3"/>
    <w:basedOn w:val="Normal"/>
    <w:pPr>
      <w:jc w:val="both"/>
    </w:pPr>
    <w:rPr>
      <w:rFonts w:ascii="Arial" w:hAnsi="Arial"/>
      <w:sz w:val="18"/>
      <w:szCs w:val="20"/>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rPr>
      <w:rFonts w:ascii="Arial" w:hAnsi="Arial"/>
      <w:sz w:val="20"/>
    </w:rPr>
  </w:style>
  <w:style w:type="paragraph" w:styleId="Textodebloque">
    <w:name w:val="Block Text"/>
    <w:basedOn w:val="Normal"/>
    <w:pPr>
      <w:ind w:left="284" w:right="-426"/>
      <w:jc w:val="both"/>
    </w:pPr>
    <w:rPr>
      <w:szCs w:val="20"/>
    </w:rPr>
  </w:style>
  <w:style w:type="paragraph" w:styleId="Ttulo">
    <w:name w:val="Title"/>
    <w:basedOn w:val="Normal"/>
    <w:qFormat/>
    <w:pPr>
      <w:widowControl w:val="0"/>
      <w:spacing w:line="-240" w:lineRule="auto"/>
      <w:jc w:val="center"/>
    </w:pPr>
    <w:rPr>
      <w:rFonts w:ascii="CG Times (W1)" w:hAnsi="CG Times (W1)"/>
      <w:b/>
      <w:snapToGrid w:val="0"/>
      <w:sz w:val="28"/>
      <w:szCs w:val="20"/>
      <w:lang w:val="es-ES_tradnl"/>
    </w:rPr>
  </w:style>
  <w:style w:type="character" w:styleId="Nmerodepgina">
    <w:name w:val="page number"/>
    <w:basedOn w:val="Fuentedeprrafopredeter"/>
  </w:style>
  <w:style w:type="paragraph" w:customStyle="1" w:styleId="Textoinfaud">
    <w:name w:val="Texto inf.aud"/>
    <w:basedOn w:val="Normal"/>
    <w:pPr>
      <w:tabs>
        <w:tab w:val="left" w:pos="720"/>
      </w:tabs>
      <w:spacing w:line="360" w:lineRule="atLeast"/>
      <w:jc w:val="both"/>
    </w:pPr>
    <w:rPr>
      <w:rFonts w:ascii="Book Antiqua" w:hAnsi="Book Antiqua"/>
      <w:sz w:val="20"/>
      <w:szCs w:val="20"/>
      <w:lang w:val="es-AR"/>
    </w:rPr>
  </w:style>
  <w:style w:type="paragraph" w:styleId="Sangra3detindependiente">
    <w:name w:val="Body Text Indent 3"/>
    <w:basedOn w:val="Normal"/>
    <w:pPr>
      <w:ind w:left="720"/>
      <w:jc w:val="both"/>
    </w:pPr>
    <w:rPr>
      <w:rFonts w:ascii="Arial" w:hAnsi="Arial" w:cs="Arial"/>
      <w:sz w:val="20"/>
      <w:szCs w:val="20"/>
    </w:rPr>
  </w:style>
  <w:style w:type="paragraph" w:styleId="Textodeglobo">
    <w:name w:val="Balloon Text"/>
    <w:basedOn w:val="Normal"/>
    <w:semiHidden/>
    <w:rPr>
      <w:rFonts w:ascii="Tahoma" w:hAnsi="Tahoma" w:cs="Tahoma"/>
      <w:sz w:val="16"/>
      <w:szCs w:val="16"/>
    </w:rPr>
  </w:style>
  <w:style w:type="character" w:styleId="Hipervnculo">
    <w:name w:val="Hyperlink"/>
    <w:basedOn w:val="Fuentedeprrafopredeter"/>
    <w:uiPriority w:val="99"/>
    <w:unhideWhenUsed/>
    <w:rsid w:val="00247C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3579">
      <w:bodyDiv w:val="1"/>
      <w:marLeft w:val="0"/>
      <w:marRight w:val="0"/>
      <w:marTop w:val="0"/>
      <w:marBottom w:val="0"/>
      <w:divBdr>
        <w:top w:val="none" w:sz="0" w:space="0" w:color="auto"/>
        <w:left w:val="none" w:sz="0" w:space="0" w:color="auto"/>
        <w:bottom w:val="none" w:sz="0" w:space="0" w:color="auto"/>
        <w:right w:val="none" w:sz="0" w:space="0" w:color="auto"/>
      </w:divBdr>
    </w:div>
    <w:div w:id="137109792">
      <w:bodyDiv w:val="1"/>
      <w:marLeft w:val="0"/>
      <w:marRight w:val="0"/>
      <w:marTop w:val="0"/>
      <w:marBottom w:val="0"/>
      <w:divBdr>
        <w:top w:val="none" w:sz="0" w:space="0" w:color="auto"/>
        <w:left w:val="none" w:sz="0" w:space="0" w:color="auto"/>
        <w:bottom w:val="none" w:sz="0" w:space="0" w:color="auto"/>
        <w:right w:val="none" w:sz="0" w:space="0" w:color="auto"/>
      </w:divBdr>
    </w:div>
    <w:div w:id="233053512">
      <w:bodyDiv w:val="1"/>
      <w:marLeft w:val="0"/>
      <w:marRight w:val="0"/>
      <w:marTop w:val="0"/>
      <w:marBottom w:val="0"/>
      <w:divBdr>
        <w:top w:val="none" w:sz="0" w:space="0" w:color="auto"/>
        <w:left w:val="none" w:sz="0" w:space="0" w:color="auto"/>
        <w:bottom w:val="none" w:sz="0" w:space="0" w:color="auto"/>
        <w:right w:val="none" w:sz="0" w:space="0" w:color="auto"/>
      </w:divBdr>
    </w:div>
    <w:div w:id="985547145">
      <w:bodyDiv w:val="1"/>
      <w:marLeft w:val="0"/>
      <w:marRight w:val="0"/>
      <w:marTop w:val="0"/>
      <w:marBottom w:val="0"/>
      <w:divBdr>
        <w:top w:val="none" w:sz="0" w:space="0" w:color="auto"/>
        <w:left w:val="none" w:sz="0" w:space="0" w:color="auto"/>
        <w:bottom w:val="none" w:sz="0" w:space="0" w:color="auto"/>
        <w:right w:val="none" w:sz="0" w:space="0" w:color="auto"/>
      </w:divBdr>
    </w:div>
    <w:div w:id="1497719955">
      <w:bodyDiv w:val="1"/>
      <w:marLeft w:val="0"/>
      <w:marRight w:val="0"/>
      <w:marTop w:val="0"/>
      <w:marBottom w:val="0"/>
      <w:divBdr>
        <w:top w:val="none" w:sz="0" w:space="0" w:color="auto"/>
        <w:left w:val="none" w:sz="0" w:space="0" w:color="auto"/>
        <w:bottom w:val="none" w:sz="0" w:space="0" w:color="auto"/>
        <w:right w:val="none" w:sz="0" w:space="0" w:color="auto"/>
      </w:divBdr>
    </w:div>
    <w:div w:id="154718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yperlink" Target="https://www.iprofesional.com/impuestos/285016-afip-dolares-exportacion-Los-bienes-que-entren-al-revaluo-se-podran-indexar-por-la-inflacion-de-2018" TargetMode="External"/><Relationship Id="rId26"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profesional.com/impuestos/285016-afip-dolares-exportacion-Los-bienes-que-entren-al-revaluo-se-podran-indexar-por-la-inflacion-de-2018"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emf"/><Relationship Id="rId28" Type="http://schemas.openxmlformats.org/officeDocument/2006/relationships/footer" Target="footer7.xml"/><Relationship Id="rId10" Type="http://schemas.openxmlformats.org/officeDocument/2006/relationships/image" Target="media/image3.emf"/><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footer" Target="footer4.xm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Excel_97-2003_Worksheet1.xl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oleObject" Target="embeddings/Microsoft_Excel_97-2003_Worksheet3.xls"/><Relationship Id="rId2" Type="http://schemas.openxmlformats.org/officeDocument/2006/relationships/oleObject" Target="embeddings/Microsoft_Excel_97-2003_Worksheet2.xls"/><Relationship Id="rId1"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2735</Words>
  <Characters>15046</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Acueducto</vt:lpstr>
    </vt:vector>
  </TitlesOfParts>
  <Company>Blanca Rivero</Company>
  <LinksUpToDate>false</LinksUpToDate>
  <CharactersWithSpaces>17746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Acueducto</dc:title>
  <dc:subject>Balance al 30 de Setiembre de 2005</dc:subject>
  <dc:creator>Blanca Rivero</dc:creator>
  <cp:lastModifiedBy>Blanca candiani</cp:lastModifiedBy>
  <cp:revision>2</cp:revision>
  <cp:lastPrinted>2017-07-17T18:40:00Z</cp:lastPrinted>
  <dcterms:created xsi:type="dcterms:W3CDTF">2019-02-25T16:52:00Z</dcterms:created>
  <dcterms:modified xsi:type="dcterms:W3CDTF">2019-02-25T16:52:00Z</dcterms:modified>
</cp:coreProperties>
</file>