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Style w:val="Ttulo7"/>
        <w:pBdr>
          <w:top w:val="single" w:sz="8" w:space="1" w:color="auto" w:shadow="1"/>
          <w:left w:val="single" w:sz="8" w:space="4" w:color="auto" w:shadow="1"/>
          <w:bottom w:val="single" w:sz="8" w:space="1" w:color="auto" w:shadow="1"/>
          <w:right w:val="single" w:sz="8" w:space="4" w:color="auto" w:shadow="1"/>
        </w:pBdr>
        <w:shd w:val="pct5" w:color="auto" w:fill="FFFFFF"/>
        <w:rPr>
          <w:rFonts w:ascii="Arial" w:hAnsi="Arial" w:cs="Arial"/>
        </w:rPr>
      </w:pPr>
      <w:bookmarkStart w:id="0" w:name="_GoBack"/>
      <w:bookmarkEnd w:id="0"/>
      <w:r>
        <w:rPr>
          <w:rFonts w:ascii="Arial" w:hAnsi="Arial" w:cs="Arial"/>
        </w:rPr>
        <w:t>Estados Contables</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846B9A">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r>
        <w:rPr>
          <w:rFonts w:ascii="Arial" w:hAnsi="Arial" w:cs="Arial"/>
          <w:sz w:val="36"/>
        </w:rPr>
        <w:t>Correspondiente</w:t>
      </w:r>
      <w:r w:rsidR="00A270C0">
        <w:rPr>
          <w:rFonts w:ascii="Arial" w:hAnsi="Arial" w:cs="Arial"/>
          <w:sz w:val="36"/>
        </w:rPr>
        <w:t xml:space="preserve"> al </w:t>
      </w:r>
      <w:r w:rsidR="00867516">
        <w:rPr>
          <w:rFonts w:ascii="Arial" w:hAnsi="Arial" w:cs="Arial"/>
          <w:sz w:val="36"/>
        </w:rPr>
        <w:t>ejercicio</w:t>
      </w:r>
      <w:r w:rsidR="00A270C0">
        <w:rPr>
          <w:rFonts w:ascii="Arial" w:hAnsi="Arial" w:cs="Arial"/>
          <w:sz w:val="36"/>
        </w:rPr>
        <w:t xml:space="preserve"> iniciado el  </w:t>
      </w:r>
    </w:p>
    <w:p w:rsidR="00A05752" w:rsidRDefault="00F673FB" w:rsidP="00A05752">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r>
        <w:rPr>
          <w:rFonts w:ascii="Arial" w:hAnsi="Arial" w:cs="Arial"/>
          <w:sz w:val="36"/>
        </w:rPr>
        <w:t xml:space="preserve">1º de </w:t>
      </w:r>
      <w:r w:rsidR="00867516">
        <w:rPr>
          <w:rFonts w:ascii="Arial" w:hAnsi="Arial" w:cs="Arial"/>
          <w:sz w:val="36"/>
        </w:rPr>
        <w:t>Enero</w:t>
      </w:r>
      <w:r w:rsidR="00A05752">
        <w:rPr>
          <w:rFonts w:ascii="Arial" w:hAnsi="Arial" w:cs="Arial"/>
          <w:sz w:val="36"/>
        </w:rPr>
        <w:t xml:space="preserve"> de 2019</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40"/>
        </w:rPr>
      </w:pPr>
      <w:proofErr w:type="gramStart"/>
      <w:r>
        <w:rPr>
          <w:rFonts w:ascii="Arial" w:hAnsi="Arial" w:cs="Arial"/>
          <w:sz w:val="36"/>
        </w:rPr>
        <w:t>y</w:t>
      </w:r>
      <w:proofErr w:type="gramEnd"/>
      <w:r>
        <w:rPr>
          <w:rFonts w:ascii="Arial" w:hAnsi="Arial" w:cs="Arial"/>
          <w:sz w:val="36"/>
        </w:rPr>
        <w:t xml:space="preserve"> finalizado el </w:t>
      </w:r>
      <w:r w:rsidR="00F70785">
        <w:rPr>
          <w:rFonts w:ascii="Arial" w:hAnsi="Arial" w:cs="Arial"/>
          <w:sz w:val="36"/>
        </w:rPr>
        <w:t>31</w:t>
      </w:r>
      <w:r w:rsidR="00F673FB">
        <w:rPr>
          <w:rFonts w:ascii="Arial" w:hAnsi="Arial" w:cs="Arial"/>
          <w:sz w:val="36"/>
        </w:rPr>
        <w:t xml:space="preserve"> de </w:t>
      </w:r>
      <w:r w:rsidR="00A05752">
        <w:rPr>
          <w:rFonts w:ascii="Arial" w:hAnsi="Arial" w:cs="Arial"/>
          <w:sz w:val="36"/>
        </w:rPr>
        <w:t>Marzo</w:t>
      </w:r>
      <w:r w:rsidR="00F673FB">
        <w:rPr>
          <w:rFonts w:ascii="Arial" w:hAnsi="Arial" w:cs="Arial"/>
          <w:sz w:val="36"/>
        </w:rPr>
        <w:t xml:space="preserve"> de 201</w:t>
      </w:r>
      <w:r w:rsidR="00A05752">
        <w:rPr>
          <w:rFonts w:ascii="Arial" w:hAnsi="Arial" w:cs="Arial"/>
          <w:sz w:val="36"/>
        </w:rPr>
        <w:t>9</w:t>
      </w:r>
    </w:p>
    <w:p w:rsidR="00A270C0" w:rsidRDefault="00A05752">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r>
        <w:rPr>
          <w:rFonts w:ascii="Arial" w:hAnsi="Arial" w:cs="Arial"/>
          <w:sz w:val="36"/>
        </w:rPr>
        <w:t>Ejercicio Económico Nº 4</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rPr>
      </w:pP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rPr>
      </w:pPr>
      <w:r>
        <w:rPr>
          <w:rFonts w:ascii="Arial" w:hAnsi="Arial" w:cs="Arial"/>
          <w:b/>
          <w:sz w:val="40"/>
        </w:rPr>
        <w:t>SUPERCEMENTO</w:t>
      </w:r>
      <w:r w:rsidR="00A270C0">
        <w:rPr>
          <w:rFonts w:ascii="Arial" w:hAnsi="Arial" w:cs="Arial"/>
          <w:b/>
          <w:sz w:val="40"/>
        </w:rPr>
        <w:t xml:space="preserve"> S.A.</w:t>
      </w:r>
      <w:r w:rsidR="00980D3A">
        <w:rPr>
          <w:rFonts w:ascii="Arial" w:hAnsi="Arial" w:cs="Arial"/>
          <w:b/>
          <w:sz w:val="40"/>
        </w:rPr>
        <w:t>I.C.</w:t>
      </w: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rPr>
      </w:pPr>
      <w:r>
        <w:rPr>
          <w:rFonts w:ascii="Arial" w:hAnsi="Arial" w:cs="Arial"/>
          <w:b/>
          <w:sz w:val="40"/>
        </w:rPr>
        <w:t>DYCASA</w:t>
      </w:r>
      <w:r w:rsidR="00A270C0">
        <w:rPr>
          <w:rFonts w:ascii="Arial" w:hAnsi="Arial" w:cs="Arial"/>
          <w:b/>
          <w:sz w:val="40"/>
        </w:rPr>
        <w:t xml:space="preserve"> S.A.</w:t>
      </w:r>
    </w:p>
    <w:p w:rsidR="00A270C0" w:rsidRPr="00980D3A" w:rsidRDefault="00980D3A">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lang w:val="en-US"/>
        </w:rPr>
      </w:pPr>
      <w:r w:rsidRPr="00980D3A">
        <w:rPr>
          <w:rFonts w:ascii="Arial" w:hAnsi="Arial" w:cs="Arial"/>
          <w:b/>
          <w:sz w:val="40"/>
          <w:lang w:val="en-US"/>
        </w:rPr>
        <w:t xml:space="preserve">JOSE J. </w:t>
      </w:r>
      <w:r w:rsidR="00D211C0" w:rsidRPr="00980D3A">
        <w:rPr>
          <w:rFonts w:ascii="Arial" w:hAnsi="Arial" w:cs="Arial"/>
          <w:b/>
          <w:sz w:val="40"/>
          <w:lang w:val="en-US"/>
        </w:rPr>
        <w:t>CHEDIAK</w:t>
      </w:r>
      <w:r w:rsidR="00A270C0" w:rsidRPr="00980D3A">
        <w:rPr>
          <w:rFonts w:ascii="Arial" w:hAnsi="Arial" w:cs="Arial"/>
          <w:b/>
          <w:sz w:val="40"/>
          <w:lang w:val="en-US"/>
        </w:rPr>
        <w:t xml:space="preserve"> S.A.</w:t>
      </w:r>
      <w:r w:rsidRPr="00980D3A">
        <w:rPr>
          <w:rFonts w:ascii="Arial" w:hAnsi="Arial" w:cs="Arial"/>
          <w:b/>
          <w:sz w:val="40"/>
          <w:lang w:val="en-US"/>
        </w:rPr>
        <w:t>I.C.</w:t>
      </w:r>
    </w:p>
    <w:p w:rsidR="00A270C0" w:rsidRDefault="00A270C0">
      <w:pPr>
        <w:pStyle w:val="Ttulo9"/>
        <w:pBdr>
          <w:top w:val="single" w:sz="8" w:space="1" w:color="auto" w:shadow="1"/>
          <w:left w:val="single" w:sz="8" w:space="4" w:color="auto" w:shadow="1"/>
          <w:bottom w:val="single" w:sz="8" w:space="1" w:color="auto" w:shadow="1"/>
          <w:right w:val="single" w:sz="8" w:space="4" w:color="auto" w:shadow="1"/>
        </w:pBdr>
        <w:rPr>
          <w:rFonts w:ascii="Arial" w:hAnsi="Arial" w:cs="Arial"/>
        </w:rPr>
      </w:pPr>
      <w:r>
        <w:rPr>
          <w:rFonts w:ascii="Arial" w:hAnsi="Arial" w:cs="Arial"/>
          <w:sz w:val="40"/>
        </w:rPr>
        <w:t>UNION TRANSITORIA DE EMPRESAS</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r>
        <w:rPr>
          <w:color w:val="FF0000"/>
        </w:rPr>
        <w:t>.</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szCs w:val="36"/>
        </w:rPr>
      </w:pPr>
      <w:r>
        <w:rPr>
          <w:rFonts w:ascii="Arial" w:hAnsi="Arial" w:cs="Arial"/>
          <w:sz w:val="36"/>
          <w:szCs w:val="36"/>
        </w:rPr>
        <w:t>AUTOVIA RUTA NACIONAL NRO. 7</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CG Times (W1)" w:hAnsi="CG Times (W1)"/>
          <w:b/>
          <w:sz w:val="36"/>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CG Times (W1)" w:hAnsi="CG Times (W1)"/>
          <w:b/>
          <w:sz w:val="36"/>
        </w:rPr>
        <w:sectPr w:rsidR="00A270C0">
          <w:headerReference w:type="default" r:id="rId8"/>
          <w:footerReference w:type="even" r:id="rId9"/>
          <w:footerReference w:type="default" r:id="rId10"/>
          <w:footnotePr>
            <w:numRestart w:val="eachSect"/>
          </w:footnotePr>
          <w:type w:val="nextColumn"/>
          <w:pgSz w:w="11907" w:h="16840" w:code="9"/>
          <w:pgMar w:top="1701" w:right="1559" w:bottom="1701" w:left="1276" w:header="720" w:footer="720" w:gutter="0"/>
          <w:cols w:space="720"/>
          <w:titlePg/>
        </w:sectPr>
      </w:pPr>
    </w:p>
    <w:p w:rsidR="00A270C0" w:rsidRDefault="00A270C0">
      <w:pPr>
        <w:pStyle w:val="Piedepgina"/>
        <w:tabs>
          <w:tab w:val="clear" w:pos="4252"/>
          <w:tab w:val="clear" w:pos="8504"/>
        </w:tabs>
        <w:rPr>
          <w:rFonts w:ascii="CG Times (W1)" w:hAnsi="CG Times (W1)"/>
        </w:rPr>
      </w:pPr>
    </w:p>
    <w:p w:rsidR="000D6C85" w:rsidRDefault="000D6C85">
      <w:pPr>
        <w:pStyle w:val="Piedepgina"/>
        <w:tabs>
          <w:tab w:val="clear" w:pos="4252"/>
          <w:tab w:val="clear" w:pos="8504"/>
        </w:tabs>
        <w:rPr>
          <w:rFonts w:ascii="CG Times (W1)" w:hAnsi="CG Times (W1)"/>
        </w:rPr>
      </w:pPr>
    </w:p>
    <w:p w:rsidR="000D6C85" w:rsidRDefault="000D6C85">
      <w:pPr>
        <w:pStyle w:val="Piedepgina"/>
        <w:tabs>
          <w:tab w:val="clear" w:pos="4252"/>
          <w:tab w:val="clear" w:pos="8504"/>
        </w:tabs>
        <w:rPr>
          <w:rFonts w:ascii="CG Times (W1)" w:hAnsi="CG Times (W1)"/>
        </w:rPr>
      </w:pPr>
    </w:p>
    <w:p w:rsidR="00A270C0" w:rsidRDefault="00506D66">
      <w:pPr>
        <w:rPr>
          <w:rFonts w:ascii="Arial" w:hAnsi="Arial"/>
          <w:b/>
          <w:u w:val="single"/>
        </w:rPr>
      </w:pPr>
      <w:r>
        <w:rPr>
          <w:rFonts w:ascii="Arial" w:hAnsi="Arial"/>
          <w:b/>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37" type="#_x0000_t75" style="position:absolute;margin-left:0;margin-top:-.85pt;width:439.9pt;height:470.65pt;z-index:251764736;mso-position-horizontal:center;mso-position-horizontal-relative:text;mso-position-vertical:absolute;mso-position-vertical-relative:text">
            <v:imagedata r:id="rId11" o:title=""/>
            <w10:wrap type="square"/>
          </v:shape>
        </w:pict>
      </w:r>
    </w:p>
    <w:p w:rsidR="00B342A7" w:rsidRDefault="00B342A7">
      <w:pPr>
        <w:rPr>
          <w:rFonts w:ascii="Arial" w:hAnsi="Arial"/>
          <w:b/>
        </w:rPr>
        <w:sectPr w:rsidR="00B342A7">
          <w:footnotePr>
            <w:numRestart w:val="eachSect"/>
          </w:footnotePr>
          <w:pgSz w:w="11907" w:h="16840" w:code="9"/>
          <w:pgMar w:top="1559" w:right="1531" w:bottom="851" w:left="1531" w:header="720" w:footer="720" w:gutter="0"/>
          <w:pgNumType w:start="1"/>
          <w:cols w:space="720"/>
        </w:sectPr>
      </w:pPr>
    </w:p>
    <w:p w:rsidR="00B342A7" w:rsidRDefault="00B342A7">
      <w:pPr>
        <w:rPr>
          <w:rFonts w:ascii="Arial" w:hAnsi="Arial"/>
          <w:b/>
        </w:rPr>
      </w:pPr>
    </w:p>
    <w:p w:rsidR="00B342A7" w:rsidRDefault="00506D66">
      <w:pPr>
        <w:rPr>
          <w:rFonts w:ascii="Arial" w:hAnsi="Arial"/>
          <w:b/>
        </w:rPr>
      </w:pPr>
      <w:r>
        <w:rPr>
          <w:rFonts w:ascii="Arial" w:hAnsi="Arial"/>
          <w:b/>
          <w:noProof/>
        </w:rPr>
        <w:pict>
          <v:shape id="_x0000_s1263" type="#_x0000_t75" style="position:absolute;margin-left:0;margin-top:.3pt;width:428.5pt;height:544.4pt;z-index:251791360;mso-position-horizontal:center;mso-position-horizontal-relative:text;mso-position-vertical:absolute;mso-position-vertical-relative:text">
            <v:imagedata r:id="rId12" o:title=""/>
            <w10:wrap type="square"/>
          </v:shape>
        </w:pict>
      </w:r>
    </w:p>
    <w:p w:rsidR="00F70785" w:rsidRDefault="00F70785">
      <w:pPr>
        <w:rPr>
          <w:rFonts w:ascii="Arial" w:hAnsi="Arial"/>
          <w:b/>
        </w:rPr>
      </w:pPr>
    </w:p>
    <w:p w:rsidR="00B342A7" w:rsidRDefault="00B342A7">
      <w:pPr>
        <w:rPr>
          <w:rFonts w:ascii="Arial" w:hAnsi="Arial"/>
        </w:rPr>
        <w:sectPr w:rsidR="00B342A7">
          <w:footnotePr>
            <w:numRestart w:val="eachSect"/>
          </w:footnotePr>
          <w:pgSz w:w="11907" w:h="16840" w:code="9"/>
          <w:pgMar w:top="1559" w:right="1531" w:bottom="851" w:left="1531" w:header="720" w:footer="720" w:gutter="0"/>
          <w:pgNumType w:start="1"/>
          <w:cols w:space="720"/>
        </w:sectPr>
      </w:pPr>
    </w:p>
    <w:p w:rsidR="00B342A7" w:rsidRDefault="00B342A7">
      <w:pPr>
        <w:rPr>
          <w:rFonts w:ascii="Arial" w:hAnsi="Arial"/>
          <w:noProof/>
          <w:lang w:eastAsia="es-AR"/>
        </w:rPr>
      </w:pPr>
    </w:p>
    <w:p w:rsidR="00A05752" w:rsidRDefault="00506D66">
      <w:pPr>
        <w:rPr>
          <w:rFonts w:ascii="Arial" w:hAnsi="Arial"/>
        </w:rPr>
      </w:pPr>
      <w:r>
        <w:rPr>
          <w:rFonts w:ascii="Arial" w:hAnsi="Arial"/>
          <w:noProof/>
        </w:rPr>
        <w:pict>
          <v:shape id="_x0000_s1262" type="#_x0000_t75" style="position:absolute;margin-left:0;margin-top:.3pt;width:446.95pt;height:445.15pt;z-index:251789312;mso-position-horizontal:center;mso-position-horizontal-relative:text;mso-position-vertical:absolute;mso-position-vertical-relative:text">
            <v:imagedata r:id="rId13" o:title=""/>
            <w10:wrap type="square"/>
          </v:shape>
        </w:pict>
      </w:r>
    </w:p>
    <w:p w:rsidR="00B342A7" w:rsidRDefault="00B342A7">
      <w:pPr>
        <w:rPr>
          <w:rFonts w:ascii="Arial" w:hAnsi="Arial"/>
        </w:rPr>
      </w:pPr>
    </w:p>
    <w:p w:rsidR="00F53A71" w:rsidRDefault="00F53A71">
      <w:pPr>
        <w:rPr>
          <w:rFonts w:ascii="Arial" w:hAnsi="Arial"/>
        </w:rPr>
      </w:pPr>
    </w:p>
    <w:p w:rsidR="00F53A71" w:rsidRDefault="00F53A71">
      <w:pPr>
        <w:rPr>
          <w:rFonts w:ascii="Arial" w:hAnsi="Arial"/>
        </w:rPr>
      </w:pPr>
    </w:p>
    <w:p w:rsidR="00DA3A1A" w:rsidRDefault="00DA3A1A">
      <w:pPr>
        <w:rPr>
          <w:rFonts w:ascii="Arial" w:hAnsi="Arial"/>
        </w:rPr>
      </w:pPr>
      <w:r>
        <w:rPr>
          <w:rFonts w:ascii="Arial" w:hAnsi="Arial"/>
        </w:rPr>
        <w:br w:type="page"/>
      </w:r>
    </w:p>
    <w:p w:rsidR="00A270C0" w:rsidRDefault="00A270C0">
      <w:pPr>
        <w:rPr>
          <w:rFonts w:ascii="Arial" w:hAnsi="Arial"/>
        </w:rPr>
        <w:sectPr w:rsidR="00A270C0" w:rsidSect="00DA3A1A">
          <w:footnotePr>
            <w:numRestart w:val="eachSect"/>
          </w:footnotePr>
          <w:pgSz w:w="11907" w:h="16840" w:code="9"/>
          <w:pgMar w:top="1559" w:right="1531" w:bottom="851" w:left="1531" w:header="720" w:footer="720" w:gutter="0"/>
          <w:pgNumType w:start="1"/>
          <w:cols w:space="720"/>
          <w:docGrid w:linePitch="272"/>
        </w:sectPr>
      </w:pPr>
    </w:p>
    <w:p w:rsidR="00A270C0" w:rsidRDefault="00A270C0">
      <w:pPr>
        <w:rPr>
          <w:rFonts w:ascii="Arial" w:hAnsi="Arial"/>
          <w:b/>
          <w:u w:val="single"/>
          <w:lang w:val="es-ES"/>
        </w:rPr>
      </w:pPr>
    </w:p>
    <w:p w:rsidR="00A270C0" w:rsidRDefault="00506D66">
      <w:pPr>
        <w:rPr>
          <w:rFonts w:ascii="Arial" w:hAnsi="Arial"/>
          <w:b/>
          <w:u w:val="single"/>
          <w:lang w:val="es-ES"/>
        </w:rPr>
      </w:pPr>
      <w:r>
        <w:rPr>
          <w:rFonts w:ascii="Arial" w:hAnsi="Arial"/>
          <w:b/>
          <w:noProof/>
          <w:u w:val="single"/>
        </w:rPr>
        <w:pict>
          <v:shape id="_x0000_s1261" type="#_x0000_t75" style="position:absolute;margin-left:0;margin-top:-1.15pt;width:597.95pt;height:285.35pt;z-index:251787264;mso-position-horizontal:center;mso-position-horizontal-relative:text;mso-position-vertical:absolute;mso-position-vertical-relative:text">
            <v:imagedata r:id="rId14" o:title=""/>
            <w10:wrap type="square"/>
          </v:shape>
        </w:pict>
      </w:r>
    </w:p>
    <w:p w:rsidR="00A270C0" w:rsidRDefault="00A270C0">
      <w:pPr>
        <w:rPr>
          <w:rFonts w:ascii="Arial" w:hAnsi="Arial"/>
          <w:b/>
          <w:u w:val="single"/>
          <w:lang w:val="es-ES"/>
        </w:rPr>
      </w:pPr>
    </w:p>
    <w:p w:rsidR="00A270C0" w:rsidRDefault="00A270C0">
      <w:pPr>
        <w:rPr>
          <w:rFonts w:ascii="Arial" w:hAnsi="Arial"/>
          <w:b/>
          <w:u w:val="single"/>
          <w:lang w:val="es-ES"/>
        </w:rPr>
      </w:pPr>
    </w:p>
    <w:p w:rsidR="00765F70" w:rsidRDefault="00765F70">
      <w:pPr>
        <w:rPr>
          <w:rFonts w:ascii="Arial" w:hAnsi="Arial"/>
          <w:b/>
          <w:u w:val="single"/>
          <w:lang w:val="es-ES"/>
        </w:rPr>
      </w:pPr>
    </w:p>
    <w:p w:rsidR="00F70785" w:rsidRDefault="00F70785">
      <w:pPr>
        <w:rPr>
          <w:rFonts w:ascii="Arial" w:hAnsi="Arial"/>
          <w:b/>
          <w:u w:val="single"/>
          <w:lang w:val="es-ES"/>
        </w:rPr>
      </w:pPr>
    </w:p>
    <w:p w:rsidR="00F70785" w:rsidRDefault="00F70785">
      <w:pPr>
        <w:rPr>
          <w:rFonts w:ascii="Arial" w:hAnsi="Arial"/>
          <w:b/>
          <w:u w:val="single"/>
          <w:lang w:val="es-ES"/>
        </w:rPr>
      </w:pPr>
    </w:p>
    <w:p w:rsidR="00F70785" w:rsidRDefault="00F70785">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DA3A1A" w:rsidRDefault="00DA3A1A">
      <w:pPr>
        <w:rPr>
          <w:rFonts w:ascii="Arial" w:hAnsi="Arial"/>
          <w:b/>
          <w:u w:val="single"/>
        </w:rPr>
        <w:sectPr w:rsidR="00DA3A1A" w:rsidSect="00DA3A1A">
          <w:footnotePr>
            <w:numRestart w:val="eachSect"/>
          </w:footnotePr>
          <w:pgSz w:w="16840" w:h="11907" w:orient="landscape" w:code="9"/>
          <w:pgMar w:top="1531" w:right="851" w:bottom="1531" w:left="1559" w:header="720" w:footer="720" w:gutter="0"/>
          <w:cols w:space="720"/>
        </w:sectPr>
      </w:pPr>
    </w:p>
    <w:p w:rsidR="00F70785" w:rsidRDefault="00F70785" w:rsidP="00B342A7">
      <w:pPr>
        <w:rPr>
          <w:rFonts w:ascii="Arial" w:hAnsi="Arial"/>
          <w:b/>
          <w:u w:val="single"/>
        </w:rPr>
      </w:pPr>
    </w:p>
    <w:p w:rsidR="00DA3A1A" w:rsidRDefault="00506D66">
      <w:pPr>
        <w:rPr>
          <w:rFonts w:ascii="Arial" w:hAnsi="Arial"/>
          <w:b/>
        </w:rPr>
      </w:pPr>
      <w:r>
        <w:rPr>
          <w:rFonts w:ascii="Arial" w:hAnsi="Arial"/>
          <w:b/>
          <w:noProof/>
        </w:rPr>
        <w:pict>
          <v:shape id="_x0000_s1260" type="#_x0000_t75" style="position:absolute;margin-left:0;margin-top:.3pt;width:475pt;height:529.45pt;z-index:251785216;mso-position-horizontal:center;mso-position-horizontal-relative:text;mso-position-vertical:absolute;mso-position-vertical-relative:text">
            <v:imagedata r:id="rId15" o:title=""/>
            <w10:wrap type="square"/>
          </v:shape>
        </w:pict>
      </w:r>
      <w:r w:rsidR="00DA3A1A">
        <w:rPr>
          <w:rFonts w:ascii="Arial" w:hAnsi="Arial"/>
          <w:b/>
        </w:rPr>
        <w:br w:type="page"/>
      </w:r>
    </w:p>
    <w:p w:rsidR="00A270C0" w:rsidRDefault="00A270C0" w:rsidP="001858D0">
      <w:pPr>
        <w:jc w:val="center"/>
        <w:rPr>
          <w:rFonts w:ascii="Arial" w:hAnsi="Arial"/>
          <w:b/>
        </w:rPr>
      </w:pPr>
      <w:r>
        <w:rPr>
          <w:rFonts w:ascii="Arial" w:hAnsi="Arial"/>
          <w:b/>
        </w:rPr>
        <w:lastRenderedPageBreak/>
        <w:t>NOTAS A LOS ESTADOS CONTABLES</w:t>
      </w: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4208EF" w:rsidRDefault="004208EF">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Nota 1.</w:t>
      </w:r>
      <w:r>
        <w:rPr>
          <w:rFonts w:ascii="Arial" w:hAnsi="Arial"/>
          <w:b/>
        </w:rPr>
        <w:tab/>
      </w:r>
      <w:r>
        <w:rPr>
          <w:rFonts w:ascii="Arial" w:hAnsi="Arial"/>
          <w:b/>
          <w:snapToGrid w:val="0"/>
          <w:color w:val="000000"/>
          <w:lang w:val="es-ES"/>
        </w:rPr>
        <w:t>Actividad de la Unión Transitoria de Empresas</w:t>
      </w:r>
    </w:p>
    <w:p w:rsidR="00A270C0" w:rsidRDefault="00A270C0">
      <w:pPr>
        <w:tabs>
          <w:tab w:val="left" w:pos="1134"/>
        </w:tabs>
        <w:ind w:left="1134"/>
        <w:jc w:val="both"/>
        <w:rPr>
          <w:rFonts w:ascii="Arial" w:hAnsi="Arial"/>
        </w:rPr>
      </w:pPr>
    </w:p>
    <w:p w:rsidR="00A270C0" w:rsidRDefault="00A270C0" w:rsidP="001858D0">
      <w:pPr>
        <w:pStyle w:val="Prrafodelista"/>
        <w:tabs>
          <w:tab w:val="left" w:pos="1134"/>
        </w:tabs>
        <w:ind w:left="1134"/>
        <w:jc w:val="both"/>
        <w:rPr>
          <w:rFonts w:ascii="Arial" w:hAnsi="Arial"/>
        </w:rPr>
      </w:pPr>
      <w:r w:rsidRPr="001858D0">
        <w:rPr>
          <w:rFonts w:ascii="Arial" w:hAnsi="Arial"/>
        </w:rPr>
        <w:t>El día</w:t>
      </w:r>
      <w:r w:rsidR="001858D0" w:rsidRPr="001858D0">
        <w:rPr>
          <w:rFonts w:ascii="Arial" w:hAnsi="Arial"/>
        </w:rPr>
        <w:t xml:space="preserve"> </w:t>
      </w:r>
      <w:r w:rsidR="000D6C85">
        <w:rPr>
          <w:rFonts w:ascii="Arial" w:hAnsi="Arial"/>
        </w:rPr>
        <w:t>11 de Mayo de 2015</w:t>
      </w:r>
      <w:r w:rsidR="001858D0">
        <w:rPr>
          <w:rFonts w:ascii="Arial" w:hAnsi="Arial"/>
        </w:rPr>
        <w:t xml:space="preserve"> </w:t>
      </w:r>
      <w:proofErr w:type="spellStart"/>
      <w:r w:rsidR="001858D0" w:rsidRPr="001858D0">
        <w:rPr>
          <w:rFonts w:ascii="Arial" w:hAnsi="Arial"/>
        </w:rPr>
        <w:t>Supercemento</w:t>
      </w:r>
      <w:proofErr w:type="spellEnd"/>
      <w:r w:rsidR="001858D0" w:rsidRPr="001858D0">
        <w:rPr>
          <w:rFonts w:ascii="Arial" w:hAnsi="Arial"/>
        </w:rPr>
        <w:t xml:space="preserve"> S.A.</w:t>
      </w:r>
      <w:r w:rsidR="00980D3A">
        <w:rPr>
          <w:rFonts w:ascii="Arial" w:hAnsi="Arial"/>
        </w:rPr>
        <w:t>I.C.</w:t>
      </w:r>
      <w:r w:rsidRPr="001858D0">
        <w:rPr>
          <w:rFonts w:ascii="Arial" w:hAnsi="Arial"/>
        </w:rPr>
        <w:t xml:space="preserve"> </w:t>
      </w:r>
      <w:proofErr w:type="spellStart"/>
      <w:r w:rsidRPr="001858D0">
        <w:rPr>
          <w:rFonts w:ascii="Arial" w:hAnsi="Arial"/>
        </w:rPr>
        <w:t>Dycasa</w:t>
      </w:r>
      <w:proofErr w:type="spellEnd"/>
      <w:r w:rsidRPr="001858D0">
        <w:rPr>
          <w:rFonts w:ascii="Arial" w:hAnsi="Arial"/>
        </w:rPr>
        <w:t xml:space="preserve"> Sociedad </w:t>
      </w:r>
      <w:r w:rsidR="000D6C85">
        <w:rPr>
          <w:rFonts w:ascii="Arial" w:hAnsi="Arial"/>
        </w:rPr>
        <w:t>S.A. Y</w:t>
      </w:r>
      <w:r w:rsidRPr="001858D0">
        <w:rPr>
          <w:rFonts w:ascii="Arial" w:hAnsi="Arial"/>
        </w:rPr>
        <w:t xml:space="preserve"> </w:t>
      </w:r>
      <w:r w:rsidR="000D6C85">
        <w:rPr>
          <w:rFonts w:ascii="Arial" w:hAnsi="Arial"/>
        </w:rPr>
        <w:t xml:space="preserve">José </w:t>
      </w:r>
      <w:r w:rsidR="00980D3A">
        <w:rPr>
          <w:rFonts w:ascii="Arial" w:hAnsi="Arial"/>
        </w:rPr>
        <w:t xml:space="preserve">J. </w:t>
      </w:r>
      <w:proofErr w:type="spellStart"/>
      <w:r w:rsidR="001858D0" w:rsidRPr="001858D0">
        <w:rPr>
          <w:rFonts w:ascii="Arial" w:hAnsi="Arial"/>
        </w:rPr>
        <w:t>Chediak</w:t>
      </w:r>
      <w:proofErr w:type="spellEnd"/>
      <w:r w:rsidRPr="001858D0">
        <w:rPr>
          <w:rFonts w:ascii="Arial" w:hAnsi="Arial"/>
        </w:rPr>
        <w:t xml:space="preserve"> S.A.</w:t>
      </w:r>
      <w:r w:rsidR="00980D3A">
        <w:rPr>
          <w:rFonts w:ascii="Arial" w:hAnsi="Arial"/>
        </w:rPr>
        <w:t>I.C.</w:t>
      </w:r>
      <w:r w:rsidRPr="001858D0">
        <w:rPr>
          <w:rFonts w:ascii="Arial" w:hAnsi="Arial"/>
        </w:rPr>
        <w:t>, firmaron el acuerdo que dio origen a la presente Unión, para llevar a cabo la ejecución del contrato para la construcción de la Obra: “</w:t>
      </w:r>
      <w:r w:rsidR="001858D0" w:rsidRPr="001858D0">
        <w:rPr>
          <w:rFonts w:ascii="Arial" w:hAnsi="Arial"/>
        </w:rPr>
        <w:t xml:space="preserve">Autovía Ruta Nacional Nº 7 – Tramo: San Andrés de Giles – Junín – Sección: Chacabuco (km 219,00) – Junín (Km 258,70) </w:t>
      </w:r>
    </w:p>
    <w:p w:rsidR="001858D0" w:rsidRPr="001858D0" w:rsidRDefault="001858D0" w:rsidP="001858D0">
      <w:pPr>
        <w:pStyle w:val="Prrafodelista"/>
        <w:tabs>
          <w:tab w:val="left" w:pos="1134"/>
        </w:tabs>
        <w:ind w:left="774"/>
        <w:jc w:val="both"/>
        <w:rPr>
          <w:rFonts w:ascii="Arial" w:hAnsi="Arial"/>
        </w:rPr>
      </w:pPr>
    </w:p>
    <w:p w:rsidR="00A270C0" w:rsidRDefault="00A270C0">
      <w:pPr>
        <w:tabs>
          <w:tab w:val="left" w:pos="1134"/>
        </w:tabs>
        <w:ind w:left="1134"/>
        <w:jc w:val="both"/>
        <w:rPr>
          <w:rFonts w:ascii="Arial" w:hAnsi="Arial"/>
        </w:rPr>
      </w:pPr>
      <w:r>
        <w:rPr>
          <w:rFonts w:ascii="Arial" w:hAnsi="Arial"/>
        </w:rPr>
        <w:t>De acuerdo al contrato original</w:t>
      </w:r>
      <w:r w:rsidR="004208EF">
        <w:rPr>
          <w:rFonts w:ascii="Arial" w:hAnsi="Arial"/>
        </w:rPr>
        <w:t xml:space="preserve"> firmado con Dirección Nacional de Vialidad el 11 de Mayo de 2015</w:t>
      </w:r>
      <w:r>
        <w:rPr>
          <w:rFonts w:ascii="Arial" w:hAnsi="Arial"/>
        </w:rPr>
        <w:t>, el mo</w:t>
      </w:r>
      <w:r w:rsidR="00CD17AB">
        <w:rPr>
          <w:rFonts w:ascii="Arial" w:hAnsi="Arial"/>
        </w:rPr>
        <w:t xml:space="preserve">nto </w:t>
      </w:r>
      <w:r w:rsidR="004208EF">
        <w:rPr>
          <w:rFonts w:ascii="Arial" w:hAnsi="Arial"/>
        </w:rPr>
        <w:t>total de la obra</w:t>
      </w:r>
      <w:r w:rsidR="001858D0">
        <w:rPr>
          <w:rFonts w:ascii="Arial" w:hAnsi="Arial"/>
        </w:rPr>
        <w:t xml:space="preserve"> ascendió</w:t>
      </w:r>
      <w:r>
        <w:rPr>
          <w:rFonts w:ascii="Arial" w:hAnsi="Arial"/>
        </w:rPr>
        <w:t xml:space="preserve"> a la suma de $</w:t>
      </w:r>
      <w:r w:rsidR="000D6C85">
        <w:rPr>
          <w:rFonts w:ascii="Arial" w:hAnsi="Arial"/>
        </w:rPr>
        <w:t xml:space="preserve"> </w:t>
      </w:r>
      <w:r w:rsidR="004208EF">
        <w:rPr>
          <w:rFonts w:ascii="Arial" w:hAnsi="Arial"/>
        </w:rPr>
        <w:t>727.900.000,00.</w:t>
      </w:r>
    </w:p>
    <w:p w:rsidR="004208EF" w:rsidRDefault="004208EF">
      <w:pPr>
        <w:tabs>
          <w:tab w:val="left" w:pos="1134"/>
        </w:tabs>
        <w:ind w:left="1134"/>
        <w:jc w:val="both"/>
        <w:rPr>
          <w:rFonts w:ascii="Arial" w:hAnsi="Arial"/>
        </w:rPr>
      </w:pPr>
    </w:p>
    <w:p w:rsidR="001858D0" w:rsidRDefault="004208EF">
      <w:pPr>
        <w:tabs>
          <w:tab w:val="left" w:pos="1134"/>
        </w:tabs>
        <w:ind w:left="1134"/>
        <w:jc w:val="both"/>
        <w:rPr>
          <w:rFonts w:ascii="Arial" w:hAnsi="Arial"/>
        </w:rPr>
      </w:pPr>
      <w:r>
        <w:rPr>
          <w:rFonts w:ascii="Arial" w:hAnsi="Arial"/>
        </w:rPr>
        <w:t>Como fianza del estricto cumplimiento de las obligaciones, la UTE ha entregado Póliza de Seguro de Caución por $ 36.395.000,00 que cubre el 5% del monto del contrato.</w:t>
      </w:r>
    </w:p>
    <w:p w:rsidR="00A270C0" w:rsidRPr="001858D0" w:rsidRDefault="00A270C0">
      <w:pPr>
        <w:tabs>
          <w:tab w:val="left" w:pos="1134"/>
        </w:tabs>
        <w:ind w:left="1134"/>
        <w:jc w:val="both"/>
        <w:rPr>
          <w:rFonts w:ascii="Arial" w:hAnsi="Arial"/>
        </w:rPr>
      </w:pPr>
    </w:p>
    <w:p w:rsidR="00A270C0" w:rsidRDefault="00A270C0">
      <w:pPr>
        <w:tabs>
          <w:tab w:val="left" w:pos="1134"/>
        </w:tabs>
        <w:ind w:left="1134" w:hanging="1134"/>
        <w:jc w:val="both"/>
        <w:rPr>
          <w:rFonts w:ascii="Arial" w:hAnsi="Arial"/>
          <w:b/>
        </w:rPr>
      </w:pPr>
    </w:p>
    <w:p w:rsidR="004208EF" w:rsidRPr="001858D0" w:rsidRDefault="004208EF">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Nota 2.</w:t>
      </w:r>
      <w:r>
        <w:rPr>
          <w:rFonts w:ascii="Arial" w:hAnsi="Arial"/>
          <w:b/>
        </w:rPr>
        <w:tab/>
        <w:t>Información Comparativa</w:t>
      </w:r>
    </w:p>
    <w:p w:rsidR="00A270C0" w:rsidRDefault="00A270C0">
      <w:pPr>
        <w:pStyle w:val="Sangra2detindependiente"/>
        <w:ind w:left="1134"/>
        <w:rPr>
          <w:sz w:val="20"/>
        </w:rPr>
      </w:pPr>
    </w:p>
    <w:p w:rsidR="00CB421F" w:rsidRDefault="00CB421F" w:rsidP="00CB421F">
      <w:pPr>
        <w:pStyle w:val="Sangradetextonormal"/>
        <w:ind w:left="1080"/>
        <w:rPr>
          <w:rFonts w:ascii="Arial" w:hAnsi="Arial" w:cs="Arial"/>
          <w:sz w:val="20"/>
        </w:rPr>
      </w:pPr>
      <w:r>
        <w:rPr>
          <w:rFonts w:ascii="Arial" w:hAnsi="Arial" w:cs="Arial"/>
          <w:sz w:val="20"/>
        </w:rPr>
        <w:t>Los estados contables se presentan de acuerdo con las Normas Generales y Particulares de Exposición Contable dispuestas por las Resoluciones Técnicas vigentes de la Federación Argentina de Consejos Profesionales de Ciencias Económicas, aprobadas por el Consejo Profesional de Ciencias Económicas de la Ciudad Autónoma de Buenos Aires, República Argentina.</w:t>
      </w:r>
    </w:p>
    <w:p w:rsidR="00CB421F" w:rsidRDefault="00CB421F" w:rsidP="00CB421F">
      <w:pPr>
        <w:pStyle w:val="Sangradetextonormal"/>
        <w:ind w:left="1080"/>
        <w:rPr>
          <w:rFonts w:ascii="Arial" w:hAnsi="Arial" w:cs="Arial"/>
          <w:sz w:val="20"/>
        </w:rPr>
      </w:pPr>
    </w:p>
    <w:p w:rsidR="00CB421F" w:rsidRDefault="00CB421F" w:rsidP="00CB421F">
      <w:pPr>
        <w:pStyle w:val="Sangradetextonormal"/>
        <w:ind w:left="1080"/>
        <w:rPr>
          <w:rFonts w:ascii="Arial" w:hAnsi="Arial" w:cs="Arial"/>
          <w:sz w:val="20"/>
        </w:rPr>
      </w:pPr>
      <w:r>
        <w:rPr>
          <w:rFonts w:ascii="Arial" w:hAnsi="Arial" w:cs="Arial"/>
          <w:sz w:val="20"/>
        </w:rPr>
        <w:t xml:space="preserve">Los saldos al 31 Diciembre de 2017 que se exponen en los presentes Estados Contables, fueron </w:t>
      </w:r>
      <w:proofErr w:type="spellStart"/>
      <w:r>
        <w:rPr>
          <w:rFonts w:ascii="Arial" w:hAnsi="Arial" w:cs="Arial"/>
          <w:sz w:val="20"/>
        </w:rPr>
        <w:t>reexpresados</w:t>
      </w:r>
      <w:proofErr w:type="spellEnd"/>
      <w:r>
        <w:rPr>
          <w:rFonts w:ascii="Arial" w:hAnsi="Arial" w:cs="Arial"/>
          <w:sz w:val="20"/>
        </w:rPr>
        <w:t xml:space="preserve"> en moneda homogénea del 31 de Diciembre de 2018,  según Nota 4.</w:t>
      </w:r>
    </w:p>
    <w:p w:rsidR="00A270C0" w:rsidRDefault="00A270C0">
      <w:pPr>
        <w:pStyle w:val="Sangradetextonormal"/>
        <w:ind w:left="1080"/>
        <w:rPr>
          <w:rFonts w:ascii="Arial" w:hAnsi="Arial" w:cs="Arial"/>
          <w:sz w:val="20"/>
        </w:rPr>
      </w:pP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1858D0" w:rsidRDefault="001858D0">
      <w:pPr>
        <w:tabs>
          <w:tab w:val="left" w:pos="0"/>
        </w:tabs>
        <w:jc w:val="center"/>
        <w:rPr>
          <w:rFonts w:ascii="Arial" w:hAnsi="Arial"/>
          <w:b/>
        </w:rPr>
      </w:pPr>
      <w:r>
        <w:rPr>
          <w:rFonts w:ascii="Arial" w:hAnsi="Arial"/>
          <w:b/>
        </w:rPr>
        <w:br w:type="page"/>
      </w:r>
    </w:p>
    <w:p w:rsidR="001858D0" w:rsidRDefault="001858D0">
      <w:pPr>
        <w:tabs>
          <w:tab w:val="left" w:pos="0"/>
        </w:tabs>
        <w:jc w:val="center"/>
        <w:rPr>
          <w:rFonts w:ascii="Arial" w:hAnsi="Arial"/>
          <w:b/>
        </w:rPr>
      </w:pPr>
    </w:p>
    <w:p w:rsidR="00A270C0" w:rsidRDefault="001858D0">
      <w:pPr>
        <w:tabs>
          <w:tab w:val="left" w:pos="0"/>
        </w:tabs>
        <w:jc w:val="center"/>
        <w:rPr>
          <w:rFonts w:ascii="Arial" w:hAnsi="Arial"/>
          <w:b/>
        </w:rPr>
      </w:pPr>
      <w:r>
        <w:rPr>
          <w:rFonts w:ascii="Arial" w:hAnsi="Arial"/>
          <w:b/>
        </w:rPr>
        <w:t>N</w:t>
      </w:r>
      <w:r w:rsidR="00A270C0">
        <w:rPr>
          <w:rFonts w:ascii="Arial" w:hAnsi="Arial"/>
          <w:b/>
        </w:rPr>
        <w:t>OTAS A LOS ESTADOS CONTABLES (Continuación)</w:t>
      </w: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 xml:space="preserve">Nota 3. </w:t>
      </w:r>
      <w:r>
        <w:rPr>
          <w:rFonts w:ascii="Arial" w:hAnsi="Arial"/>
          <w:b/>
        </w:rPr>
        <w:tab/>
        <w:t xml:space="preserve">Bases utilizadas para la preparación de los Estados Contables </w:t>
      </w:r>
    </w:p>
    <w:p w:rsidR="009520B8" w:rsidRDefault="009520B8">
      <w:pPr>
        <w:tabs>
          <w:tab w:val="left" w:pos="1134"/>
        </w:tabs>
        <w:ind w:left="1134" w:hanging="1134"/>
        <w:jc w:val="both"/>
        <w:rPr>
          <w:rFonts w:ascii="Arial" w:hAnsi="Arial"/>
          <w:b/>
          <w:u w:val="single"/>
        </w:rPr>
      </w:pPr>
    </w:p>
    <w:p w:rsidR="009520B8" w:rsidRPr="009520B8" w:rsidRDefault="009520B8" w:rsidP="009520B8">
      <w:pPr>
        <w:pStyle w:val="Sangradetextonormal"/>
        <w:tabs>
          <w:tab w:val="left" w:pos="1701"/>
        </w:tabs>
        <w:ind w:left="1134"/>
        <w:rPr>
          <w:rFonts w:ascii="Arial" w:hAnsi="Arial"/>
          <w:b/>
          <w:sz w:val="20"/>
        </w:rPr>
      </w:pPr>
      <w:r>
        <w:rPr>
          <w:rFonts w:ascii="Arial" w:hAnsi="Arial"/>
          <w:b/>
          <w:sz w:val="20"/>
        </w:rPr>
        <w:t>3</w:t>
      </w:r>
      <w:r w:rsidRPr="009520B8">
        <w:rPr>
          <w:rFonts w:ascii="Arial" w:hAnsi="Arial"/>
          <w:b/>
          <w:sz w:val="20"/>
        </w:rPr>
        <w:t xml:space="preserve">.1   Normas Contables </w:t>
      </w:r>
    </w:p>
    <w:p w:rsidR="00A270C0" w:rsidRDefault="00A270C0">
      <w:pPr>
        <w:tabs>
          <w:tab w:val="left" w:pos="993"/>
        </w:tabs>
        <w:ind w:left="993" w:hanging="993"/>
        <w:jc w:val="both"/>
        <w:rPr>
          <w:rFonts w:ascii="Arial" w:hAnsi="Arial"/>
        </w:rPr>
      </w:pPr>
    </w:p>
    <w:p w:rsidR="00A270C0" w:rsidRDefault="00A270C0">
      <w:pPr>
        <w:tabs>
          <w:tab w:val="left" w:pos="1134"/>
        </w:tabs>
        <w:ind w:left="1134"/>
        <w:jc w:val="both"/>
        <w:rPr>
          <w:rFonts w:ascii="Arial" w:hAnsi="Arial"/>
        </w:rPr>
      </w:pPr>
      <w:r>
        <w:rPr>
          <w:rFonts w:ascii="Arial" w:hAnsi="Arial"/>
        </w:rPr>
        <w:t>Los presentes estados contables se encuentran expresados en pesos y han sido elaborados teniendo en cuenta las normas de valuación y exposición dispuestas por las Resoluciones Técnicas de la Federación Argentina de Consejos Profesionales de Ciencias Económicas (F.A.C.P.C.E.), aprobadas por el Consejo Profesional de Ciencias Económicas de la Ciudad Autónoma de Buenos Aires (C.P.C.E.C.A.B.A.)</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 xml:space="preserve">La Comisión Nacional de Valores, a través de las Resoluciones 562/09 y 576/10 ha establecido la aplicación de la Resolución Técnica Nº 26 y 29 de la Federación Argentina de Consejos Profesionales de Ciencias Económicas que adopta, para ciertas entidades incluidas en el régimen de oferta pública de la Ley Nº 17.811, ya sea por su capital o por sus obligaciones negociables, o que hayan solicitado autorización para estar incluidas en el citado régimen, las normas internacionales de información financiera (NIIF) emitidas por el Consejo de Normas Internacionales de Contabilidad (IASB). </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La aplicación de tales normas resulta obligatoria para uno de los socios de la UTE (DYCASA Sociedad Anónima).</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Adicionalmente, el 24 de Octubre de 2011, la Comisión Nacional de Valores dictó la Resolución General N° 592, en virtud de la cual, los estados contables de las sociedades utilizados por las emisoras para aplicar el método de la participación (del valor patrimonial proporcional) o la consolidación, según corresponda, podrán prepararse de acuerdo con la Resolución Técnica N° 26 o siguiendo las normas utilizadas para fines societarios o regulatorios. En el caso de que los estados contables no se preparen de acuerdo con la Resolución Técnica Nº 26, deberá contarse con una conciliación entre las mismas y las normas utilizadas</w:t>
      </w:r>
    </w:p>
    <w:p w:rsidR="00A270C0" w:rsidRDefault="00A270C0">
      <w:pPr>
        <w:autoSpaceDE w:val="0"/>
        <w:autoSpaceDN w:val="0"/>
        <w:adjustRightInd w:val="0"/>
        <w:ind w:left="1134"/>
        <w:jc w:val="both"/>
        <w:rPr>
          <w:rFonts w:ascii="Arial" w:hAnsi="Arial" w:cs="Arial"/>
        </w:rPr>
      </w:pPr>
    </w:p>
    <w:p w:rsidR="00A270C0" w:rsidRDefault="00A270C0">
      <w:pPr>
        <w:tabs>
          <w:tab w:val="left" w:pos="1134"/>
        </w:tabs>
        <w:ind w:left="1134"/>
        <w:jc w:val="both"/>
        <w:rPr>
          <w:rFonts w:ascii="Arial" w:hAnsi="Arial"/>
        </w:rPr>
      </w:pPr>
      <w:r>
        <w:rPr>
          <w:rFonts w:ascii="Arial" w:hAnsi="Arial"/>
        </w:rPr>
        <w:t>Como consecuencia de esta nueva normativa, la UTE realizó la evaluación de los efectos del empleo de las NIIF respecto de las normas contables actualmente aplicadas, y concluyó que la valuación de activos, pasivos, patrimonio neto y resultados integrales no difiere significativamente.</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La preparación de los estados contables de acuerdo con normas contables profesionales vigentes en Argentina requiere la consideración por parte del Comité Ejecutivo de estimaciones y supuestos que impactan en los saldos informados de activos y pasivos, la exposición de activos y pasivos contingentes a la fecha de dichos estados contables, como así también los montos de ingresos y gastos de cada período. Los resultados finales pueden diferir de estas estimaciones.</w:t>
      </w:r>
    </w:p>
    <w:p w:rsidR="004208EF" w:rsidRDefault="00A270C0" w:rsidP="009213CC">
      <w:pPr>
        <w:tabs>
          <w:tab w:val="left" w:pos="0"/>
        </w:tabs>
        <w:jc w:val="center"/>
        <w:rPr>
          <w:rFonts w:ascii="Arial" w:hAnsi="Arial"/>
          <w:b/>
        </w:rPr>
      </w:pPr>
      <w:r>
        <w:rPr>
          <w:rFonts w:ascii="Arial" w:hAnsi="Arial"/>
          <w:b/>
        </w:rPr>
        <w:br w:type="page"/>
      </w:r>
    </w:p>
    <w:p w:rsidR="004208EF" w:rsidRDefault="004208EF" w:rsidP="009213CC">
      <w:pPr>
        <w:tabs>
          <w:tab w:val="left" w:pos="0"/>
        </w:tabs>
        <w:jc w:val="center"/>
        <w:rPr>
          <w:rFonts w:ascii="Arial" w:hAnsi="Arial"/>
          <w:b/>
        </w:rPr>
      </w:pPr>
    </w:p>
    <w:p w:rsidR="00CB421F" w:rsidRDefault="00CB421F" w:rsidP="009213CC">
      <w:pPr>
        <w:tabs>
          <w:tab w:val="left" w:pos="0"/>
        </w:tabs>
        <w:jc w:val="center"/>
        <w:rPr>
          <w:rFonts w:ascii="Arial" w:hAnsi="Arial"/>
          <w:b/>
        </w:rPr>
      </w:pPr>
    </w:p>
    <w:p w:rsidR="00CB421F" w:rsidRDefault="00CB421F" w:rsidP="009213CC">
      <w:pPr>
        <w:tabs>
          <w:tab w:val="left" w:pos="0"/>
        </w:tabs>
        <w:jc w:val="center"/>
        <w:rPr>
          <w:rFonts w:ascii="Arial" w:hAnsi="Arial"/>
          <w:b/>
        </w:rPr>
      </w:pPr>
    </w:p>
    <w:p w:rsidR="00A270C0" w:rsidRDefault="00A270C0" w:rsidP="009213CC">
      <w:pPr>
        <w:tabs>
          <w:tab w:val="left" w:pos="0"/>
        </w:tabs>
        <w:jc w:val="center"/>
        <w:rPr>
          <w:rFonts w:ascii="Arial" w:hAnsi="Arial"/>
          <w:b/>
        </w:rPr>
      </w:pPr>
      <w:r>
        <w:rPr>
          <w:rFonts w:ascii="Arial" w:hAnsi="Arial"/>
          <w:b/>
        </w:rPr>
        <w:t>NOTAS A LOS ESTADOS CONTABLES (Continuación)</w:t>
      </w:r>
    </w:p>
    <w:p w:rsidR="009520B8" w:rsidRDefault="009520B8" w:rsidP="009213CC">
      <w:pPr>
        <w:tabs>
          <w:tab w:val="left" w:pos="0"/>
        </w:tabs>
        <w:jc w:val="center"/>
        <w:rPr>
          <w:rFonts w:ascii="Arial" w:hAnsi="Arial"/>
          <w:b/>
        </w:rPr>
      </w:pPr>
    </w:p>
    <w:p w:rsidR="009520B8" w:rsidRDefault="009520B8" w:rsidP="009213CC">
      <w:pPr>
        <w:tabs>
          <w:tab w:val="left" w:pos="0"/>
        </w:tabs>
        <w:jc w:val="center"/>
        <w:rPr>
          <w:rFonts w:ascii="Arial" w:hAnsi="Arial"/>
          <w:b/>
        </w:rPr>
      </w:pPr>
    </w:p>
    <w:p w:rsidR="00A270C0" w:rsidRDefault="00A270C0">
      <w:pPr>
        <w:tabs>
          <w:tab w:val="left" w:pos="0"/>
        </w:tabs>
        <w:jc w:val="center"/>
        <w:rPr>
          <w:rFonts w:ascii="Arial" w:hAnsi="Arial"/>
          <w:b/>
        </w:rPr>
      </w:pPr>
    </w:p>
    <w:p w:rsidR="009520B8" w:rsidRPr="009520B8" w:rsidRDefault="009520B8" w:rsidP="009520B8">
      <w:pPr>
        <w:pStyle w:val="Sangradetextonormal"/>
        <w:tabs>
          <w:tab w:val="left" w:pos="1701"/>
        </w:tabs>
        <w:ind w:left="1134"/>
        <w:rPr>
          <w:rFonts w:ascii="Arial" w:hAnsi="Arial"/>
          <w:b/>
          <w:sz w:val="20"/>
        </w:rPr>
      </w:pPr>
      <w:r>
        <w:rPr>
          <w:rFonts w:ascii="Arial" w:hAnsi="Arial"/>
          <w:b/>
          <w:sz w:val="20"/>
        </w:rPr>
        <w:t>3</w:t>
      </w:r>
      <w:r w:rsidRPr="009520B8">
        <w:rPr>
          <w:rFonts w:ascii="Arial" w:hAnsi="Arial"/>
          <w:b/>
          <w:sz w:val="20"/>
        </w:rPr>
        <w:t>.2  Información Adicional sobre el Estado de Flujo de Efectivo</w:t>
      </w:r>
    </w:p>
    <w:p w:rsidR="009520B8" w:rsidRDefault="009520B8" w:rsidP="009520B8">
      <w:pPr>
        <w:rPr>
          <w:sz w:val="22"/>
        </w:rPr>
      </w:pPr>
    </w:p>
    <w:p w:rsidR="009520B8" w:rsidRDefault="009520B8" w:rsidP="009520B8">
      <w:pPr>
        <w:ind w:left="1560"/>
        <w:jc w:val="both"/>
        <w:outlineLvl w:val="0"/>
        <w:rPr>
          <w:rFonts w:ascii="Arial" w:hAnsi="Arial" w:cs="Arial"/>
        </w:rPr>
      </w:pPr>
      <w:r>
        <w:rPr>
          <w:rFonts w:ascii="Arial" w:hAnsi="Arial" w:cs="Arial"/>
        </w:rPr>
        <w:t>Para la confección del Estado de Flujo de Efectivo se ha considerado como concepto de fondos el equivalente a Caja y Bancos más Inversiones cuyo vencimiento no supere el plazo de tres meses. La UTE utiliza el método indirecto, el cual requiere una serie de ajustes a la utilidad neta del ejercicio para obtener los fondos generados por las operaciones.</w:t>
      </w:r>
    </w:p>
    <w:p w:rsidR="009520B8" w:rsidRDefault="009520B8" w:rsidP="009520B8">
      <w:pPr>
        <w:ind w:left="1560"/>
        <w:jc w:val="both"/>
        <w:outlineLvl w:val="0"/>
        <w:rPr>
          <w:rFonts w:ascii="Arial" w:hAnsi="Arial" w:cs="Arial"/>
        </w:rPr>
      </w:pPr>
    </w:p>
    <w:p w:rsidR="009520B8" w:rsidRDefault="009520B8" w:rsidP="009520B8">
      <w:pPr>
        <w:ind w:left="1560"/>
        <w:jc w:val="both"/>
        <w:outlineLvl w:val="0"/>
        <w:rPr>
          <w:rFonts w:ascii="Arial" w:hAnsi="Arial" w:cs="Arial"/>
        </w:rPr>
      </w:pPr>
      <w:r>
        <w:rPr>
          <w:rFonts w:ascii="Arial" w:hAnsi="Arial" w:cs="Arial"/>
        </w:rPr>
        <w:t>Los fondos al cierre del ejercicio se conforman de la siguiente manera:</w:t>
      </w:r>
    </w:p>
    <w:p w:rsidR="009520B8" w:rsidRDefault="009520B8" w:rsidP="009520B8">
      <w:pPr>
        <w:ind w:left="1560"/>
        <w:jc w:val="both"/>
        <w:outlineLvl w:val="0"/>
        <w:rPr>
          <w:rFonts w:ascii="Arial" w:hAnsi="Arial" w:cs="Arial"/>
        </w:rPr>
      </w:pPr>
    </w:p>
    <w:p w:rsidR="009520B8" w:rsidRDefault="00506D66" w:rsidP="009520B8">
      <w:pPr>
        <w:ind w:left="1560"/>
        <w:jc w:val="both"/>
        <w:outlineLvl w:val="0"/>
        <w:rPr>
          <w:rFonts w:ascii="Arial" w:hAnsi="Arial" w:cs="Arial"/>
        </w:rPr>
      </w:pPr>
      <w:r>
        <w:rPr>
          <w:rFonts w:ascii="Arial" w:hAnsi="Arial" w:cs="Arial"/>
          <w:noProof/>
          <w:lang w:eastAsia="es-AR"/>
        </w:rPr>
        <w:pict>
          <v:shape id="_x0000_i1027" type="#_x0000_t75" style="width:347.7pt;height:113.25pt">
            <v:imagedata r:id="rId16" o:title=""/>
          </v:shape>
        </w:pict>
      </w:r>
    </w:p>
    <w:p w:rsidR="00A270C0" w:rsidRDefault="00A270C0" w:rsidP="009520B8">
      <w:pPr>
        <w:tabs>
          <w:tab w:val="left" w:pos="0"/>
        </w:tabs>
        <w:rPr>
          <w:rFonts w:ascii="Arial" w:hAnsi="Arial"/>
          <w:b/>
        </w:rPr>
      </w:pPr>
    </w:p>
    <w:p w:rsidR="00A270C0" w:rsidRDefault="00A270C0">
      <w:pPr>
        <w:tabs>
          <w:tab w:val="left" w:pos="1134"/>
        </w:tabs>
        <w:ind w:left="1134" w:hanging="1134"/>
        <w:jc w:val="both"/>
        <w:rPr>
          <w:rFonts w:ascii="Arial" w:hAnsi="Arial"/>
          <w:b/>
        </w:rPr>
      </w:pPr>
    </w:p>
    <w:p w:rsidR="009520B8" w:rsidRDefault="009520B8">
      <w:pPr>
        <w:tabs>
          <w:tab w:val="left" w:pos="1134"/>
        </w:tabs>
        <w:ind w:left="1134" w:hanging="1134"/>
        <w:jc w:val="both"/>
        <w:rPr>
          <w:rFonts w:ascii="Arial" w:hAnsi="Arial"/>
          <w:b/>
        </w:rPr>
      </w:pPr>
    </w:p>
    <w:p w:rsidR="00CB421F" w:rsidRDefault="00CB421F">
      <w:pPr>
        <w:rPr>
          <w:rFonts w:ascii="Arial" w:hAnsi="Arial"/>
          <w:b/>
        </w:rPr>
      </w:pPr>
      <w:r>
        <w:rPr>
          <w:rFonts w:ascii="Arial" w:hAnsi="Arial"/>
          <w:b/>
        </w:rPr>
        <w:br w:type="page"/>
      </w:r>
    </w:p>
    <w:p w:rsidR="00CB421F" w:rsidRDefault="00CB421F">
      <w:pPr>
        <w:tabs>
          <w:tab w:val="left" w:pos="1134"/>
        </w:tabs>
        <w:ind w:left="1134" w:hanging="1134"/>
        <w:jc w:val="both"/>
        <w:rPr>
          <w:rFonts w:ascii="Arial" w:hAnsi="Arial"/>
          <w:b/>
        </w:rPr>
      </w:pPr>
    </w:p>
    <w:p w:rsidR="00CB421F" w:rsidRDefault="00CB421F" w:rsidP="00CB421F">
      <w:pPr>
        <w:tabs>
          <w:tab w:val="left" w:pos="0"/>
        </w:tabs>
        <w:jc w:val="center"/>
        <w:rPr>
          <w:rFonts w:ascii="Arial" w:hAnsi="Arial"/>
          <w:b/>
        </w:rPr>
      </w:pPr>
      <w:r>
        <w:rPr>
          <w:rFonts w:ascii="Arial" w:hAnsi="Arial"/>
          <w:b/>
        </w:rPr>
        <w:t>NOTAS A LOS ESTADOS CONTABLES (Continuación)</w:t>
      </w:r>
    </w:p>
    <w:p w:rsidR="00CB421F" w:rsidRDefault="00CB421F">
      <w:pPr>
        <w:tabs>
          <w:tab w:val="left" w:pos="1134"/>
        </w:tabs>
        <w:ind w:left="1134" w:hanging="1134"/>
        <w:jc w:val="both"/>
        <w:rPr>
          <w:rFonts w:ascii="Arial" w:hAnsi="Arial"/>
          <w:b/>
        </w:rPr>
      </w:pPr>
    </w:p>
    <w:p w:rsidR="00CB421F" w:rsidRDefault="00CB421F">
      <w:pPr>
        <w:tabs>
          <w:tab w:val="left" w:pos="1134"/>
        </w:tabs>
        <w:ind w:left="1134" w:hanging="1134"/>
        <w:jc w:val="both"/>
        <w:rPr>
          <w:rFonts w:ascii="Arial" w:hAnsi="Arial"/>
          <w:b/>
        </w:rPr>
      </w:pPr>
    </w:p>
    <w:p w:rsidR="00CB421F" w:rsidRDefault="00A270C0" w:rsidP="00CB421F">
      <w:pPr>
        <w:tabs>
          <w:tab w:val="left" w:pos="1134"/>
        </w:tabs>
        <w:ind w:left="1134" w:hanging="1134"/>
        <w:jc w:val="both"/>
        <w:rPr>
          <w:rFonts w:ascii="Arial" w:hAnsi="Arial"/>
          <w:b/>
        </w:rPr>
      </w:pPr>
      <w:r>
        <w:rPr>
          <w:rFonts w:ascii="Arial" w:hAnsi="Arial"/>
          <w:b/>
        </w:rPr>
        <w:t>Nota 4.</w:t>
      </w:r>
      <w:r>
        <w:rPr>
          <w:rFonts w:ascii="Arial" w:hAnsi="Arial"/>
        </w:rPr>
        <w:t xml:space="preserve"> </w:t>
      </w:r>
      <w:r>
        <w:rPr>
          <w:rFonts w:ascii="Arial" w:hAnsi="Arial"/>
        </w:rPr>
        <w:tab/>
      </w:r>
      <w:proofErr w:type="spellStart"/>
      <w:r w:rsidR="00CB421F">
        <w:rPr>
          <w:rFonts w:ascii="Arial" w:hAnsi="Arial"/>
          <w:b/>
        </w:rPr>
        <w:t>Reexpresión</w:t>
      </w:r>
      <w:proofErr w:type="spellEnd"/>
      <w:r w:rsidR="00CB421F">
        <w:rPr>
          <w:rFonts w:ascii="Arial" w:hAnsi="Arial"/>
          <w:b/>
        </w:rPr>
        <w:t xml:space="preserve"> en Moneda Homogénea.</w:t>
      </w:r>
    </w:p>
    <w:p w:rsidR="00A270C0" w:rsidRDefault="00A270C0">
      <w:pPr>
        <w:tabs>
          <w:tab w:val="left" w:pos="1134"/>
        </w:tabs>
        <w:ind w:left="1134" w:hanging="1134"/>
        <w:jc w:val="both"/>
        <w:rPr>
          <w:rFonts w:ascii="Arial" w:hAnsi="Arial"/>
        </w:rPr>
      </w:pPr>
    </w:p>
    <w:p w:rsidR="00CB421F" w:rsidRDefault="00CB421F" w:rsidP="00CB421F">
      <w:pPr>
        <w:shd w:val="clear" w:color="auto" w:fill="FFFFFF"/>
        <w:spacing w:after="225"/>
        <w:ind w:left="1134"/>
        <w:jc w:val="both"/>
        <w:rPr>
          <w:rFonts w:ascii="Arial" w:hAnsi="Arial" w:cs="Arial"/>
          <w:color w:val="1C1C1C"/>
          <w:lang w:eastAsia="es-AR"/>
        </w:rPr>
      </w:pPr>
      <w:r>
        <w:rPr>
          <w:rFonts w:ascii="Arial" w:hAnsi="Arial" w:cs="Arial"/>
          <w:color w:val="1C1C1C"/>
          <w:lang w:eastAsia="es-AR"/>
        </w:rPr>
        <w:t xml:space="preserve">Con la sanción de la Ley Nro. 27.468 </w:t>
      </w:r>
      <w:proofErr w:type="gramStart"/>
      <w:r>
        <w:rPr>
          <w:rFonts w:ascii="Arial" w:hAnsi="Arial" w:cs="Arial"/>
          <w:color w:val="1C1C1C"/>
          <w:lang w:eastAsia="es-AR"/>
        </w:rPr>
        <w:t>y</w:t>
      </w:r>
      <w:proofErr w:type="gramEnd"/>
      <w:r>
        <w:rPr>
          <w:rFonts w:ascii="Arial" w:hAnsi="Arial" w:cs="Arial"/>
          <w:color w:val="1C1C1C"/>
          <w:lang w:eastAsia="es-AR"/>
        </w:rPr>
        <w:t xml:space="preserve"> su reglamentación a través de las Resolución 777 de 2018 de la CNV, se ha completado la regulación para reanudar la </w:t>
      </w:r>
      <w:proofErr w:type="spellStart"/>
      <w:r>
        <w:rPr>
          <w:rFonts w:ascii="Arial" w:hAnsi="Arial" w:cs="Arial"/>
          <w:color w:val="1C1C1C"/>
          <w:lang w:eastAsia="es-AR"/>
        </w:rPr>
        <w:t>reexpresión</w:t>
      </w:r>
      <w:proofErr w:type="spellEnd"/>
      <w:r>
        <w:rPr>
          <w:rFonts w:ascii="Arial" w:hAnsi="Arial" w:cs="Arial"/>
          <w:color w:val="1C1C1C"/>
          <w:lang w:eastAsia="es-AR"/>
        </w:rPr>
        <w:t xml:space="preserve"> en moneda constante u homogénea que las normas contables profesionales nacionales (NCA) y las internacionales (NIIF) requieren para los estados contables emitidos a partir del primero de julio de 2018 para las entidades en la oferta pública.</w:t>
      </w:r>
    </w:p>
    <w:p w:rsidR="00CB421F" w:rsidRDefault="00CB421F" w:rsidP="00CB421F">
      <w:pPr>
        <w:shd w:val="clear" w:color="auto" w:fill="FFFFFF"/>
        <w:ind w:left="1134"/>
        <w:jc w:val="both"/>
        <w:rPr>
          <w:rFonts w:ascii="Arial" w:hAnsi="Arial" w:cs="Arial"/>
          <w:color w:val="1C1C1C"/>
          <w:lang w:eastAsia="es-AR"/>
        </w:rPr>
      </w:pPr>
      <w:r>
        <w:rPr>
          <w:rFonts w:ascii="Arial" w:hAnsi="Arial" w:cs="Arial"/>
          <w:color w:val="1C1C1C"/>
          <w:lang w:eastAsia="es-AR"/>
        </w:rPr>
        <w:t>Dicha Ley Nro. 27.468 puso nuevamente en vigencia el articulo 62 in fine de la Ley General de Sociedades que requiere que las sociedades alcanzadas por esa ley confeccionen sus estados contables (o financieros, según terminología NIIF) en moneda constante, es decir en moneda homogénea de cierre o ajustados por </w:t>
      </w:r>
      <w:hyperlink r:id="rId17" w:tgtFrame="_blank" w:history="1">
        <w:r>
          <w:rPr>
            <w:rStyle w:val="Hipervnculo"/>
            <w:rFonts w:ascii="Arial" w:hAnsi="Arial" w:cs="Arial"/>
            <w:color w:val="1C1C1C"/>
            <w:lang w:eastAsia="es-AR"/>
          </w:rPr>
          <w:t>inflación</w:t>
        </w:r>
      </w:hyperlink>
      <w:r>
        <w:rPr>
          <w:rFonts w:ascii="Arial" w:hAnsi="Arial" w:cs="Arial"/>
          <w:color w:val="1C1C1C"/>
          <w:lang w:eastAsia="es-AR"/>
        </w:rPr>
        <w:t>.</w:t>
      </w:r>
    </w:p>
    <w:p w:rsidR="00CB421F" w:rsidRDefault="00CB421F" w:rsidP="00CB421F">
      <w:pPr>
        <w:shd w:val="clear" w:color="auto" w:fill="FFFFFF"/>
        <w:ind w:left="1134"/>
        <w:rPr>
          <w:rFonts w:ascii="Arial" w:hAnsi="Arial" w:cs="Arial"/>
          <w:color w:val="1C1C1C"/>
          <w:lang w:eastAsia="es-AR"/>
        </w:rPr>
      </w:pPr>
    </w:p>
    <w:p w:rsidR="00CB421F" w:rsidRDefault="00CB421F" w:rsidP="00CB421F">
      <w:pPr>
        <w:shd w:val="clear" w:color="auto" w:fill="FFFFFF"/>
        <w:ind w:left="1134"/>
        <w:jc w:val="both"/>
        <w:rPr>
          <w:rFonts w:ascii="Arial" w:hAnsi="Arial" w:cs="Arial"/>
          <w:color w:val="1C1C1C"/>
          <w:lang w:eastAsia="es-AR"/>
        </w:rPr>
      </w:pPr>
      <w:r>
        <w:rPr>
          <w:rFonts w:ascii="Arial" w:hAnsi="Arial" w:cs="Arial"/>
          <w:color w:val="1C1C1C"/>
          <w:lang w:eastAsia="es-AR"/>
        </w:rPr>
        <w:t>A fin de corregir los efectos de la </w:t>
      </w:r>
      <w:hyperlink r:id="rId18" w:tgtFrame="_blank" w:history="1">
        <w:r>
          <w:rPr>
            <w:rStyle w:val="Hipervnculo"/>
            <w:rFonts w:ascii="Arial" w:hAnsi="Arial" w:cs="Arial"/>
            <w:color w:val="1C1C1C"/>
            <w:lang w:eastAsia="es-AR"/>
          </w:rPr>
          <w:t>inflación</w:t>
        </w:r>
      </w:hyperlink>
      <w:r>
        <w:rPr>
          <w:rFonts w:ascii="Arial" w:hAnsi="Arial" w:cs="Arial"/>
          <w:color w:val="1C1C1C"/>
          <w:lang w:eastAsia="es-AR"/>
        </w:rPr>
        <w:t> en los estados contables, se ha utilizado el Índice de Precios elaborado por la FACPCE que se basa hasta diciembre de 2016 en el IPIM y a partir de enero 2017 en el IPC Nacional, ambos publicados por el INDEC.</w:t>
      </w:r>
    </w:p>
    <w:p w:rsidR="00CB421F" w:rsidRDefault="00CB421F" w:rsidP="00CB421F">
      <w:pPr>
        <w:shd w:val="clear" w:color="auto" w:fill="FFFFFF"/>
        <w:ind w:left="1134"/>
        <w:jc w:val="both"/>
        <w:rPr>
          <w:rFonts w:ascii="Arial" w:hAnsi="Arial" w:cs="Arial"/>
          <w:color w:val="1C1C1C"/>
          <w:lang w:eastAsia="es-AR"/>
        </w:rPr>
      </w:pPr>
    </w:p>
    <w:p w:rsidR="00CB421F" w:rsidRDefault="00CB421F" w:rsidP="00CB421F">
      <w:pPr>
        <w:shd w:val="clear" w:color="auto" w:fill="FFFFFF"/>
        <w:spacing w:after="225"/>
        <w:ind w:left="1134"/>
        <w:jc w:val="both"/>
        <w:rPr>
          <w:rFonts w:ascii="Arial" w:hAnsi="Arial" w:cs="Arial"/>
          <w:color w:val="1C1C1C"/>
          <w:lang w:eastAsia="es-AR"/>
        </w:rPr>
      </w:pPr>
      <w:r>
        <w:rPr>
          <w:rFonts w:ascii="Arial" w:hAnsi="Arial" w:cs="Arial"/>
          <w:color w:val="1C1C1C"/>
          <w:lang w:eastAsia="es-AR"/>
        </w:rPr>
        <w:t xml:space="preserve">Por eso, tanto los emisores de estados contables que emplean las normas contables profesionales nacionales (NCA) como aquellos que utilizan las NIIF deberán utilizar las reglas específicas de </w:t>
      </w:r>
      <w:proofErr w:type="spellStart"/>
      <w:r>
        <w:rPr>
          <w:rFonts w:ascii="Arial" w:hAnsi="Arial" w:cs="Arial"/>
          <w:color w:val="1C1C1C"/>
          <w:lang w:eastAsia="es-AR"/>
        </w:rPr>
        <w:t>reexpresión</w:t>
      </w:r>
      <w:proofErr w:type="spellEnd"/>
      <w:r>
        <w:rPr>
          <w:rFonts w:ascii="Arial" w:hAnsi="Arial" w:cs="Arial"/>
          <w:color w:val="1C1C1C"/>
          <w:lang w:eastAsia="es-AR"/>
        </w:rPr>
        <w:t xml:space="preserve"> de estados contables previstas en la RT 6,</w:t>
      </w:r>
      <w:r>
        <w:rPr>
          <w:rFonts w:ascii="Arial" w:hAnsi="Arial"/>
        </w:rPr>
        <w:t xml:space="preserve"> RT 17 (esta última en su sección 3.1) de la FACPCE</w:t>
      </w:r>
      <w:r>
        <w:rPr>
          <w:rFonts w:ascii="Arial" w:hAnsi="Arial" w:cs="Arial"/>
          <w:color w:val="1C1C1C"/>
          <w:lang w:eastAsia="es-AR"/>
        </w:rPr>
        <w:t xml:space="preserve"> y la NIC 29, respectivamente. Dichas normas emplearán el índice profesional antes señalado.</w:t>
      </w:r>
    </w:p>
    <w:p w:rsidR="00CB421F" w:rsidRDefault="00CB421F" w:rsidP="00CB421F">
      <w:pPr>
        <w:shd w:val="clear" w:color="auto" w:fill="FFFFFF"/>
        <w:spacing w:after="225"/>
        <w:ind w:left="1134"/>
        <w:jc w:val="both"/>
        <w:rPr>
          <w:rFonts w:ascii="Arial" w:hAnsi="Arial" w:cs="Arial"/>
        </w:rPr>
      </w:pPr>
      <w:r>
        <w:rPr>
          <w:rFonts w:ascii="Arial" w:hAnsi="Arial" w:cs="Arial"/>
        </w:rPr>
        <w:t>Estas normas establecen que la aplicación del ajuste por inflación debe realizarse frente a la existencia de un contexto de inflación, el cual se caracteriza, entre otras consideraciones, cuando existe una tasa acumulada de inflación en tres años que alcance o sobrepase el 100%. La inflación acumulada en tres años al 31 de Diciembre de 2018, medida en las diferentes combinaciones posibles de índices disponibles, y con el IPIM (Índice de Precios Internos al por Mayor) publicado por Instituto Nacional de Estadísticas y Censos (INDEC), se ubica por encima del 100%. Es por esta razón que, de acuerdo con las normas contables profesionales antes mencionadas, la economía argentina debe ser considerada como de alta inflación a partir del 1° de julio de 2018.</w:t>
      </w:r>
    </w:p>
    <w:p w:rsidR="00CB421F" w:rsidRDefault="00CB421F" w:rsidP="00CB421F">
      <w:pPr>
        <w:shd w:val="clear" w:color="auto" w:fill="FFFFFF"/>
        <w:spacing w:after="225"/>
        <w:ind w:left="1134"/>
        <w:jc w:val="both"/>
        <w:rPr>
          <w:rFonts w:ascii="Arial" w:hAnsi="Arial" w:cs="Arial"/>
          <w:color w:val="1C1C1C"/>
          <w:lang w:eastAsia="es-AR"/>
        </w:rPr>
      </w:pPr>
      <w:r>
        <w:rPr>
          <w:rFonts w:ascii="Arial" w:hAnsi="Arial"/>
        </w:rPr>
        <w:t xml:space="preserve">Los requerimientos de la RT 6 consisten en </w:t>
      </w:r>
      <w:proofErr w:type="spellStart"/>
      <w:r>
        <w:rPr>
          <w:rFonts w:ascii="Arial" w:hAnsi="Arial"/>
        </w:rPr>
        <w:t>reexpresar</w:t>
      </w:r>
      <w:proofErr w:type="spellEnd"/>
      <w:r>
        <w:rPr>
          <w:rFonts w:ascii="Arial" w:hAnsi="Arial"/>
        </w:rPr>
        <w:t xml:space="preserve"> los Estados Contables para que consideren los cambios en el poder adquisitivo general de la moneda, de modo que queden expresados en la unidad de medida corriente al final del período sobre el que se informa. Dichos requerimientos también comprenden a la información comparativa de los mismos. </w:t>
      </w:r>
    </w:p>
    <w:p w:rsidR="00CB421F" w:rsidRDefault="00CB421F" w:rsidP="00CB421F">
      <w:pPr>
        <w:shd w:val="clear" w:color="auto" w:fill="FFFFFF"/>
        <w:ind w:left="1134"/>
        <w:jc w:val="both"/>
        <w:rPr>
          <w:rFonts w:ascii="Arial" w:hAnsi="Arial" w:cs="Arial"/>
          <w:color w:val="1C1C1C"/>
          <w:lang w:eastAsia="es-AR"/>
        </w:rPr>
      </w:pPr>
      <w:r>
        <w:rPr>
          <w:rFonts w:ascii="Arial" w:hAnsi="Arial" w:cs="Arial"/>
          <w:color w:val="1C1C1C"/>
          <w:lang w:eastAsia="es-AR"/>
        </w:rPr>
        <w:t xml:space="preserve">Por todo lo mencionado, el ajuste por inflación de los estados contables, es obligatorio para el cierre del Balance </w:t>
      </w:r>
      <w:r w:rsidR="005C4FAF">
        <w:rPr>
          <w:rFonts w:ascii="Arial" w:hAnsi="Arial" w:cs="Arial"/>
          <w:color w:val="1C1C1C"/>
          <w:lang w:eastAsia="es-AR"/>
        </w:rPr>
        <w:t xml:space="preserve">Trimestral al 31/03/2019 y el Balance </w:t>
      </w:r>
      <w:r w:rsidR="00E945D8">
        <w:rPr>
          <w:rFonts w:ascii="Arial" w:hAnsi="Arial" w:cs="Arial"/>
          <w:color w:val="1C1C1C"/>
          <w:lang w:eastAsia="es-AR"/>
        </w:rPr>
        <w:t>General al 31 de D</w:t>
      </w:r>
      <w:r>
        <w:rPr>
          <w:rFonts w:ascii="Arial" w:hAnsi="Arial" w:cs="Arial"/>
          <w:color w:val="1C1C1C"/>
          <w:lang w:eastAsia="es-AR"/>
        </w:rPr>
        <w:t>iciembre de 2018.</w:t>
      </w:r>
    </w:p>
    <w:p w:rsidR="00A270C0" w:rsidRDefault="00A270C0">
      <w:pPr>
        <w:tabs>
          <w:tab w:val="left" w:pos="0"/>
        </w:tabs>
        <w:jc w:val="both"/>
        <w:rPr>
          <w:rFonts w:ascii="Arial" w:hAnsi="Arial"/>
          <w:b/>
        </w:rPr>
      </w:pPr>
    </w:p>
    <w:p w:rsidR="009520B8" w:rsidRDefault="009520B8">
      <w:pPr>
        <w:tabs>
          <w:tab w:val="left" w:pos="0"/>
        </w:tabs>
        <w:jc w:val="both"/>
        <w:rPr>
          <w:rFonts w:ascii="Arial" w:hAnsi="Arial"/>
          <w:b/>
        </w:rPr>
      </w:pPr>
      <w:r>
        <w:rPr>
          <w:rFonts w:ascii="Arial" w:hAnsi="Arial"/>
          <w:b/>
        </w:rPr>
        <w:br w:type="page"/>
      </w:r>
    </w:p>
    <w:p w:rsidR="009520B8" w:rsidRDefault="009520B8">
      <w:pPr>
        <w:tabs>
          <w:tab w:val="left" w:pos="0"/>
        </w:tabs>
        <w:jc w:val="both"/>
        <w:rPr>
          <w:rFonts w:ascii="Arial" w:hAnsi="Arial"/>
          <w:b/>
        </w:rPr>
      </w:pPr>
    </w:p>
    <w:p w:rsidR="00E945D8" w:rsidRDefault="00E945D8" w:rsidP="009520B8">
      <w:pPr>
        <w:tabs>
          <w:tab w:val="left" w:pos="0"/>
        </w:tabs>
        <w:jc w:val="center"/>
        <w:rPr>
          <w:rFonts w:ascii="Arial" w:hAnsi="Arial"/>
          <w:b/>
        </w:rPr>
      </w:pPr>
    </w:p>
    <w:p w:rsidR="009520B8" w:rsidRDefault="009520B8" w:rsidP="009520B8">
      <w:pPr>
        <w:tabs>
          <w:tab w:val="left" w:pos="0"/>
        </w:tabs>
        <w:jc w:val="center"/>
        <w:rPr>
          <w:rFonts w:ascii="Arial" w:hAnsi="Arial"/>
          <w:b/>
        </w:rPr>
      </w:pPr>
      <w:r>
        <w:rPr>
          <w:rFonts w:ascii="Arial" w:hAnsi="Arial"/>
          <w:b/>
        </w:rPr>
        <w:t>NOTAS A LOS ESTADOS CONTABLES (Continuación)</w:t>
      </w:r>
    </w:p>
    <w:p w:rsidR="009520B8" w:rsidRDefault="009520B8">
      <w:pPr>
        <w:tabs>
          <w:tab w:val="left" w:pos="0"/>
        </w:tabs>
        <w:jc w:val="both"/>
        <w:rPr>
          <w:rFonts w:ascii="Arial" w:hAnsi="Arial"/>
          <w:b/>
        </w:rPr>
      </w:pPr>
    </w:p>
    <w:p w:rsidR="009520B8" w:rsidRDefault="009520B8">
      <w:pPr>
        <w:tabs>
          <w:tab w:val="left" w:pos="0"/>
        </w:tabs>
        <w:jc w:val="both"/>
        <w:rPr>
          <w:rFonts w:ascii="Arial" w:hAnsi="Arial"/>
          <w:b/>
        </w:rPr>
      </w:pPr>
    </w:p>
    <w:p w:rsidR="00E945D8" w:rsidRDefault="00E945D8">
      <w:pPr>
        <w:tabs>
          <w:tab w:val="left" w:pos="0"/>
        </w:tabs>
        <w:jc w:val="both"/>
        <w:rPr>
          <w:rFonts w:ascii="Arial" w:hAnsi="Arial"/>
          <w:b/>
        </w:rPr>
      </w:pPr>
    </w:p>
    <w:p w:rsidR="00A270C0" w:rsidRDefault="00A270C0">
      <w:pPr>
        <w:tabs>
          <w:tab w:val="left" w:pos="0"/>
        </w:tabs>
        <w:jc w:val="both"/>
        <w:rPr>
          <w:rFonts w:ascii="Arial" w:hAnsi="Arial"/>
          <w:b/>
          <w:u w:val="single"/>
        </w:rPr>
      </w:pPr>
      <w:r>
        <w:rPr>
          <w:rFonts w:ascii="Arial" w:hAnsi="Arial"/>
          <w:b/>
        </w:rPr>
        <w:t>Nota 5.      Criterios de valuación y Exposición.</w:t>
      </w:r>
    </w:p>
    <w:p w:rsidR="00A270C0" w:rsidRDefault="00A270C0">
      <w:pPr>
        <w:pStyle w:val="Sangra2detindependiente"/>
        <w:tabs>
          <w:tab w:val="num" w:pos="1276"/>
        </w:tabs>
        <w:ind w:left="1134"/>
        <w:rPr>
          <w:rFonts w:ascii="Arial" w:hAnsi="Arial"/>
          <w:b/>
          <w:sz w:val="20"/>
        </w:rPr>
      </w:pPr>
    </w:p>
    <w:p w:rsidR="00A270C0" w:rsidRDefault="00A270C0">
      <w:pPr>
        <w:pStyle w:val="Sangra2detindependiente"/>
        <w:tabs>
          <w:tab w:val="num" w:pos="1276"/>
        </w:tabs>
        <w:ind w:left="1134"/>
        <w:rPr>
          <w:rFonts w:ascii="Arial" w:hAnsi="Arial"/>
          <w:b/>
          <w:sz w:val="20"/>
        </w:rPr>
      </w:pPr>
      <w:r>
        <w:rPr>
          <w:rFonts w:ascii="Arial" w:hAnsi="Arial"/>
          <w:b/>
          <w:sz w:val="20"/>
        </w:rPr>
        <w:t>a) Caja y Bancos:</w:t>
      </w:r>
    </w:p>
    <w:p w:rsidR="00A270C0" w:rsidRDefault="00A270C0">
      <w:pPr>
        <w:pStyle w:val="Sangra2detindependiente"/>
        <w:rPr>
          <w:rFonts w:ascii="Arial" w:hAnsi="Arial"/>
          <w:sz w:val="20"/>
        </w:rPr>
      </w:pPr>
      <w:r>
        <w:rPr>
          <w:rFonts w:ascii="Arial" w:hAnsi="Arial"/>
          <w:sz w:val="20"/>
        </w:rPr>
        <w:t>A su valor nominal.</w:t>
      </w:r>
    </w:p>
    <w:p w:rsidR="001858D0" w:rsidRDefault="001858D0">
      <w:pPr>
        <w:pStyle w:val="Sangra2detindependiente"/>
        <w:rPr>
          <w:rFonts w:ascii="Arial" w:hAnsi="Arial"/>
          <w:sz w:val="20"/>
        </w:rPr>
      </w:pPr>
    </w:p>
    <w:p w:rsidR="001858D0" w:rsidRDefault="001858D0" w:rsidP="001858D0">
      <w:pPr>
        <w:pStyle w:val="Sangra2detindependiente"/>
        <w:tabs>
          <w:tab w:val="num" w:pos="1276"/>
        </w:tabs>
        <w:ind w:left="1134"/>
        <w:rPr>
          <w:rFonts w:ascii="Arial" w:hAnsi="Arial"/>
          <w:b/>
          <w:sz w:val="20"/>
        </w:rPr>
      </w:pPr>
      <w:r>
        <w:rPr>
          <w:rFonts w:ascii="Arial" w:hAnsi="Arial"/>
          <w:b/>
          <w:sz w:val="20"/>
        </w:rPr>
        <w:t>b) Inversiones:</w:t>
      </w:r>
    </w:p>
    <w:p w:rsidR="001858D0" w:rsidRDefault="0028086D" w:rsidP="001858D0">
      <w:pPr>
        <w:pStyle w:val="Sangra2detindependiente"/>
        <w:rPr>
          <w:rFonts w:ascii="Arial" w:hAnsi="Arial"/>
          <w:sz w:val="20"/>
        </w:rPr>
      </w:pPr>
      <w:r>
        <w:rPr>
          <w:rFonts w:ascii="Arial" w:hAnsi="Arial"/>
          <w:sz w:val="20"/>
        </w:rPr>
        <w:t>A su valor de cotización</w:t>
      </w:r>
    </w:p>
    <w:p w:rsidR="00A270C0" w:rsidRDefault="00A270C0">
      <w:pPr>
        <w:pStyle w:val="Sangra2detindependiente"/>
        <w:tabs>
          <w:tab w:val="num" w:pos="1276"/>
        </w:tabs>
        <w:ind w:left="1134"/>
        <w:rPr>
          <w:rFonts w:ascii="Arial" w:hAnsi="Arial"/>
          <w:b/>
          <w:sz w:val="20"/>
        </w:rPr>
      </w:pPr>
    </w:p>
    <w:p w:rsidR="00A270C0" w:rsidRDefault="001858D0">
      <w:pPr>
        <w:pStyle w:val="Sangra2detindependiente"/>
        <w:tabs>
          <w:tab w:val="num" w:pos="1276"/>
        </w:tabs>
        <w:ind w:left="1134"/>
        <w:rPr>
          <w:rFonts w:ascii="Arial" w:hAnsi="Arial"/>
          <w:b/>
          <w:sz w:val="20"/>
        </w:rPr>
      </w:pPr>
      <w:r>
        <w:rPr>
          <w:rFonts w:ascii="Arial" w:hAnsi="Arial"/>
          <w:b/>
          <w:sz w:val="20"/>
        </w:rPr>
        <w:t>c</w:t>
      </w:r>
      <w:r w:rsidR="00A270C0">
        <w:rPr>
          <w:rFonts w:ascii="Arial" w:hAnsi="Arial"/>
          <w:b/>
          <w:sz w:val="20"/>
        </w:rPr>
        <w:t>) Créditos y Pasivos:</w:t>
      </w:r>
    </w:p>
    <w:p w:rsidR="00A270C0" w:rsidRDefault="00A270C0">
      <w:pPr>
        <w:pStyle w:val="Sangra2detindependiente"/>
        <w:rPr>
          <w:rFonts w:ascii="Arial" w:hAnsi="Arial"/>
          <w:sz w:val="20"/>
        </w:rPr>
      </w:pPr>
      <w:r>
        <w:rPr>
          <w:rFonts w:ascii="Arial" w:hAnsi="Arial"/>
          <w:sz w:val="20"/>
        </w:rPr>
        <w:t>A su valor nominal. Los intereses implícitos, no han sido segregados de los saldos patrimoniales por no resultar significativos.</w:t>
      </w:r>
    </w:p>
    <w:p w:rsidR="0028086D" w:rsidRDefault="0028086D">
      <w:pPr>
        <w:pStyle w:val="Sangra2detindependiente"/>
        <w:rPr>
          <w:rFonts w:ascii="Arial" w:hAnsi="Arial"/>
          <w:sz w:val="20"/>
        </w:rPr>
      </w:pPr>
    </w:p>
    <w:p w:rsidR="0028086D" w:rsidRDefault="0028086D" w:rsidP="0028086D">
      <w:pPr>
        <w:pStyle w:val="Sangra2detindependiente"/>
        <w:tabs>
          <w:tab w:val="num" w:pos="1276"/>
        </w:tabs>
        <w:ind w:left="1134"/>
        <w:rPr>
          <w:rFonts w:ascii="Arial" w:hAnsi="Arial"/>
          <w:b/>
          <w:sz w:val="20"/>
        </w:rPr>
      </w:pPr>
      <w:r>
        <w:rPr>
          <w:rFonts w:ascii="Arial" w:hAnsi="Arial"/>
          <w:b/>
          <w:sz w:val="20"/>
        </w:rPr>
        <w:t>d) Bienes de Cambio:</w:t>
      </w:r>
    </w:p>
    <w:p w:rsidR="0028086D" w:rsidRDefault="00CD17AB" w:rsidP="0028086D">
      <w:pPr>
        <w:pStyle w:val="Sangra2detindependiente"/>
        <w:ind w:left="1418"/>
        <w:rPr>
          <w:rFonts w:ascii="Arial" w:hAnsi="Arial" w:cs="Arial"/>
          <w:sz w:val="20"/>
        </w:rPr>
      </w:pPr>
      <w:r>
        <w:rPr>
          <w:rFonts w:ascii="Arial" w:hAnsi="Arial" w:cs="Arial"/>
          <w:sz w:val="20"/>
        </w:rPr>
        <w:t>Los</w:t>
      </w:r>
      <w:r w:rsidR="0028086D">
        <w:rPr>
          <w:rFonts w:ascii="Arial" w:hAnsi="Arial" w:cs="Arial"/>
          <w:sz w:val="20"/>
        </w:rPr>
        <w:t xml:space="preserve"> materiales y</w:t>
      </w:r>
      <w:r>
        <w:rPr>
          <w:rFonts w:ascii="Arial" w:hAnsi="Arial" w:cs="Arial"/>
          <w:sz w:val="20"/>
        </w:rPr>
        <w:t xml:space="preserve"> </w:t>
      </w:r>
      <w:r w:rsidR="0028086D">
        <w:rPr>
          <w:rFonts w:ascii="Arial" w:hAnsi="Arial" w:cs="Arial"/>
          <w:sz w:val="20"/>
        </w:rPr>
        <w:t xml:space="preserve">repuestos destinados a la obra y el valor </w:t>
      </w:r>
      <w:proofErr w:type="spellStart"/>
      <w:r w:rsidR="00CB421F">
        <w:rPr>
          <w:rFonts w:ascii="Arial" w:hAnsi="Arial"/>
          <w:sz w:val="20"/>
        </w:rPr>
        <w:t>reexpresado</w:t>
      </w:r>
      <w:proofErr w:type="spellEnd"/>
      <w:r w:rsidR="00CB421F">
        <w:rPr>
          <w:rFonts w:ascii="Arial" w:hAnsi="Arial"/>
          <w:sz w:val="20"/>
        </w:rPr>
        <w:t xml:space="preserve"> en moneda homogénea</w:t>
      </w:r>
      <w:r w:rsidR="0028086D">
        <w:rPr>
          <w:rFonts w:ascii="Arial" w:hAnsi="Arial" w:cs="Arial"/>
          <w:sz w:val="20"/>
        </w:rPr>
        <w:t xml:space="preserve"> de dichos bienes</w:t>
      </w:r>
      <w:r w:rsidR="00CB421F">
        <w:rPr>
          <w:rFonts w:ascii="Arial" w:hAnsi="Arial" w:cs="Arial"/>
          <w:sz w:val="20"/>
        </w:rPr>
        <w:t>,</w:t>
      </w:r>
      <w:r w:rsidR="0028086D">
        <w:rPr>
          <w:rFonts w:ascii="Arial" w:hAnsi="Arial" w:cs="Arial"/>
          <w:sz w:val="20"/>
        </w:rPr>
        <w:t xml:space="preserve"> no supera su valor recuperable estimado al cierre del ejercicio.</w:t>
      </w:r>
    </w:p>
    <w:p w:rsidR="0028086D" w:rsidRDefault="0028086D" w:rsidP="0028086D">
      <w:pPr>
        <w:pStyle w:val="Sangra2detindependiente"/>
        <w:ind w:left="1418"/>
        <w:rPr>
          <w:rFonts w:ascii="Arial" w:hAnsi="Arial" w:cs="Arial"/>
          <w:sz w:val="20"/>
        </w:rPr>
      </w:pPr>
    </w:p>
    <w:p w:rsidR="00A270C0" w:rsidRDefault="0028086D" w:rsidP="00F673FB">
      <w:pPr>
        <w:pStyle w:val="Sangra2detindependiente"/>
        <w:tabs>
          <w:tab w:val="num" w:pos="1276"/>
        </w:tabs>
        <w:ind w:left="1134"/>
        <w:rPr>
          <w:rFonts w:ascii="Arial" w:hAnsi="Arial"/>
          <w:b/>
          <w:sz w:val="20"/>
        </w:rPr>
      </w:pPr>
      <w:r>
        <w:rPr>
          <w:rFonts w:ascii="Arial" w:hAnsi="Arial"/>
          <w:b/>
          <w:sz w:val="20"/>
        </w:rPr>
        <w:t>e</w:t>
      </w:r>
      <w:r w:rsidR="00A270C0">
        <w:rPr>
          <w:rFonts w:ascii="Arial" w:hAnsi="Arial"/>
          <w:b/>
          <w:sz w:val="20"/>
        </w:rPr>
        <w:t>) Bie</w:t>
      </w:r>
      <w:r w:rsidR="00F673FB">
        <w:rPr>
          <w:rFonts w:ascii="Arial" w:hAnsi="Arial"/>
          <w:b/>
          <w:sz w:val="20"/>
        </w:rPr>
        <w:t>nes de Uso</w:t>
      </w:r>
      <w:r w:rsidR="00A270C0">
        <w:rPr>
          <w:rFonts w:ascii="Arial" w:hAnsi="Arial"/>
          <w:b/>
          <w:sz w:val="20"/>
        </w:rPr>
        <w:t>:</w:t>
      </w:r>
    </w:p>
    <w:p w:rsidR="00A270C0" w:rsidRDefault="00F673FB">
      <w:pPr>
        <w:pStyle w:val="Sangra2detindependiente"/>
        <w:rPr>
          <w:rFonts w:ascii="Arial" w:hAnsi="Arial"/>
          <w:sz w:val="20"/>
        </w:rPr>
      </w:pPr>
      <w:r>
        <w:rPr>
          <w:rFonts w:ascii="Arial" w:hAnsi="Arial"/>
          <w:sz w:val="20"/>
        </w:rPr>
        <w:t>Se encuentra valuado</w:t>
      </w:r>
      <w:r w:rsidR="00A270C0">
        <w:rPr>
          <w:rFonts w:ascii="Arial" w:hAnsi="Arial"/>
          <w:sz w:val="20"/>
        </w:rPr>
        <w:t xml:space="preserve"> a su costo de adquisición </w:t>
      </w:r>
      <w:proofErr w:type="spellStart"/>
      <w:r w:rsidR="00CB421F">
        <w:rPr>
          <w:rFonts w:ascii="Arial" w:hAnsi="Arial"/>
          <w:sz w:val="20"/>
        </w:rPr>
        <w:t>reexpresados</w:t>
      </w:r>
      <w:proofErr w:type="spellEnd"/>
      <w:r w:rsidR="00CB421F">
        <w:rPr>
          <w:rFonts w:ascii="Arial" w:hAnsi="Arial"/>
          <w:sz w:val="20"/>
        </w:rPr>
        <w:t xml:space="preserve"> en moneda homogénea</w:t>
      </w:r>
      <w:r w:rsidR="00A270C0">
        <w:rPr>
          <w:rFonts w:ascii="Arial" w:hAnsi="Arial"/>
          <w:sz w:val="20"/>
        </w:rPr>
        <w:t xml:space="preserve">, tal como se indica en Nota </w:t>
      </w:r>
      <w:r w:rsidR="00CB421F">
        <w:rPr>
          <w:rFonts w:ascii="Arial" w:hAnsi="Arial"/>
          <w:sz w:val="20"/>
        </w:rPr>
        <w:t>4</w:t>
      </w:r>
      <w:r w:rsidR="00A270C0">
        <w:rPr>
          <w:rFonts w:ascii="Arial" w:hAnsi="Arial"/>
          <w:sz w:val="20"/>
        </w:rPr>
        <w:t>.</w:t>
      </w:r>
    </w:p>
    <w:p w:rsidR="00A270C0" w:rsidRDefault="00A270C0">
      <w:pPr>
        <w:pStyle w:val="Sangra2detindependiente"/>
        <w:rPr>
          <w:sz w:val="20"/>
        </w:rPr>
      </w:pPr>
    </w:p>
    <w:p w:rsidR="00A270C0" w:rsidRDefault="0028086D">
      <w:pPr>
        <w:pStyle w:val="Sangra2detindependiente"/>
        <w:tabs>
          <w:tab w:val="num" w:pos="1276"/>
        </w:tabs>
        <w:ind w:left="1134"/>
        <w:rPr>
          <w:rFonts w:ascii="Arial" w:hAnsi="Arial"/>
          <w:b/>
          <w:sz w:val="20"/>
        </w:rPr>
      </w:pPr>
      <w:r>
        <w:rPr>
          <w:rFonts w:ascii="Arial" w:hAnsi="Arial"/>
          <w:b/>
          <w:sz w:val="20"/>
        </w:rPr>
        <w:t>f</w:t>
      </w:r>
      <w:r w:rsidR="00A270C0">
        <w:rPr>
          <w:rFonts w:ascii="Arial" w:hAnsi="Arial"/>
          <w:b/>
          <w:sz w:val="20"/>
        </w:rPr>
        <w:t>) Cuentas de Resultado:</w:t>
      </w:r>
    </w:p>
    <w:p w:rsidR="00CB421F" w:rsidRDefault="00CB421F" w:rsidP="00CB421F">
      <w:pPr>
        <w:pStyle w:val="Sangra3detindependiente"/>
        <w:ind w:left="1361"/>
        <w:rPr>
          <w:rFonts w:ascii="Arial" w:hAnsi="Arial"/>
          <w:sz w:val="20"/>
        </w:rPr>
      </w:pPr>
      <w:r>
        <w:rPr>
          <w:rFonts w:ascii="Arial" w:hAnsi="Arial"/>
          <w:sz w:val="20"/>
        </w:rPr>
        <w:t xml:space="preserve">Han sido </w:t>
      </w:r>
      <w:proofErr w:type="spellStart"/>
      <w:r>
        <w:rPr>
          <w:rFonts w:ascii="Arial" w:hAnsi="Arial"/>
          <w:sz w:val="20"/>
        </w:rPr>
        <w:t>reexpresados</w:t>
      </w:r>
      <w:proofErr w:type="spellEnd"/>
      <w:r>
        <w:rPr>
          <w:rFonts w:ascii="Arial" w:hAnsi="Arial"/>
          <w:sz w:val="20"/>
        </w:rPr>
        <w:t xml:space="preserve"> en moneda homogénea, tal como se indica en Nota 4.</w:t>
      </w:r>
    </w:p>
    <w:p w:rsidR="00A270C0" w:rsidRDefault="00A270C0">
      <w:pPr>
        <w:pStyle w:val="Sangra3detindependiente"/>
        <w:tabs>
          <w:tab w:val="left" w:pos="8080"/>
        </w:tabs>
        <w:ind w:left="1418"/>
        <w:rPr>
          <w:sz w:val="20"/>
          <w:highlight w:val="yellow"/>
        </w:rPr>
      </w:pPr>
    </w:p>
    <w:p w:rsidR="00A270C0" w:rsidRDefault="0028086D">
      <w:pPr>
        <w:pStyle w:val="Sangra2detindependiente"/>
        <w:tabs>
          <w:tab w:val="num" w:pos="1276"/>
        </w:tabs>
        <w:ind w:left="1134"/>
        <w:rPr>
          <w:rFonts w:ascii="Arial" w:hAnsi="Arial"/>
          <w:b/>
          <w:sz w:val="20"/>
        </w:rPr>
      </w:pPr>
      <w:r>
        <w:rPr>
          <w:rFonts w:ascii="Arial" w:hAnsi="Arial"/>
          <w:b/>
          <w:sz w:val="20"/>
        </w:rPr>
        <w:t>g</w:t>
      </w:r>
      <w:r w:rsidR="00A270C0">
        <w:rPr>
          <w:rFonts w:ascii="Arial" w:hAnsi="Arial"/>
          <w:b/>
          <w:sz w:val="20"/>
        </w:rPr>
        <w:t>) Estado de Flujo de Efectivo:</w:t>
      </w:r>
    </w:p>
    <w:p w:rsidR="00A270C0" w:rsidRDefault="00A270C0">
      <w:pPr>
        <w:pStyle w:val="Sangra2detindependiente"/>
        <w:rPr>
          <w:rFonts w:ascii="Arial" w:hAnsi="Arial"/>
          <w:sz w:val="20"/>
        </w:rPr>
      </w:pPr>
      <w:r>
        <w:rPr>
          <w:rFonts w:ascii="Arial" w:hAnsi="Arial"/>
          <w:sz w:val="20"/>
        </w:rPr>
        <w:t>Se consid</w:t>
      </w:r>
      <w:r w:rsidR="00CD17AB">
        <w:rPr>
          <w:rFonts w:ascii="Arial" w:hAnsi="Arial"/>
          <w:sz w:val="20"/>
        </w:rPr>
        <w:t>era efectivo al saldo del rubro</w:t>
      </w:r>
      <w:r w:rsidR="009520B8">
        <w:rPr>
          <w:rFonts w:ascii="Arial" w:hAnsi="Arial"/>
          <w:sz w:val="20"/>
        </w:rPr>
        <w:t xml:space="preserve"> Caja,</w:t>
      </w:r>
      <w:r>
        <w:rPr>
          <w:rFonts w:ascii="Arial" w:hAnsi="Arial"/>
          <w:sz w:val="20"/>
        </w:rPr>
        <w:t xml:space="preserve"> Bancos</w:t>
      </w:r>
      <w:r w:rsidR="009520B8">
        <w:rPr>
          <w:rFonts w:ascii="Arial" w:hAnsi="Arial"/>
          <w:sz w:val="20"/>
        </w:rPr>
        <w:t xml:space="preserve"> </w:t>
      </w:r>
      <w:proofErr w:type="spellStart"/>
      <w:r w:rsidR="009520B8">
        <w:rPr>
          <w:rFonts w:ascii="Arial" w:hAnsi="Arial"/>
          <w:sz w:val="20"/>
        </w:rPr>
        <w:t>é</w:t>
      </w:r>
      <w:proofErr w:type="spellEnd"/>
      <w:r w:rsidR="009520B8">
        <w:rPr>
          <w:rFonts w:ascii="Arial" w:hAnsi="Arial"/>
          <w:sz w:val="20"/>
        </w:rPr>
        <w:t xml:space="preserve"> Inversiones</w:t>
      </w:r>
      <w:r>
        <w:rPr>
          <w:rFonts w:ascii="Arial" w:hAnsi="Arial"/>
          <w:sz w:val="20"/>
        </w:rPr>
        <w:t>.</w:t>
      </w:r>
    </w:p>
    <w:p w:rsidR="0028086D" w:rsidRDefault="00A270C0" w:rsidP="0028086D">
      <w:pPr>
        <w:tabs>
          <w:tab w:val="left" w:pos="1134"/>
        </w:tabs>
        <w:ind w:left="1134" w:hanging="1134"/>
        <w:jc w:val="center"/>
        <w:rPr>
          <w:rFonts w:ascii="Arial" w:hAnsi="Arial"/>
          <w:b/>
          <w:u w:val="single"/>
        </w:rPr>
      </w:pPr>
      <w:r>
        <w:rPr>
          <w:rFonts w:ascii="Arial" w:hAnsi="Arial"/>
          <w:b/>
          <w:u w:val="single"/>
        </w:rPr>
        <w:br w:type="page"/>
      </w:r>
    </w:p>
    <w:p w:rsidR="004765B2" w:rsidRDefault="004765B2" w:rsidP="0028086D">
      <w:pPr>
        <w:tabs>
          <w:tab w:val="left" w:pos="1134"/>
        </w:tabs>
        <w:ind w:left="1134" w:hanging="1134"/>
        <w:jc w:val="center"/>
        <w:rPr>
          <w:rFonts w:ascii="Arial" w:hAnsi="Arial"/>
          <w:b/>
        </w:rPr>
      </w:pPr>
    </w:p>
    <w:p w:rsidR="00A270C0" w:rsidRDefault="00A270C0" w:rsidP="0028086D">
      <w:pPr>
        <w:tabs>
          <w:tab w:val="left" w:pos="1134"/>
        </w:tabs>
        <w:ind w:left="1134" w:hanging="1134"/>
        <w:jc w:val="center"/>
        <w:rPr>
          <w:rFonts w:ascii="Arial" w:hAnsi="Arial"/>
          <w:b/>
        </w:rPr>
      </w:pPr>
      <w:r>
        <w:rPr>
          <w:rFonts w:ascii="Arial" w:hAnsi="Arial"/>
          <w:b/>
        </w:rPr>
        <w:t>NOTAS A LOS ESTADOS CONTABLES (Continuación)</w:t>
      </w: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u w:val="single"/>
        </w:rPr>
      </w:pPr>
      <w:r>
        <w:rPr>
          <w:rFonts w:ascii="Arial" w:hAnsi="Arial"/>
          <w:b/>
        </w:rPr>
        <w:t xml:space="preserve">Nota 6. </w:t>
      </w:r>
      <w:r>
        <w:rPr>
          <w:rFonts w:ascii="Arial" w:hAnsi="Arial"/>
          <w:b/>
        </w:rPr>
        <w:tab/>
        <w:t xml:space="preserve">Composición de los Estados Contables. </w:t>
      </w:r>
    </w:p>
    <w:p w:rsidR="00A270C0" w:rsidRDefault="00A270C0">
      <w:pPr>
        <w:tabs>
          <w:tab w:val="left" w:pos="1134"/>
        </w:tabs>
        <w:ind w:left="1134" w:hanging="1134"/>
        <w:jc w:val="both"/>
        <w:rPr>
          <w:rFonts w:ascii="Arial" w:hAnsi="Arial"/>
          <w:b/>
          <w:u w:val="single"/>
        </w:rPr>
      </w:pPr>
    </w:p>
    <w:p w:rsidR="00A270C0" w:rsidRDefault="00A270C0">
      <w:pPr>
        <w:ind w:left="1134"/>
        <w:rPr>
          <w:rFonts w:ascii="Arial" w:hAnsi="Arial"/>
        </w:rPr>
      </w:pPr>
      <w:r>
        <w:rPr>
          <w:rFonts w:ascii="Arial" w:hAnsi="Arial"/>
        </w:rPr>
        <w:t>A los efectos de ampliar la exposición de los distintos rubros que se incluyen en los estados  contables se presentan los siguientes detalles:</w:t>
      </w:r>
    </w:p>
    <w:p w:rsidR="00E945D8" w:rsidRDefault="00E945D8">
      <w:pPr>
        <w:ind w:left="1134"/>
        <w:rPr>
          <w:rFonts w:ascii="Arial" w:hAnsi="Arial"/>
        </w:rPr>
      </w:pPr>
    </w:p>
    <w:p w:rsidR="00A270C0" w:rsidRDefault="00A270C0">
      <w:pPr>
        <w:tabs>
          <w:tab w:val="left" w:pos="142"/>
          <w:tab w:val="left" w:pos="284"/>
        </w:tabs>
        <w:ind w:left="1134"/>
        <w:rPr>
          <w:rFonts w:ascii="Arial" w:hAnsi="Arial"/>
        </w:rPr>
      </w:pPr>
    </w:p>
    <w:p w:rsidR="004C5F99" w:rsidRDefault="00506D66" w:rsidP="002728B8">
      <w:pPr>
        <w:tabs>
          <w:tab w:val="left" w:pos="142"/>
          <w:tab w:val="left" w:pos="284"/>
        </w:tabs>
        <w:ind w:left="1134"/>
        <w:rPr>
          <w:rFonts w:ascii="Arial" w:hAnsi="Arial"/>
        </w:rPr>
      </w:pPr>
      <w:r>
        <w:rPr>
          <w:rFonts w:ascii="Arial" w:hAnsi="Arial"/>
        </w:rPr>
        <w:pict>
          <v:shape id="_x0000_i1028" type="#_x0000_t75" style="width:410.95pt;height:432.9pt">
            <v:imagedata r:id="rId19" o:title=""/>
          </v:shape>
        </w:pict>
      </w:r>
      <w:r w:rsidR="00A270C0">
        <w:rPr>
          <w:rFonts w:ascii="Arial" w:hAnsi="Arial"/>
        </w:rPr>
        <w:br w:type="page"/>
      </w:r>
    </w:p>
    <w:p w:rsidR="004C5F99" w:rsidRDefault="004C5F99" w:rsidP="004765B2">
      <w:pPr>
        <w:tabs>
          <w:tab w:val="left" w:pos="1134"/>
        </w:tabs>
        <w:ind w:left="1134" w:hanging="1134"/>
        <w:jc w:val="center"/>
        <w:rPr>
          <w:rFonts w:ascii="Arial" w:hAnsi="Arial"/>
        </w:rPr>
      </w:pPr>
    </w:p>
    <w:p w:rsidR="004B2457" w:rsidRDefault="004B2457" w:rsidP="004765B2">
      <w:pPr>
        <w:tabs>
          <w:tab w:val="left" w:pos="1134"/>
        </w:tabs>
        <w:ind w:left="1134" w:hanging="1134"/>
        <w:jc w:val="center"/>
        <w:rPr>
          <w:rFonts w:ascii="Arial" w:hAnsi="Arial"/>
          <w:b/>
        </w:rPr>
      </w:pPr>
    </w:p>
    <w:p w:rsidR="004765B2" w:rsidRDefault="004765B2" w:rsidP="004765B2">
      <w:pPr>
        <w:tabs>
          <w:tab w:val="left" w:pos="1134"/>
        </w:tabs>
        <w:ind w:left="1134" w:hanging="1134"/>
        <w:jc w:val="center"/>
        <w:rPr>
          <w:rFonts w:ascii="Arial" w:hAnsi="Arial"/>
          <w:b/>
        </w:rPr>
      </w:pPr>
      <w:r>
        <w:rPr>
          <w:rFonts w:ascii="Arial" w:hAnsi="Arial"/>
          <w:b/>
        </w:rPr>
        <w:t>NOTAS A LOS ESTADOS CONTABLES (Continuación)</w:t>
      </w:r>
    </w:p>
    <w:p w:rsidR="00F86A23" w:rsidRDefault="00F86A23">
      <w:pPr>
        <w:tabs>
          <w:tab w:val="left" w:pos="1134"/>
        </w:tabs>
        <w:ind w:left="1134" w:hanging="1134"/>
        <w:jc w:val="both"/>
        <w:rPr>
          <w:rFonts w:ascii="Arial" w:hAnsi="Arial"/>
        </w:rPr>
      </w:pPr>
    </w:p>
    <w:p w:rsidR="004B2457" w:rsidRDefault="004B2457">
      <w:pPr>
        <w:tabs>
          <w:tab w:val="left" w:pos="1134"/>
        </w:tabs>
        <w:ind w:left="1134" w:hanging="1134"/>
        <w:jc w:val="both"/>
        <w:rPr>
          <w:rFonts w:ascii="Arial" w:hAnsi="Arial"/>
        </w:rPr>
      </w:pPr>
    </w:p>
    <w:p w:rsidR="004C5F99" w:rsidRDefault="004C5F99">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 xml:space="preserve">Nota 6. </w:t>
      </w:r>
      <w:r>
        <w:rPr>
          <w:rFonts w:ascii="Arial" w:hAnsi="Arial"/>
          <w:b/>
        </w:rPr>
        <w:tab/>
        <w:t>Composición d</w:t>
      </w:r>
      <w:r w:rsidR="00867516">
        <w:rPr>
          <w:rFonts w:ascii="Arial" w:hAnsi="Arial"/>
          <w:b/>
        </w:rPr>
        <w:t>e los Estados Contables (Continuación)</w:t>
      </w:r>
    </w:p>
    <w:p w:rsidR="004B2457" w:rsidRDefault="004B2457">
      <w:pPr>
        <w:tabs>
          <w:tab w:val="left" w:pos="1134"/>
        </w:tabs>
        <w:ind w:left="1134" w:hanging="1134"/>
        <w:jc w:val="both"/>
        <w:rPr>
          <w:rFonts w:ascii="Arial" w:hAnsi="Arial"/>
          <w:b/>
        </w:rPr>
      </w:pPr>
    </w:p>
    <w:p w:rsidR="004B2457" w:rsidRDefault="004B2457">
      <w:pPr>
        <w:tabs>
          <w:tab w:val="left" w:pos="1134"/>
        </w:tabs>
        <w:ind w:left="1134" w:hanging="1134"/>
        <w:jc w:val="both"/>
        <w:rPr>
          <w:rFonts w:ascii="Arial" w:hAnsi="Arial"/>
          <w:b/>
        </w:rPr>
      </w:pPr>
    </w:p>
    <w:p w:rsidR="00ED4571" w:rsidRDefault="00ED4571" w:rsidP="000759CA">
      <w:pPr>
        <w:tabs>
          <w:tab w:val="left" w:pos="1134"/>
        </w:tabs>
        <w:ind w:left="2268" w:hanging="1134"/>
        <w:jc w:val="both"/>
        <w:rPr>
          <w:rFonts w:ascii="Arial" w:hAnsi="Arial"/>
          <w:b/>
        </w:rPr>
      </w:pPr>
    </w:p>
    <w:p w:rsidR="00A270C0" w:rsidRDefault="00506D66" w:rsidP="00E945D8">
      <w:pPr>
        <w:tabs>
          <w:tab w:val="left" w:pos="1134"/>
        </w:tabs>
        <w:ind w:left="2268" w:hanging="1134"/>
        <w:jc w:val="both"/>
        <w:rPr>
          <w:rFonts w:ascii="Arial" w:hAnsi="Arial"/>
          <w:b/>
        </w:rPr>
      </w:pPr>
      <w:r>
        <w:rPr>
          <w:rFonts w:ascii="Arial" w:hAnsi="Arial"/>
          <w:b/>
        </w:rPr>
        <w:pict>
          <v:shape id="_x0000_i1029" type="#_x0000_t75" style="width:410.95pt;height:445.15pt">
            <v:imagedata r:id="rId20" o:title=""/>
          </v:shape>
        </w:pict>
      </w:r>
      <w:r w:rsidR="00A270C0">
        <w:rPr>
          <w:rFonts w:ascii="Arial" w:hAnsi="Arial"/>
        </w:rPr>
        <w:br w:type="page"/>
      </w:r>
    </w:p>
    <w:p w:rsidR="004765B2" w:rsidRDefault="004765B2">
      <w:pPr>
        <w:tabs>
          <w:tab w:val="left" w:pos="1134"/>
        </w:tabs>
        <w:jc w:val="center"/>
        <w:rPr>
          <w:rFonts w:ascii="Arial" w:hAnsi="Arial"/>
          <w:b/>
        </w:rPr>
      </w:pPr>
    </w:p>
    <w:p w:rsidR="00A270C0" w:rsidRDefault="00A270C0">
      <w:pPr>
        <w:tabs>
          <w:tab w:val="left" w:pos="1134"/>
        </w:tabs>
        <w:jc w:val="center"/>
        <w:rPr>
          <w:rFonts w:ascii="Arial" w:hAnsi="Arial"/>
          <w:b/>
        </w:rPr>
      </w:pPr>
      <w:r>
        <w:rPr>
          <w:rFonts w:ascii="Arial" w:hAnsi="Arial"/>
          <w:b/>
        </w:rPr>
        <w:t>NOTAS A LOS ESTADOS CONTABLES (Continuación)</w:t>
      </w:r>
    </w:p>
    <w:p w:rsidR="004765B2" w:rsidRDefault="004765B2">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r>
        <w:rPr>
          <w:rFonts w:ascii="Arial" w:hAnsi="Arial"/>
          <w:b/>
        </w:rPr>
        <w:t xml:space="preserve">Nota 6. </w:t>
      </w:r>
      <w:r>
        <w:rPr>
          <w:rFonts w:ascii="Arial" w:hAnsi="Arial"/>
          <w:b/>
        </w:rPr>
        <w:tab/>
        <w:t>Composición de los Estados Contables (Continuación)</w:t>
      </w: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506D66" w:rsidP="004C5F99">
      <w:pPr>
        <w:tabs>
          <w:tab w:val="left" w:pos="1134"/>
        </w:tabs>
        <w:ind w:left="2268" w:hanging="1134"/>
        <w:jc w:val="both"/>
        <w:rPr>
          <w:rFonts w:ascii="Arial" w:hAnsi="Arial"/>
          <w:b/>
        </w:rPr>
      </w:pPr>
      <w:r>
        <w:rPr>
          <w:rFonts w:ascii="Arial" w:hAnsi="Arial"/>
          <w:b/>
        </w:rPr>
        <w:pict>
          <v:shape id="_x0000_i1030" type="#_x0000_t75" style="width:410.95pt;height:149.25pt">
            <v:imagedata r:id="rId21" o:title=""/>
          </v:shape>
        </w:pict>
      </w:r>
    </w:p>
    <w:p w:rsidR="004C5F99" w:rsidRDefault="004C5F99">
      <w:pPr>
        <w:tabs>
          <w:tab w:val="left" w:pos="1134"/>
        </w:tabs>
        <w:ind w:left="1134" w:hanging="1134"/>
        <w:jc w:val="both"/>
        <w:rPr>
          <w:rFonts w:ascii="Arial" w:hAnsi="Arial"/>
          <w:b/>
        </w:rPr>
      </w:pPr>
    </w:p>
    <w:p w:rsidR="004C5F99" w:rsidRDefault="004C5F99">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 xml:space="preserve">Nota 7. </w:t>
      </w:r>
      <w:r>
        <w:rPr>
          <w:rFonts w:ascii="Arial" w:hAnsi="Arial"/>
          <w:b/>
        </w:rPr>
        <w:tab/>
        <w:t xml:space="preserve">Saldos con las sociedades participantes. </w:t>
      </w:r>
    </w:p>
    <w:p w:rsidR="00F9087A" w:rsidRDefault="00F9087A">
      <w:pPr>
        <w:tabs>
          <w:tab w:val="left" w:pos="1134"/>
        </w:tabs>
        <w:ind w:left="1134" w:hanging="1134"/>
        <w:jc w:val="both"/>
        <w:rPr>
          <w:rFonts w:ascii="Arial" w:hAnsi="Arial"/>
          <w:b/>
        </w:rPr>
      </w:pPr>
    </w:p>
    <w:p w:rsidR="00A270C0" w:rsidRDefault="00506D66" w:rsidP="004B2457">
      <w:pPr>
        <w:tabs>
          <w:tab w:val="left" w:pos="709"/>
          <w:tab w:val="left" w:pos="1134"/>
        </w:tabs>
        <w:ind w:left="3970" w:hanging="1134"/>
        <w:jc w:val="both"/>
        <w:rPr>
          <w:rFonts w:ascii="Arial" w:hAnsi="Arial"/>
        </w:rPr>
      </w:pPr>
      <w:r>
        <w:rPr>
          <w:rFonts w:ascii="Arial" w:hAnsi="Arial"/>
          <w:noProof/>
        </w:rPr>
        <w:pict>
          <v:shape id="_x0000_s1248" type="#_x0000_t75" style="position:absolute;left:0;text-align:left;margin-left:0;margin-top:.3pt;width:343.2pt;height:221.05pt;z-index:251774976;mso-position-horizontal:center;mso-position-horizontal-relative:text;mso-position-vertical:absolute;mso-position-vertical-relative:text">
            <v:imagedata r:id="rId22" o:title=""/>
            <w10:wrap type="square"/>
          </v:shape>
        </w:pict>
      </w:r>
    </w:p>
    <w:p w:rsidR="00A270C0" w:rsidRDefault="00A270C0">
      <w:pPr>
        <w:jc w:val="both"/>
        <w:rPr>
          <w:rFonts w:ascii="Arial" w:hAnsi="Arial"/>
          <w:b/>
        </w:rPr>
      </w:pPr>
    </w:p>
    <w:p w:rsidR="00CA744F" w:rsidRDefault="00CA744F">
      <w:pPr>
        <w:tabs>
          <w:tab w:val="left" w:pos="1134"/>
        </w:tabs>
        <w:ind w:left="1134" w:hanging="1134"/>
        <w:jc w:val="both"/>
        <w:rPr>
          <w:rFonts w:ascii="Arial" w:hAnsi="Arial"/>
          <w:b/>
        </w:rPr>
      </w:pPr>
    </w:p>
    <w:p w:rsidR="00CA744F" w:rsidRDefault="00CA744F">
      <w:pPr>
        <w:tabs>
          <w:tab w:val="left" w:pos="1134"/>
        </w:tabs>
        <w:ind w:left="1134" w:hanging="1134"/>
        <w:jc w:val="both"/>
        <w:rPr>
          <w:rFonts w:ascii="Arial" w:hAnsi="Arial"/>
          <w:b/>
        </w:rPr>
      </w:pPr>
    </w:p>
    <w:p w:rsidR="00CA744F" w:rsidRDefault="00CA744F">
      <w:pPr>
        <w:tabs>
          <w:tab w:val="left" w:pos="1134"/>
        </w:tabs>
        <w:ind w:left="1134" w:hanging="1134"/>
        <w:jc w:val="both"/>
        <w:rPr>
          <w:rFonts w:ascii="Arial" w:hAnsi="Arial"/>
          <w:b/>
        </w:rPr>
      </w:pPr>
    </w:p>
    <w:p w:rsidR="00CA744F" w:rsidRDefault="00CA744F">
      <w:pPr>
        <w:tabs>
          <w:tab w:val="left" w:pos="1134"/>
        </w:tabs>
        <w:ind w:left="1134" w:hanging="1134"/>
        <w:jc w:val="both"/>
        <w:rPr>
          <w:rFonts w:ascii="Arial" w:hAnsi="Arial"/>
          <w:b/>
        </w:rPr>
      </w:pPr>
    </w:p>
    <w:p w:rsidR="00A270C0" w:rsidRDefault="00A270C0">
      <w:pPr>
        <w:tabs>
          <w:tab w:val="left" w:pos="1134"/>
        </w:tabs>
        <w:rPr>
          <w:rFonts w:ascii="Arial" w:hAnsi="Arial"/>
        </w:rPr>
      </w:pPr>
    </w:p>
    <w:p w:rsidR="000759CA" w:rsidRDefault="000759CA">
      <w:pPr>
        <w:rPr>
          <w:rFonts w:ascii="Arial" w:hAnsi="Arial"/>
        </w:rPr>
      </w:pPr>
      <w:r>
        <w:rPr>
          <w:rFonts w:ascii="Arial" w:hAnsi="Arial"/>
        </w:rPr>
        <w:br w:type="page"/>
      </w:r>
    </w:p>
    <w:p w:rsidR="004C5F99" w:rsidRDefault="004C5F99" w:rsidP="004C5F99">
      <w:pPr>
        <w:tabs>
          <w:tab w:val="left" w:pos="1134"/>
        </w:tabs>
        <w:jc w:val="center"/>
        <w:rPr>
          <w:rFonts w:ascii="Arial" w:hAnsi="Arial"/>
          <w:b/>
        </w:rPr>
      </w:pPr>
    </w:p>
    <w:p w:rsidR="004C5F99" w:rsidRDefault="004C5F99" w:rsidP="004C5F99">
      <w:pPr>
        <w:tabs>
          <w:tab w:val="left" w:pos="1134"/>
        </w:tabs>
        <w:jc w:val="center"/>
        <w:rPr>
          <w:rFonts w:ascii="Arial" w:hAnsi="Arial"/>
          <w:b/>
        </w:rPr>
      </w:pPr>
    </w:p>
    <w:p w:rsidR="004C5F99" w:rsidRDefault="004C5F99" w:rsidP="004C5F99">
      <w:pPr>
        <w:tabs>
          <w:tab w:val="left" w:pos="1134"/>
        </w:tabs>
        <w:jc w:val="center"/>
        <w:rPr>
          <w:rFonts w:ascii="Arial" w:hAnsi="Arial"/>
          <w:b/>
        </w:rPr>
      </w:pPr>
      <w:r>
        <w:rPr>
          <w:rFonts w:ascii="Arial" w:hAnsi="Arial"/>
          <w:b/>
        </w:rPr>
        <w:t>NOTAS A LOS ESTADOS CONTABLES (Continuación)</w:t>
      </w:r>
    </w:p>
    <w:p w:rsidR="004C5F99" w:rsidRDefault="004C5F99" w:rsidP="004C5F99">
      <w:pPr>
        <w:tabs>
          <w:tab w:val="left" w:pos="1134"/>
        </w:tabs>
        <w:ind w:left="1134" w:hanging="1134"/>
        <w:jc w:val="both"/>
        <w:rPr>
          <w:rFonts w:ascii="Arial" w:hAnsi="Arial"/>
          <w:b/>
        </w:rPr>
      </w:pPr>
    </w:p>
    <w:p w:rsidR="004C5F99" w:rsidRDefault="004C5F99" w:rsidP="004C5F99">
      <w:pPr>
        <w:ind w:left="1134" w:hanging="1134"/>
        <w:jc w:val="both"/>
        <w:rPr>
          <w:rFonts w:ascii="Arial" w:hAnsi="Arial"/>
          <w:b/>
        </w:rPr>
      </w:pPr>
    </w:p>
    <w:p w:rsidR="004C5F99" w:rsidRDefault="004C5F99" w:rsidP="004C5F99">
      <w:pPr>
        <w:ind w:left="1134" w:hanging="1134"/>
        <w:jc w:val="both"/>
        <w:rPr>
          <w:rFonts w:ascii="Arial" w:hAnsi="Arial"/>
          <w:b/>
        </w:rPr>
      </w:pPr>
    </w:p>
    <w:p w:rsidR="004C5F99" w:rsidRDefault="004C5F99" w:rsidP="004C5F99">
      <w:pPr>
        <w:ind w:left="1134" w:hanging="1134"/>
        <w:jc w:val="both"/>
        <w:rPr>
          <w:rFonts w:ascii="Arial" w:hAnsi="Arial"/>
          <w:b/>
        </w:rPr>
      </w:pPr>
    </w:p>
    <w:p w:rsidR="004C5F99" w:rsidRDefault="004C5F99" w:rsidP="004C5F99">
      <w:pPr>
        <w:ind w:left="1134" w:hanging="1134"/>
        <w:jc w:val="both"/>
        <w:rPr>
          <w:rFonts w:ascii="Arial" w:hAnsi="Arial"/>
          <w:b/>
        </w:rPr>
      </w:pPr>
      <w:r>
        <w:rPr>
          <w:rFonts w:ascii="Arial" w:hAnsi="Arial"/>
          <w:b/>
        </w:rPr>
        <w:t>Nota 8.        Clasificación de saldos de créditos y deudas por plazos de vencimientos.</w:t>
      </w:r>
    </w:p>
    <w:p w:rsidR="004C5F99" w:rsidRDefault="004C5F99" w:rsidP="004C5F99">
      <w:pPr>
        <w:ind w:left="1134" w:hanging="1134"/>
        <w:jc w:val="both"/>
        <w:rPr>
          <w:rFonts w:ascii="Arial" w:hAnsi="Arial"/>
        </w:rPr>
      </w:pPr>
    </w:p>
    <w:p w:rsidR="004C5F99" w:rsidRDefault="004C5F99" w:rsidP="004C5F99">
      <w:pPr>
        <w:rPr>
          <w:rFonts w:ascii="Arial" w:hAnsi="Arial"/>
        </w:rPr>
      </w:pPr>
    </w:p>
    <w:p w:rsidR="004C5F99" w:rsidRDefault="00506D66" w:rsidP="004C5F99">
      <w:pPr>
        <w:tabs>
          <w:tab w:val="left" w:pos="1134"/>
        </w:tabs>
        <w:ind w:left="1134" w:hanging="1134"/>
        <w:rPr>
          <w:rFonts w:ascii="Arial" w:hAnsi="Arial"/>
          <w:b/>
        </w:rPr>
      </w:pPr>
      <w:r>
        <w:rPr>
          <w:rFonts w:ascii="Arial" w:hAnsi="Arial"/>
          <w:b/>
          <w:noProof/>
        </w:rPr>
        <w:pict>
          <v:shape id="_x0000_s1240" type="#_x0000_t75" style="position:absolute;left:0;text-align:left;margin-left:1060.8pt;margin-top:.3pt;width:404.8pt;height:149.25pt;z-index:251770880;mso-position-horizontal:right;mso-position-horizontal-relative:text;mso-position-vertical:absolute;mso-position-vertical-relative:text">
            <v:imagedata r:id="rId23" o:title=""/>
            <w10:wrap type="square"/>
          </v:shape>
        </w:pict>
      </w: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A270C0" w:rsidRDefault="00A270C0">
      <w:pPr>
        <w:tabs>
          <w:tab w:val="left" w:pos="1134"/>
        </w:tabs>
        <w:rPr>
          <w:rFonts w:ascii="Arial" w:hAnsi="Arial"/>
        </w:rPr>
      </w:pPr>
    </w:p>
    <w:p w:rsidR="000759CA" w:rsidRDefault="000759CA">
      <w:pPr>
        <w:tabs>
          <w:tab w:val="left" w:pos="1134"/>
        </w:tabs>
        <w:rPr>
          <w:rFonts w:ascii="Arial" w:hAnsi="Arial"/>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F41F3D" w:rsidRDefault="00F41F3D"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u w:val="single"/>
        </w:rPr>
      </w:pPr>
      <w:r>
        <w:rPr>
          <w:rFonts w:ascii="Arial" w:hAnsi="Arial"/>
          <w:b/>
        </w:rPr>
        <w:t>Nota 9.</w:t>
      </w:r>
      <w:r>
        <w:rPr>
          <w:rFonts w:ascii="Arial" w:hAnsi="Arial"/>
          <w:b/>
        </w:rPr>
        <w:tab/>
        <w:t xml:space="preserve">Hechos posteriores. </w:t>
      </w:r>
    </w:p>
    <w:p w:rsidR="004C5F99" w:rsidRDefault="004C5F99" w:rsidP="004C5F99">
      <w:pPr>
        <w:tabs>
          <w:tab w:val="left" w:pos="1134"/>
        </w:tabs>
        <w:ind w:left="2268" w:hanging="1134"/>
        <w:jc w:val="both"/>
        <w:rPr>
          <w:rFonts w:ascii="Arial" w:hAnsi="Arial"/>
          <w:b/>
        </w:rPr>
      </w:pPr>
    </w:p>
    <w:p w:rsidR="004C5F99" w:rsidRDefault="004C5F99" w:rsidP="004C5F99">
      <w:pPr>
        <w:tabs>
          <w:tab w:val="left" w:pos="1134"/>
        </w:tabs>
        <w:ind w:left="1134"/>
        <w:jc w:val="both"/>
        <w:rPr>
          <w:rFonts w:ascii="Arial" w:hAnsi="Arial"/>
          <w:b/>
          <w:u w:val="single"/>
        </w:rPr>
      </w:pPr>
      <w:r>
        <w:rPr>
          <w:rFonts w:ascii="Arial" w:hAnsi="Arial"/>
        </w:rPr>
        <w:t xml:space="preserve">Desde el 31 de </w:t>
      </w:r>
      <w:r w:rsidR="00F41F3D">
        <w:rPr>
          <w:rFonts w:ascii="Arial" w:hAnsi="Arial"/>
        </w:rPr>
        <w:t>Marzo</w:t>
      </w:r>
      <w:r>
        <w:rPr>
          <w:rFonts w:ascii="Arial" w:hAnsi="Arial"/>
        </w:rPr>
        <w:t xml:space="preserve"> de 201</w:t>
      </w:r>
      <w:r w:rsidR="00F41F3D">
        <w:rPr>
          <w:rFonts w:ascii="Arial" w:hAnsi="Arial"/>
        </w:rPr>
        <w:t>9</w:t>
      </w:r>
      <w:r>
        <w:rPr>
          <w:rFonts w:ascii="Arial" w:hAnsi="Arial"/>
        </w:rPr>
        <w:t xml:space="preserve"> y hasta el </w:t>
      </w:r>
      <w:r w:rsidR="002728B8">
        <w:rPr>
          <w:rFonts w:ascii="Arial" w:hAnsi="Arial"/>
        </w:rPr>
        <w:t>0</w:t>
      </w:r>
      <w:r w:rsidR="00F41F3D">
        <w:rPr>
          <w:rFonts w:ascii="Arial" w:hAnsi="Arial"/>
        </w:rPr>
        <w:t>7</w:t>
      </w:r>
      <w:r>
        <w:rPr>
          <w:rFonts w:ascii="Arial" w:hAnsi="Arial"/>
        </w:rPr>
        <w:t xml:space="preserve"> de </w:t>
      </w:r>
      <w:r w:rsidR="002728B8">
        <w:rPr>
          <w:rFonts w:ascii="Arial" w:hAnsi="Arial"/>
        </w:rPr>
        <w:t>Ma</w:t>
      </w:r>
      <w:r w:rsidR="00F41F3D">
        <w:rPr>
          <w:rFonts w:ascii="Arial" w:hAnsi="Arial"/>
        </w:rPr>
        <w:t>y</w:t>
      </w:r>
      <w:r w:rsidR="002728B8">
        <w:rPr>
          <w:rFonts w:ascii="Arial" w:hAnsi="Arial"/>
        </w:rPr>
        <w:t>o</w:t>
      </w:r>
      <w:r>
        <w:rPr>
          <w:rFonts w:ascii="Arial" w:hAnsi="Arial"/>
        </w:rPr>
        <w:t xml:space="preserve"> de 201</w:t>
      </w:r>
      <w:r w:rsidR="00DD0716">
        <w:rPr>
          <w:rFonts w:ascii="Arial" w:hAnsi="Arial"/>
        </w:rPr>
        <w:t>9</w:t>
      </w:r>
      <w:r>
        <w:rPr>
          <w:rFonts w:ascii="Arial" w:hAnsi="Arial"/>
        </w:rPr>
        <w:t>, no se han producido hechos, situaciones o circunstancias que modifiquen o puedan incidir significativamente sobre la situación patrimonial, económica o financiera de la UTE.</w:t>
      </w:r>
    </w:p>
    <w:p w:rsidR="000759CA" w:rsidRDefault="000759CA">
      <w:pPr>
        <w:tabs>
          <w:tab w:val="left" w:pos="1134"/>
        </w:tabs>
        <w:rPr>
          <w:rFonts w:ascii="Arial" w:hAnsi="Arial"/>
        </w:rPr>
      </w:pPr>
    </w:p>
    <w:p w:rsidR="000759CA" w:rsidRDefault="000759CA">
      <w:pPr>
        <w:tabs>
          <w:tab w:val="left" w:pos="1134"/>
        </w:tabs>
        <w:rPr>
          <w:rFonts w:ascii="Arial" w:hAnsi="Arial"/>
        </w:rPr>
      </w:pPr>
    </w:p>
    <w:p w:rsidR="000759CA" w:rsidRDefault="000759CA">
      <w:pPr>
        <w:tabs>
          <w:tab w:val="left" w:pos="1134"/>
        </w:tabs>
        <w:rPr>
          <w:rFonts w:ascii="Arial" w:hAnsi="Arial"/>
        </w:rPr>
      </w:pPr>
    </w:p>
    <w:p w:rsidR="000759CA" w:rsidRDefault="000759CA">
      <w:pPr>
        <w:tabs>
          <w:tab w:val="left" w:pos="1134"/>
        </w:tabs>
        <w:rPr>
          <w:rFonts w:ascii="Arial" w:hAnsi="Arial"/>
        </w:rPr>
      </w:pPr>
    </w:p>
    <w:p w:rsidR="000759CA" w:rsidRDefault="000759CA">
      <w:pPr>
        <w:tabs>
          <w:tab w:val="left" w:pos="1134"/>
        </w:tabs>
        <w:rPr>
          <w:rFonts w:ascii="Arial" w:hAnsi="Arial"/>
        </w:rPr>
        <w:sectPr w:rsidR="000759CA">
          <w:footnotePr>
            <w:numRestart w:val="eachSect"/>
          </w:footnotePr>
          <w:pgSz w:w="11907" w:h="16840" w:code="9"/>
          <w:pgMar w:top="1559" w:right="1531" w:bottom="851" w:left="1531" w:header="720" w:footer="720" w:gutter="0"/>
          <w:cols w:space="720"/>
        </w:sectPr>
      </w:pPr>
    </w:p>
    <w:p w:rsidR="001D4501" w:rsidRDefault="001D4501">
      <w:pPr>
        <w:tabs>
          <w:tab w:val="left" w:pos="1134"/>
        </w:tabs>
        <w:rPr>
          <w:rFonts w:ascii="Arial" w:hAnsi="Arial"/>
        </w:rPr>
      </w:pPr>
    </w:p>
    <w:p w:rsidR="00900DB1" w:rsidRDefault="00900DB1">
      <w:pPr>
        <w:tabs>
          <w:tab w:val="left" w:pos="1134"/>
        </w:tabs>
        <w:rPr>
          <w:rFonts w:ascii="Arial" w:hAnsi="Arial"/>
        </w:rPr>
      </w:pPr>
    </w:p>
    <w:p w:rsidR="00900DB1" w:rsidRDefault="00900DB1">
      <w:pPr>
        <w:tabs>
          <w:tab w:val="left" w:pos="1134"/>
        </w:tabs>
        <w:rPr>
          <w:rFonts w:ascii="Arial" w:hAnsi="Arial"/>
        </w:rPr>
      </w:pPr>
    </w:p>
    <w:p w:rsidR="00900DB1" w:rsidRDefault="00900DB1">
      <w:pPr>
        <w:tabs>
          <w:tab w:val="left" w:pos="1134"/>
        </w:tabs>
        <w:rPr>
          <w:rFonts w:ascii="Arial" w:hAnsi="Arial"/>
        </w:rPr>
      </w:pPr>
    </w:p>
    <w:p w:rsidR="00900DB1" w:rsidRDefault="00506D66">
      <w:pPr>
        <w:tabs>
          <w:tab w:val="left" w:pos="1134"/>
        </w:tabs>
        <w:rPr>
          <w:rFonts w:ascii="Arial" w:hAnsi="Arial"/>
        </w:rPr>
      </w:pPr>
      <w:r>
        <w:rPr>
          <w:rFonts w:ascii="Arial" w:hAnsi="Arial"/>
          <w:noProof/>
        </w:rPr>
        <w:pict>
          <v:shape id="_x0000_s1267" type="#_x0000_t75" style="position:absolute;margin-left:0;margin-top:.55pt;width:666.45pt;height:247.6pt;z-index:251799552;mso-position-horizontal:center;mso-position-horizontal-relative:text;mso-position-vertical:absolute;mso-position-vertical-relative:text">
            <v:imagedata r:id="rId24" o:title=""/>
            <w10:wrap type="square"/>
          </v:shape>
        </w:pict>
      </w:r>
    </w:p>
    <w:p w:rsidR="00900DB1" w:rsidRDefault="00900DB1">
      <w:pPr>
        <w:tabs>
          <w:tab w:val="left" w:pos="1134"/>
        </w:tabs>
        <w:rPr>
          <w:rFonts w:ascii="Arial" w:hAnsi="Arial"/>
        </w:rPr>
      </w:pPr>
    </w:p>
    <w:p w:rsidR="00900DB1" w:rsidRDefault="00900DB1">
      <w:pPr>
        <w:tabs>
          <w:tab w:val="left" w:pos="1134"/>
        </w:tabs>
        <w:rPr>
          <w:rFonts w:ascii="Arial" w:hAnsi="Arial"/>
        </w:rPr>
      </w:pPr>
    </w:p>
    <w:p w:rsidR="00900DB1" w:rsidRDefault="00900DB1">
      <w:pPr>
        <w:tabs>
          <w:tab w:val="left" w:pos="1134"/>
        </w:tabs>
        <w:rPr>
          <w:rFonts w:ascii="Arial" w:hAnsi="Arial"/>
        </w:rPr>
        <w:sectPr w:rsidR="00900DB1" w:rsidSect="001D4501">
          <w:footnotePr>
            <w:numRestart w:val="eachSect"/>
          </w:footnotePr>
          <w:pgSz w:w="16840" w:h="11907" w:orient="landscape" w:code="9"/>
          <w:pgMar w:top="1531" w:right="2268" w:bottom="1531" w:left="851" w:header="720" w:footer="720" w:gutter="0"/>
          <w:cols w:space="720"/>
          <w:docGrid w:linePitch="272"/>
        </w:sectPr>
      </w:pPr>
    </w:p>
    <w:p w:rsidR="00521893" w:rsidRDefault="00521893">
      <w:pPr>
        <w:tabs>
          <w:tab w:val="left" w:pos="1134"/>
        </w:tabs>
        <w:rPr>
          <w:rFonts w:ascii="Arial" w:hAnsi="Arial"/>
        </w:rPr>
      </w:pPr>
    </w:p>
    <w:p w:rsidR="009213CC" w:rsidRDefault="009213CC">
      <w:pPr>
        <w:tabs>
          <w:tab w:val="left" w:pos="1134"/>
        </w:tabs>
        <w:rPr>
          <w:rFonts w:ascii="Arial" w:hAnsi="Arial"/>
        </w:rPr>
      </w:pPr>
    </w:p>
    <w:p w:rsidR="001D4501" w:rsidRDefault="001D4501">
      <w:pPr>
        <w:tabs>
          <w:tab w:val="left" w:pos="1134"/>
        </w:tabs>
        <w:rPr>
          <w:rFonts w:ascii="Arial" w:hAnsi="Arial"/>
        </w:rPr>
      </w:pPr>
    </w:p>
    <w:p w:rsidR="005275BF" w:rsidRDefault="005275BF">
      <w:pPr>
        <w:tabs>
          <w:tab w:val="left" w:pos="1134"/>
        </w:tabs>
        <w:rPr>
          <w:rFonts w:ascii="Arial" w:hAnsi="Arial"/>
        </w:rPr>
      </w:pPr>
    </w:p>
    <w:p w:rsidR="005275BF" w:rsidRDefault="005275BF">
      <w:pPr>
        <w:tabs>
          <w:tab w:val="left" w:pos="1134"/>
        </w:tabs>
        <w:rPr>
          <w:rFonts w:ascii="Arial" w:hAnsi="Arial"/>
        </w:rPr>
      </w:pPr>
    </w:p>
    <w:p w:rsidR="005275BF" w:rsidRDefault="005275BF">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506D66">
      <w:pPr>
        <w:tabs>
          <w:tab w:val="left" w:pos="1134"/>
        </w:tabs>
        <w:rPr>
          <w:rFonts w:ascii="Arial" w:hAnsi="Arial"/>
        </w:rPr>
      </w:pPr>
      <w:r>
        <w:rPr>
          <w:rFonts w:ascii="Arial" w:hAnsi="Arial"/>
        </w:rPr>
        <w:pict>
          <v:shape id="_x0000_i1031" type="#_x0000_t75" style="width:472.4pt;height:256.4pt">
            <v:imagedata r:id="rId25" o:title=""/>
          </v:shape>
        </w:pict>
      </w: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F73B9" w:rsidRDefault="001F73B9" w:rsidP="001D4501">
      <w:pPr>
        <w:tabs>
          <w:tab w:val="left" w:pos="1134"/>
        </w:tabs>
        <w:rPr>
          <w:rFonts w:ascii="Arial" w:hAnsi="Arial"/>
        </w:rPr>
      </w:pPr>
    </w:p>
    <w:p w:rsidR="005275BF" w:rsidRDefault="005275BF" w:rsidP="001D4501">
      <w:pPr>
        <w:tabs>
          <w:tab w:val="left" w:pos="1134"/>
        </w:tabs>
        <w:rPr>
          <w:rFonts w:ascii="Arial" w:hAnsi="Arial"/>
        </w:rPr>
      </w:pPr>
    </w:p>
    <w:p w:rsidR="005275BF" w:rsidRDefault="005275BF" w:rsidP="001D4501">
      <w:pPr>
        <w:tabs>
          <w:tab w:val="left" w:pos="1134"/>
        </w:tabs>
        <w:rPr>
          <w:rFonts w:ascii="Arial" w:hAnsi="Arial"/>
        </w:rPr>
      </w:pPr>
    </w:p>
    <w:p w:rsidR="005275BF" w:rsidRDefault="005275BF" w:rsidP="001D4501">
      <w:pPr>
        <w:tabs>
          <w:tab w:val="left" w:pos="1134"/>
        </w:tabs>
        <w:rPr>
          <w:rFonts w:ascii="Arial" w:hAnsi="Arial"/>
        </w:rPr>
      </w:pPr>
    </w:p>
    <w:p w:rsidR="001F73B9" w:rsidRDefault="001F73B9" w:rsidP="001D4501">
      <w:pPr>
        <w:tabs>
          <w:tab w:val="left" w:pos="1134"/>
        </w:tabs>
        <w:rPr>
          <w:rFonts w:ascii="Arial" w:hAnsi="Arial"/>
        </w:rPr>
        <w:sectPr w:rsidR="001F73B9" w:rsidSect="005275BF">
          <w:footnotePr>
            <w:numRestart w:val="eachSect"/>
          </w:footnotePr>
          <w:pgSz w:w="11907" w:h="16840" w:code="9"/>
          <w:pgMar w:top="2268" w:right="1531" w:bottom="851" w:left="1531" w:header="720" w:footer="720" w:gutter="0"/>
          <w:cols w:space="720"/>
          <w:docGrid w:linePitch="272"/>
        </w:sectPr>
      </w:pPr>
    </w:p>
    <w:p w:rsidR="00451E62" w:rsidRDefault="00506D66" w:rsidP="001D4501">
      <w:pPr>
        <w:tabs>
          <w:tab w:val="left" w:pos="1134"/>
        </w:tabs>
        <w:rPr>
          <w:rFonts w:ascii="Arial" w:hAnsi="Arial"/>
          <w:noProof/>
          <w:lang w:eastAsia="es-AR"/>
        </w:rPr>
      </w:pPr>
      <w:r>
        <w:rPr>
          <w:rFonts w:ascii="Arial" w:hAnsi="Arial"/>
          <w:noProof/>
        </w:rPr>
        <w:lastRenderedPageBreak/>
        <w:pict>
          <v:shape id="_x0000_s1266" type="#_x0000_t75" style="position:absolute;margin-left:0;margin-top:0;width:577.75pt;height:322.25pt;z-index:251797504;mso-position-horizontal:center;mso-position-horizontal-relative:text;mso-position-vertical:absolute;mso-position-vertical-relative:text">
            <v:imagedata r:id="rId26" o:title=""/>
            <w10:wrap type="square"/>
          </v:shape>
        </w:pict>
      </w:r>
    </w:p>
    <w:p w:rsidR="00451E62" w:rsidRDefault="00451E62" w:rsidP="001D4501">
      <w:pPr>
        <w:tabs>
          <w:tab w:val="left" w:pos="1134"/>
        </w:tabs>
        <w:rPr>
          <w:rFonts w:ascii="Arial" w:hAnsi="Arial"/>
          <w:noProof/>
          <w:lang w:eastAsia="es-AR"/>
        </w:rPr>
      </w:pPr>
    </w:p>
    <w:p w:rsidR="00451E62" w:rsidRDefault="00451E62" w:rsidP="001D4501">
      <w:pPr>
        <w:tabs>
          <w:tab w:val="left" w:pos="1134"/>
        </w:tabs>
        <w:rPr>
          <w:rFonts w:ascii="Arial" w:hAnsi="Arial"/>
          <w:noProof/>
          <w:lang w:eastAsia="es-AR"/>
        </w:rPr>
      </w:pPr>
    </w:p>
    <w:p w:rsidR="00451E62" w:rsidRDefault="00451E62" w:rsidP="001D4501">
      <w:pPr>
        <w:tabs>
          <w:tab w:val="left" w:pos="1134"/>
        </w:tabs>
        <w:rPr>
          <w:rFonts w:ascii="Arial" w:hAnsi="Arial"/>
        </w:rPr>
      </w:pPr>
    </w:p>
    <w:p w:rsidR="00900DB1" w:rsidRDefault="00900DB1" w:rsidP="001D4501">
      <w:pPr>
        <w:tabs>
          <w:tab w:val="left" w:pos="1134"/>
        </w:tabs>
        <w:rPr>
          <w:rFonts w:ascii="Arial" w:hAnsi="Arial"/>
        </w:rPr>
        <w:sectPr w:rsidR="00900DB1" w:rsidSect="00F41F3D">
          <w:footnotePr>
            <w:numRestart w:val="eachSect"/>
          </w:footnotePr>
          <w:pgSz w:w="16840" w:h="11907" w:orient="landscape" w:code="9"/>
          <w:pgMar w:top="1531" w:right="2268" w:bottom="1531" w:left="851" w:header="720" w:footer="720" w:gutter="0"/>
          <w:cols w:space="720"/>
          <w:docGrid w:linePitch="272"/>
        </w:sectPr>
      </w:pPr>
    </w:p>
    <w:p w:rsidR="00F41F3D" w:rsidRDefault="00F41F3D" w:rsidP="00F41F3D">
      <w:pPr>
        <w:pStyle w:val="Ttulo"/>
        <w:rPr>
          <w:rFonts w:ascii="Arial" w:hAnsi="Arial" w:cs="Arial"/>
          <w:sz w:val="20"/>
        </w:rPr>
      </w:pPr>
      <w:r>
        <w:rPr>
          <w:rFonts w:ascii="Arial" w:hAnsi="Arial" w:cs="Arial"/>
          <w:sz w:val="20"/>
        </w:rPr>
        <w:lastRenderedPageBreak/>
        <w:t>INFORME DE REVISION DEL AUDITOR INDEPENDIENTE SOBRE ESTADOS CONTABLES DE PERIODOS INTERMEDIOS</w:t>
      </w:r>
    </w:p>
    <w:p w:rsidR="00A270C0" w:rsidRDefault="00A270C0">
      <w:pPr>
        <w:jc w:val="both"/>
        <w:rPr>
          <w:rFonts w:ascii="Arial" w:hAnsi="Arial"/>
        </w:rPr>
      </w:pPr>
    </w:p>
    <w:p w:rsidR="00A270C0" w:rsidRDefault="00A270C0">
      <w:pPr>
        <w:jc w:val="both"/>
        <w:rPr>
          <w:rFonts w:ascii="Arial" w:hAnsi="Arial"/>
        </w:rPr>
      </w:pPr>
      <w:r>
        <w:rPr>
          <w:rFonts w:ascii="Arial" w:hAnsi="Arial"/>
        </w:rPr>
        <w:t>Señores Representantes de</w:t>
      </w:r>
    </w:p>
    <w:p w:rsidR="00A270C0" w:rsidRDefault="00900DB1">
      <w:pPr>
        <w:jc w:val="both"/>
        <w:rPr>
          <w:rFonts w:ascii="Arial" w:hAnsi="Arial"/>
        </w:rPr>
      </w:pPr>
      <w:r>
        <w:rPr>
          <w:rFonts w:ascii="Arial" w:hAnsi="Arial"/>
          <w:bCs/>
        </w:rPr>
        <w:t>SUPERCEMENTO S.A.</w:t>
      </w:r>
      <w:r w:rsidR="00980D3A">
        <w:rPr>
          <w:rFonts w:ascii="Arial" w:hAnsi="Arial"/>
          <w:bCs/>
        </w:rPr>
        <w:t>I.C.</w:t>
      </w:r>
      <w:r>
        <w:rPr>
          <w:rFonts w:ascii="Arial" w:hAnsi="Arial"/>
          <w:bCs/>
        </w:rPr>
        <w:t xml:space="preserve"> - </w:t>
      </w:r>
      <w:r w:rsidR="00A270C0">
        <w:rPr>
          <w:rFonts w:ascii="Arial" w:hAnsi="Arial"/>
          <w:bCs/>
        </w:rPr>
        <w:t>DYCASA SOCIEDAD ANONIMA –</w:t>
      </w:r>
      <w:r>
        <w:rPr>
          <w:rFonts w:ascii="Arial" w:hAnsi="Arial"/>
          <w:bCs/>
        </w:rPr>
        <w:t xml:space="preserve"> </w:t>
      </w:r>
      <w:r w:rsidR="00980D3A">
        <w:rPr>
          <w:rFonts w:ascii="Arial" w:hAnsi="Arial"/>
          <w:bCs/>
        </w:rPr>
        <w:t xml:space="preserve">JOSE J. </w:t>
      </w:r>
      <w:r>
        <w:rPr>
          <w:rFonts w:ascii="Arial" w:hAnsi="Arial"/>
          <w:bCs/>
        </w:rPr>
        <w:t xml:space="preserve">CHEDIAK </w:t>
      </w:r>
      <w:r w:rsidR="00A270C0">
        <w:rPr>
          <w:rFonts w:ascii="Arial" w:hAnsi="Arial"/>
          <w:bCs/>
        </w:rPr>
        <w:t>S.A.</w:t>
      </w:r>
      <w:r w:rsidR="00980D3A">
        <w:rPr>
          <w:rFonts w:ascii="Arial" w:hAnsi="Arial"/>
          <w:bCs/>
        </w:rPr>
        <w:t>I.C.</w:t>
      </w:r>
    </w:p>
    <w:p w:rsidR="00A270C0" w:rsidRDefault="00A270C0">
      <w:pPr>
        <w:pStyle w:val="Textoindependiente"/>
        <w:spacing w:line="240" w:lineRule="auto"/>
        <w:rPr>
          <w:rFonts w:ascii="Arial" w:hAnsi="Arial"/>
          <w:b w:val="0"/>
          <w:bCs/>
          <w:sz w:val="20"/>
        </w:rPr>
      </w:pPr>
      <w:r>
        <w:rPr>
          <w:rFonts w:ascii="Arial" w:hAnsi="Arial"/>
          <w:b w:val="0"/>
          <w:bCs/>
          <w:sz w:val="20"/>
        </w:rPr>
        <w:t>UNION TRANSITORIA DE EMPRESAS</w:t>
      </w:r>
    </w:p>
    <w:p w:rsidR="00A270C0" w:rsidRDefault="00A270C0">
      <w:pPr>
        <w:pStyle w:val="Textoindependiente"/>
        <w:spacing w:line="240" w:lineRule="auto"/>
        <w:rPr>
          <w:rFonts w:ascii="Arial" w:hAnsi="Arial"/>
          <w:b w:val="0"/>
          <w:bCs/>
          <w:sz w:val="20"/>
        </w:rPr>
      </w:pPr>
      <w:r>
        <w:rPr>
          <w:rFonts w:ascii="Arial" w:hAnsi="Arial"/>
          <w:b w:val="0"/>
          <w:bCs/>
          <w:sz w:val="20"/>
        </w:rPr>
        <w:t>CUIT Nº 3</w:t>
      </w:r>
      <w:r w:rsidR="00900DB1">
        <w:rPr>
          <w:rFonts w:ascii="Arial" w:hAnsi="Arial"/>
          <w:b w:val="0"/>
          <w:bCs/>
          <w:sz w:val="20"/>
        </w:rPr>
        <w:t>0</w:t>
      </w:r>
      <w:r>
        <w:rPr>
          <w:rFonts w:ascii="Arial" w:hAnsi="Arial"/>
          <w:b w:val="0"/>
          <w:bCs/>
          <w:sz w:val="20"/>
        </w:rPr>
        <w:t>-71</w:t>
      </w:r>
      <w:r w:rsidR="003C6C48">
        <w:rPr>
          <w:rFonts w:ascii="Arial" w:hAnsi="Arial"/>
          <w:b w:val="0"/>
          <w:bCs/>
          <w:sz w:val="20"/>
        </w:rPr>
        <w:t>506935-7</w:t>
      </w:r>
    </w:p>
    <w:p w:rsidR="00A270C0" w:rsidRDefault="00A270C0">
      <w:pPr>
        <w:pStyle w:val="Textoindependiente"/>
        <w:spacing w:line="240" w:lineRule="auto"/>
        <w:rPr>
          <w:rFonts w:ascii="Arial" w:hAnsi="Arial" w:cs="Arial"/>
          <w:b w:val="0"/>
          <w:sz w:val="20"/>
          <w:lang w:val="es-ES"/>
        </w:rPr>
      </w:pPr>
      <w:r>
        <w:rPr>
          <w:rFonts w:ascii="Arial" w:hAnsi="Arial" w:cs="Arial"/>
          <w:b w:val="0"/>
          <w:sz w:val="20"/>
        </w:rPr>
        <w:t xml:space="preserve">Domicilio Legal: </w:t>
      </w:r>
      <w:r w:rsidR="003C6C48">
        <w:rPr>
          <w:rFonts w:ascii="Arial" w:hAnsi="Arial" w:cs="Arial"/>
          <w:b w:val="0"/>
          <w:sz w:val="20"/>
        </w:rPr>
        <w:t>Capitán General Ramón Freire 2265</w:t>
      </w:r>
    </w:p>
    <w:p w:rsidR="00A270C0" w:rsidRDefault="00A270C0">
      <w:pPr>
        <w:pStyle w:val="Textoindependiente"/>
        <w:spacing w:line="240" w:lineRule="auto"/>
        <w:rPr>
          <w:rFonts w:ascii="Arial" w:hAnsi="Arial" w:cs="Arial"/>
          <w:b w:val="0"/>
          <w:sz w:val="20"/>
          <w:lang w:val="es-ES"/>
        </w:rPr>
      </w:pPr>
      <w:r>
        <w:rPr>
          <w:rFonts w:ascii="Arial" w:hAnsi="Arial" w:cs="Arial"/>
          <w:b w:val="0"/>
          <w:sz w:val="20"/>
          <w:u w:val="single"/>
        </w:rPr>
        <w:t>Ciudad Autónoma de Buenos Aires</w:t>
      </w:r>
    </w:p>
    <w:p w:rsidR="00A270C0" w:rsidRDefault="00A270C0">
      <w:pPr>
        <w:spacing w:line="360" w:lineRule="auto"/>
        <w:ind w:firstLine="567"/>
        <w:jc w:val="both"/>
        <w:rPr>
          <w:rFonts w:ascii="Arial" w:hAnsi="Arial"/>
        </w:rPr>
      </w:pPr>
    </w:p>
    <w:p w:rsidR="00A270C0" w:rsidRDefault="00A270C0" w:rsidP="00A270C0">
      <w:pPr>
        <w:spacing w:line="360" w:lineRule="auto"/>
        <w:ind w:firstLine="567"/>
        <w:jc w:val="both"/>
        <w:rPr>
          <w:rFonts w:ascii="Arial" w:hAnsi="Arial"/>
        </w:rPr>
      </w:pPr>
    </w:p>
    <w:p w:rsidR="00F41F3D" w:rsidRDefault="00F41F3D" w:rsidP="00F41F3D">
      <w:pPr>
        <w:jc w:val="both"/>
        <w:rPr>
          <w:rFonts w:ascii="Arial" w:hAnsi="Arial"/>
          <w:b/>
          <w:bCs/>
          <w:u w:val="single"/>
        </w:rPr>
      </w:pPr>
      <w:r>
        <w:rPr>
          <w:rFonts w:ascii="Arial" w:hAnsi="Arial"/>
          <w:b/>
          <w:bCs/>
        </w:rPr>
        <w:t xml:space="preserve">1. </w:t>
      </w:r>
      <w:r>
        <w:rPr>
          <w:rFonts w:ascii="Arial" w:hAnsi="Arial"/>
          <w:b/>
          <w:bCs/>
          <w:u w:val="single"/>
        </w:rPr>
        <w:t>Informe sobre los estados contables de períodos intermedios</w:t>
      </w:r>
    </w:p>
    <w:p w:rsidR="00F41F3D" w:rsidRDefault="00F41F3D" w:rsidP="00A270C0">
      <w:pPr>
        <w:ind w:left="284"/>
        <w:jc w:val="both"/>
        <w:rPr>
          <w:rFonts w:ascii="Arial" w:hAnsi="Arial"/>
        </w:rPr>
      </w:pPr>
    </w:p>
    <w:p w:rsidR="00F41F3D" w:rsidRDefault="00F41F3D" w:rsidP="00F41F3D">
      <w:pPr>
        <w:ind w:left="284"/>
        <w:jc w:val="both"/>
        <w:rPr>
          <w:rFonts w:ascii="Arial" w:hAnsi="Arial"/>
        </w:rPr>
      </w:pPr>
      <w:r>
        <w:rPr>
          <w:rFonts w:ascii="Arial" w:hAnsi="Arial"/>
        </w:rPr>
        <w:t xml:space="preserve">He revisado los estados contables intermedios adjuntos de SUPERCEMENTO S.A. -DYCASA S.A. - CHEDIAK S.A. - UNION TRANSITORIA DE EMPRESAS, </w:t>
      </w:r>
      <w:r>
        <w:rPr>
          <w:rFonts w:ascii="Arial" w:hAnsi="Arial"/>
          <w:bCs/>
        </w:rPr>
        <w:t>que</w:t>
      </w:r>
      <w:r>
        <w:rPr>
          <w:rFonts w:ascii="Arial" w:hAnsi="Arial"/>
        </w:rPr>
        <w:t xml:space="preserve"> comprenden el estado de situación patrimonial intermedio al 31 de Marzo de 2019, los correspondientes estados intermedios de resultados, el estado de cuentas de los socios y el estado de flujo de efectivo correspondientes al período de tres meses finalizados en la fecha mencionada, las notas </w:t>
      </w:r>
      <w:smartTag w:uri="urn:schemas-microsoft-com:office:smarttags" w:element="metricconverter">
        <w:smartTagPr>
          <w:attr w:name="ProductID" w:val="1 a"/>
        </w:smartTagPr>
        <w:r>
          <w:rPr>
            <w:rFonts w:ascii="Arial" w:hAnsi="Arial"/>
          </w:rPr>
          <w:t>1 a</w:t>
        </w:r>
      </w:smartTag>
      <w:r>
        <w:rPr>
          <w:rFonts w:ascii="Arial" w:hAnsi="Arial"/>
        </w:rPr>
        <w:t xml:space="preserve"> 9 y los anexos A, D y F.</w:t>
      </w:r>
    </w:p>
    <w:p w:rsidR="00F41F3D" w:rsidRDefault="00F41F3D" w:rsidP="00F41F3D">
      <w:pPr>
        <w:ind w:left="284"/>
        <w:jc w:val="both"/>
        <w:rPr>
          <w:rFonts w:ascii="Arial" w:hAnsi="Arial"/>
        </w:rPr>
      </w:pPr>
    </w:p>
    <w:p w:rsidR="00F41F3D" w:rsidRDefault="00F41F3D" w:rsidP="00F41F3D">
      <w:pPr>
        <w:ind w:left="284"/>
        <w:jc w:val="both"/>
        <w:rPr>
          <w:rFonts w:ascii="Arial" w:hAnsi="Arial"/>
        </w:rPr>
      </w:pPr>
      <w:r>
        <w:rPr>
          <w:rFonts w:ascii="Arial" w:hAnsi="Arial"/>
        </w:rPr>
        <w:t xml:space="preserve">Las cifras y otra información correspondientes al ejercicio económico terminado el 31 de Diciembre de 2018 y al período de tres meses terminado el 31 de Marzo de 2018  son parte integrante de los estados contables intermedios mencionados precedentemente y se las presenta con el propósito de que se interpreten exclusivamente en relación con las cifras y con la información del período intermedio actual. </w:t>
      </w:r>
    </w:p>
    <w:p w:rsidR="005275BF" w:rsidRDefault="005275BF" w:rsidP="005275BF">
      <w:pPr>
        <w:ind w:left="284"/>
        <w:jc w:val="both"/>
        <w:rPr>
          <w:rFonts w:ascii="Arial" w:hAnsi="Arial"/>
        </w:rPr>
      </w:pPr>
    </w:p>
    <w:p w:rsidR="005275BF" w:rsidRPr="005275BF" w:rsidRDefault="005275BF" w:rsidP="005275BF">
      <w:pPr>
        <w:ind w:left="284"/>
        <w:jc w:val="both"/>
        <w:rPr>
          <w:rFonts w:ascii="Arial" w:hAnsi="Arial"/>
        </w:rPr>
      </w:pPr>
    </w:p>
    <w:p w:rsidR="00A270C0" w:rsidRDefault="00A270C0" w:rsidP="00A270C0">
      <w:pPr>
        <w:ind w:left="284" w:hanging="284"/>
        <w:jc w:val="both"/>
        <w:rPr>
          <w:rFonts w:ascii="Arial" w:hAnsi="Arial"/>
          <w:b/>
          <w:u w:val="single"/>
        </w:rPr>
      </w:pPr>
      <w:r>
        <w:rPr>
          <w:rFonts w:ascii="Arial" w:hAnsi="Arial"/>
          <w:b/>
        </w:rPr>
        <w:t xml:space="preserve">2. </w:t>
      </w:r>
      <w:r>
        <w:rPr>
          <w:rFonts w:ascii="Arial" w:hAnsi="Arial"/>
          <w:b/>
          <w:u w:val="single"/>
        </w:rPr>
        <w:t>Responsabilidad de los representantes legales de la UTE en relación con los estados contables</w:t>
      </w:r>
    </w:p>
    <w:p w:rsidR="00A270C0" w:rsidRDefault="00A270C0" w:rsidP="00A270C0">
      <w:pPr>
        <w:ind w:left="284" w:hanging="284"/>
        <w:jc w:val="both"/>
        <w:rPr>
          <w:rFonts w:ascii="Arial" w:hAnsi="Arial"/>
          <w:b/>
          <w:u w:val="single"/>
        </w:rPr>
      </w:pPr>
    </w:p>
    <w:p w:rsidR="00804874" w:rsidRDefault="00804874" w:rsidP="00804874">
      <w:pPr>
        <w:pStyle w:val="Textodebloque"/>
        <w:ind w:left="426" w:right="141"/>
        <w:rPr>
          <w:rFonts w:ascii="Arial" w:hAnsi="Arial"/>
          <w:sz w:val="20"/>
        </w:rPr>
      </w:pPr>
      <w:r w:rsidRPr="00092DA7">
        <w:rPr>
          <w:rFonts w:ascii="Arial" w:hAnsi="Arial"/>
          <w:sz w:val="20"/>
        </w:rPr>
        <w:t>Los representantes legales son responsables de la preparación y presentación razonable de los estados contables adjuntos de conformidad con las normas contables profesionales argentinas y del control interno que consideren necesario para permitir la preparación de estados contables libres de incorrecciones significativas.</w:t>
      </w:r>
    </w:p>
    <w:p w:rsidR="00804874" w:rsidRPr="00092DA7" w:rsidRDefault="00804874" w:rsidP="00804874">
      <w:pPr>
        <w:pStyle w:val="Textodebloque"/>
        <w:ind w:left="426" w:right="141"/>
        <w:rPr>
          <w:rFonts w:ascii="Arial" w:hAnsi="Arial"/>
          <w:sz w:val="20"/>
        </w:rPr>
      </w:pPr>
    </w:p>
    <w:p w:rsidR="00804874" w:rsidRDefault="00804874" w:rsidP="00804874">
      <w:pPr>
        <w:jc w:val="both"/>
        <w:rPr>
          <w:rFonts w:ascii="Arial" w:hAnsi="Arial"/>
          <w:b/>
        </w:rPr>
      </w:pPr>
    </w:p>
    <w:p w:rsidR="00F3573C" w:rsidRDefault="00F3573C" w:rsidP="00F3573C">
      <w:pPr>
        <w:jc w:val="both"/>
        <w:rPr>
          <w:rFonts w:ascii="Arial" w:hAnsi="Arial"/>
          <w:b/>
          <w:bCs/>
          <w:u w:val="single"/>
        </w:rPr>
      </w:pPr>
      <w:r>
        <w:rPr>
          <w:rFonts w:ascii="Arial" w:hAnsi="Arial"/>
          <w:b/>
          <w:bCs/>
        </w:rPr>
        <w:t xml:space="preserve">3. </w:t>
      </w:r>
      <w:r>
        <w:rPr>
          <w:rFonts w:ascii="Arial" w:hAnsi="Arial"/>
          <w:b/>
          <w:bCs/>
          <w:u w:val="single"/>
        </w:rPr>
        <w:t>Responsabilidad de mi  revisión</w:t>
      </w:r>
    </w:p>
    <w:p w:rsidR="008551DA" w:rsidRPr="00092DA7" w:rsidRDefault="008551DA" w:rsidP="00804874">
      <w:pPr>
        <w:spacing w:line="360" w:lineRule="auto"/>
        <w:jc w:val="both"/>
        <w:rPr>
          <w:rFonts w:ascii="Arial" w:hAnsi="Arial"/>
          <w:b/>
          <w:bCs/>
        </w:rPr>
      </w:pPr>
    </w:p>
    <w:p w:rsidR="00F3573C" w:rsidRDefault="00F3573C" w:rsidP="00F3573C">
      <w:pPr>
        <w:ind w:left="284"/>
        <w:jc w:val="both"/>
        <w:rPr>
          <w:rFonts w:ascii="Arial" w:hAnsi="Arial"/>
        </w:rPr>
      </w:pPr>
      <w:r>
        <w:rPr>
          <w:rFonts w:ascii="Arial" w:hAnsi="Arial"/>
        </w:rPr>
        <w:t xml:space="preserve">Mi revisión se limitó a la aplicación de los procedimientos de auditoria establecidos por </w:t>
      </w:r>
      <w:smartTag w:uri="urn:schemas-microsoft-com:office:smarttags" w:element="PersonName">
        <w:smartTagPr>
          <w:attr w:name="ProductID" w:val="la Resoluci￳n T￩cnica N"/>
        </w:smartTagPr>
        <w:r>
          <w:rPr>
            <w:rFonts w:ascii="Arial" w:hAnsi="Arial"/>
          </w:rPr>
          <w:t>la Resolución Técnica N</w:t>
        </w:r>
      </w:smartTag>
      <w:r>
        <w:rPr>
          <w:rFonts w:ascii="Arial" w:hAnsi="Arial"/>
        </w:rPr>
        <w:t xml:space="preserve">º 37 de </w:t>
      </w:r>
      <w:smartTag w:uri="urn:schemas-microsoft-com:office:smarttags" w:element="PersonName">
        <w:smartTagPr>
          <w:attr w:name="ProductID" w:val="la Federaci￳n Argentina"/>
        </w:smartTagPr>
        <w:r>
          <w:rPr>
            <w:rFonts w:ascii="Arial" w:hAnsi="Arial"/>
          </w:rPr>
          <w:t>la Federación Argentina</w:t>
        </w:r>
      </w:smartTag>
      <w:r>
        <w:rPr>
          <w:rFonts w:ascii="Arial" w:hAnsi="Arial"/>
        </w:rPr>
        <w:t xml:space="preserve"> de Consejos Profesionales de Ciencias Económicas destinadas a la revisión limitada de estados contables de períodos intermedios.</w:t>
      </w:r>
    </w:p>
    <w:p w:rsidR="00F3573C" w:rsidRDefault="00F3573C" w:rsidP="00F3573C">
      <w:pPr>
        <w:ind w:left="284"/>
        <w:jc w:val="both"/>
        <w:rPr>
          <w:rFonts w:ascii="Arial" w:hAnsi="Arial"/>
        </w:rPr>
      </w:pPr>
    </w:p>
    <w:p w:rsidR="00F3573C" w:rsidRDefault="00F3573C" w:rsidP="00F3573C">
      <w:pPr>
        <w:ind w:left="284"/>
        <w:jc w:val="both"/>
        <w:rPr>
          <w:rFonts w:ascii="Arial" w:hAnsi="Arial"/>
        </w:rPr>
      </w:pPr>
      <w:r>
        <w:rPr>
          <w:rFonts w:ascii="Arial" w:hAnsi="Arial"/>
        </w:rPr>
        <w:t>Una revisión de la información contable intermedia consiste en realizar indagaciones, principalmente a las personas responsables de la preparación de la información incluida en los estados contables intermedios y en la realización de procedimientos analíticos y otros procedimientos de revisión. El alcance de esta revisión es sustancialmente inferior al de un examen de auditoria realizado de acuerdo con las normas profesionales vigentes de auditoria Argentina, en consecuencia, una revisión no nos permite obtener seguridad de que tomaremos conocimiento sobre todos los temas significativos que podrían identificarse en una auditoria. Por lo tanto no expreso opinión de auditoria sobre los estados financieros de la UTE.</w:t>
      </w:r>
    </w:p>
    <w:p w:rsidR="00A270C0" w:rsidRDefault="00A270C0">
      <w:pPr>
        <w:pStyle w:val="Encabezado"/>
        <w:spacing w:line="360" w:lineRule="auto"/>
        <w:jc w:val="both"/>
        <w:rPr>
          <w:rFonts w:ascii="Arial" w:hAnsi="Arial"/>
          <w:lang w:val="es-ES"/>
        </w:rPr>
      </w:pPr>
    </w:p>
    <w:p w:rsidR="00F3573C" w:rsidRDefault="00F3573C">
      <w:pPr>
        <w:pStyle w:val="Encabezado"/>
        <w:spacing w:line="360" w:lineRule="auto"/>
        <w:jc w:val="both"/>
        <w:rPr>
          <w:rFonts w:ascii="Arial" w:hAnsi="Arial"/>
          <w:lang w:val="es-ES"/>
        </w:rPr>
      </w:pPr>
    </w:p>
    <w:p w:rsidR="00F3573C" w:rsidRPr="00804874" w:rsidRDefault="00F3573C">
      <w:pPr>
        <w:pStyle w:val="Encabezado"/>
        <w:spacing w:line="360" w:lineRule="auto"/>
        <w:jc w:val="both"/>
        <w:rPr>
          <w:rFonts w:ascii="Arial" w:hAnsi="Arial"/>
          <w:lang w:val="es-ES"/>
        </w:rPr>
      </w:pPr>
    </w:p>
    <w:p w:rsidR="00A270C0" w:rsidRDefault="00A270C0">
      <w:pPr>
        <w:jc w:val="both"/>
        <w:rPr>
          <w:rFonts w:ascii="Arial" w:hAnsi="Arial"/>
          <w:b/>
        </w:rPr>
      </w:pPr>
    </w:p>
    <w:p w:rsidR="00A270C0" w:rsidRDefault="00A270C0">
      <w:pPr>
        <w:jc w:val="both"/>
        <w:rPr>
          <w:rFonts w:ascii="Arial" w:hAnsi="Arial"/>
          <w:b/>
        </w:rPr>
      </w:pPr>
    </w:p>
    <w:p w:rsidR="00A270C0" w:rsidRDefault="00A270C0">
      <w:pPr>
        <w:ind w:right="-227"/>
        <w:jc w:val="center"/>
        <w:rPr>
          <w:rFonts w:ascii="Arial" w:hAnsi="Arial"/>
        </w:rPr>
      </w:pPr>
      <w:r>
        <w:rPr>
          <w:rFonts w:ascii="Arial" w:hAnsi="Arial"/>
        </w:rPr>
        <w:t>Dra. Blanca Ester Rivero</w:t>
      </w:r>
    </w:p>
    <w:p w:rsidR="00A270C0" w:rsidRDefault="00A270C0">
      <w:pPr>
        <w:ind w:right="-227"/>
        <w:jc w:val="center"/>
        <w:rPr>
          <w:rFonts w:ascii="Arial" w:hAnsi="Arial"/>
        </w:rPr>
      </w:pPr>
      <w:r>
        <w:rPr>
          <w:rFonts w:ascii="Arial" w:hAnsi="Arial"/>
        </w:rPr>
        <w:t>Contadora Pública (UBA)</w:t>
      </w:r>
    </w:p>
    <w:p w:rsidR="00A270C0" w:rsidRDefault="00A270C0">
      <w:pPr>
        <w:ind w:right="-227"/>
        <w:jc w:val="center"/>
        <w:rPr>
          <w:rFonts w:ascii="Arial" w:hAnsi="Arial"/>
        </w:rPr>
      </w:pPr>
      <w:r>
        <w:rPr>
          <w:rFonts w:ascii="Arial" w:hAnsi="Arial"/>
        </w:rPr>
        <w:t>C.P.C.E.C.A.B.A. Tº 134 Fº 199</w:t>
      </w:r>
    </w:p>
    <w:p w:rsidR="00A270C0" w:rsidRDefault="00A270C0">
      <w:pPr>
        <w:ind w:right="-227"/>
        <w:rPr>
          <w:rFonts w:ascii="Arial" w:hAnsi="Arial"/>
        </w:rPr>
      </w:pPr>
    </w:p>
    <w:p w:rsidR="00A270C0" w:rsidRDefault="00A270C0">
      <w:pPr>
        <w:jc w:val="both"/>
        <w:rPr>
          <w:rFonts w:ascii="Arial" w:hAnsi="Arial"/>
          <w:b/>
        </w:rPr>
        <w:sectPr w:rsidR="00A270C0">
          <w:footnotePr>
            <w:numRestart w:val="eachSect"/>
          </w:footnotePr>
          <w:pgSz w:w="11907" w:h="16840" w:code="9"/>
          <w:pgMar w:top="1559" w:right="1531" w:bottom="851" w:left="1531" w:header="720" w:footer="720" w:gutter="0"/>
          <w:cols w:space="720"/>
          <w:titlePg/>
        </w:sectPr>
      </w:pPr>
    </w:p>
    <w:p w:rsidR="00A270C0" w:rsidRDefault="00A270C0">
      <w:pPr>
        <w:jc w:val="both"/>
        <w:rPr>
          <w:rFonts w:ascii="Arial" w:hAnsi="Arial"/>
          <w:b/>
        </w:rPr>
      </w:pPr>
    </w:p>
    <w:p w:rsidR="00F3573C" w:rsidRDefault="00F3573C" w:rsidP="00F3573C">
      <w:pPr>
        <w:jc w:val="both"/>
        <w:rPr>
          <w:rFonts w:ascii="Arial" w:hAnsi="Arial" w:cs="Arial"/>
          <w:bCs/>
        </w:rPr>
      </w:pPr>
      <w:bookmarkStart w:id="1" w:name="OLE_LINK2"/>
      <w:r>
        <w:rPr>
          <w:rFonts w:ascii="Arial" w:hAnsi="Arial" w:cs="Arial"/>
          <w:b/>
        </w:rPr>
        <w:t xml:space="preserve">4. </w:t>
      </w:r>
      <w:r>
        <w:rPr>
          <w:rFonts w:ascii="Arial" w:hAnsi="Arial" w:cs="Arial"/>
          <w:b/>
          <w:u w:val="single"/>
        </w:rPr>
        <w:t>Conclusión</w:t>
      </w:r>
    </w:p>
    <w:p w:rsidR="00E44FCB" w:rsidRDefault="00E44FCB" w:rsidP="00E44FCB">
      <w:pPr>
        <w:jc w:val="both"/>
        <w:rPr>
          <w:rFonts w:ascii="Arial" w:hAnsi="Arial" w:cs="Arial"/>
          <w:bCs/>
        </w:rPr>
      </w:pPr>
    </w:p>
    <w:p w:rsidR="00F3573C" w:rsidRDefault="00F3573C" w:rsidP="00F3573C">
      <w:pPr>
        <w:ind w:left="284"/>
        <w:jc w:val="both"/>
        <w:rPr>
          <w:rFonts w:ascii="Arial" w:hAnsi="Arial" w:cs="Arial"/>
          <w:bCs/>
        </w:rPr>
      </w:pPr>
      <w:r>
        <w:rPr>
          <w:rFonts w:ascii="Arial" w:hAnsi="Arial" w:cs="Arial"/>
          <w:bCs/>
        </w:rPr>
        <w:t xml:space="preserve">Sobre la base de mi revisión, nada llamó mi atención que me hiciera pensar que los estados contables intermedios adjuntos de </w:t>
      </w:r>
      <w:r>
        <w:rPr>
          <w:rFonts w:ascii="Arial" w:hAnsi="Arial"/>
        </w:rPr>
        <w:t>SUPERCEMENTO S.A. - DYCASA S.A. - CHEDIAK S.A. - UNION TRANSITORIA DE EMPRESAS - detallados en el párrafo “</w:t>
      </w:r>
      <w:smartTag w:uri="urn:schemas-microsoft-com:office:smarttags" w:element="metricconverter">
        <w:smartTagPr>
          <w:attr w:name="ProductID" w:val="1”"/>
        </w:smartTagPr>
        <w:r>
          <w:rPr>
            <w:rFonts w:ascii="Arial" w:hAnsi="Arial"/>
          </w:rPr>
          <w:t>1”</w:t>
        </w:r>
      </w:smartTag>
      <w:r>
        <w:rPr>
          <w:rFonts w:ascii="Arial" w:hAnsi="Arial"/>
        </w:rPr>
        <w:t>, correspondientes al período de tres meses terminado el 31 de Marzo de 20</w:t>
      </w:r>
      <w:r>
        <w:rPr>
          <w:rFonts w:ascii="Arial" w:hAnsi="Arial" w:cs="Arial"/>
          <w:bCs/>
        </w:rPr>
        <w:t>19 no están presentados en forma razonable, en todos sus aspectos significativos, de acuerdo con las normas contables profesionales argentinas.</w:t>
      </w:r>
    </w:p>
    <w:p w:rsidR="00E44FCB" w:rsidRDefault="00214A93" w:rsidP="00A270C0">
      <w:pPr>
        <w:ind w:left="284"/>
        <w:jc w:val="both"/>
        <w:rPr>
          <w:rFonts w:ascii="Arial" w:hAnsi="Arial" w:cs="Arial"/>
          <w:bCs/>
        </w:rPr>
      </w:pPr>
      <w:r>
        <w:rPr>
          <w:rFonts w:ascii="Arial" w:hAnsi="Arial" w:cs="Arial"/>
        </w:rPr>
        <w:t>.</w:t>
      </w:r>
    </w:p>
    <w:p w:rsidR="00DD0716" w:rsidRDefault="00DD0716" w:rsidP="00DD0716">
      <w:pPr>
        <w:jc w:val="both"/>
        <w:rPr>
          <w:rFonts w:ascii="Arial" w:hAnsi="Arial"/>
          <w:b/>
          <w:bCs/>
          <w:u w:val="single"/>
        </w:rPr>
      </w:pPr>
      <w:r>
        <w:rPr>
          <w:rFonts w:ascii="Arial" w:hAnsi="Arial"/>
          <w:b/>
          <w:bCs/>
        </w:rPr>
        <w:t xml:space="preserve">5.  </w:t>
      </w:r>
      <w:r>
        <w:rPr>
          <w:rFonts w:ascii="Arial" w:hAnsi="Arial"/>
          <w:b/>
          <w:bCs/>
          <w:u w:val="single"/>
        </w:rPr>
        <w:t>Otras cuestiones</w:t>
      </w:r>
    </w:p>
    <w:p w:rsidR="00DD0716" w:rsidRDefault="00DD0716" w:rsidP="00DD0716">
      <w:pPr>
        <w:jc w:val="both"/>
        <w:rPr>
          <w:rFonts w:ascii="Arial" w:hAnsi="Arial"/>
          <w:b/>
          <w:bCs/>
        </w:rPr>
      </w:pPr>
    </w:p>
    <w:p w:rsidR="00F3573C" w:rsidRDefault="00F3573C" w:rsidP="00F3573C">
      <w:pPr>
        <w:ind w:left="284"/>
        <w:jc w:val="both"/>
        <w:rPr>
          <w:rFonts w:ascii="Arial" w:hAnsi="Arial" w:cs="Arial"/>
          <w:bCs/>
        </w:rPr>
      </w:pPr>
      <w:r w:rsidRPr="001E395A">
        <w:rPr>
          <w:rFonts w:ascii="Arial" w:hAnsi="Arial" w:cs="Arial"/>
          <w:bCs/>
        </w:rPr>
        <w:t>Con referencia a los estados contables que dan origen a las cifras comparativas, informo que sobre los estados cont</w:t>
      </w:r>
      <w:r>
        <w:rPr>
          <w:rFonts w:ascii="Arial" w:hAnsi="Arial" w:cs="Arial"/>
          <w:bCs/>
        </w:rPr>
        <w:t>ables al 31 de Diciembre de 2018 y el 31 de Marzo de 2018</w:t>
      </w:r>
      <w:r w:rsidRPr="001E395A">
        <w:rPr>
          <w:rFonts w:ascii="Arial" w:hAnsi="Arial" w:cs="Arial"/>
          <w:bCs/>
        </w:rPr>
        <w:t xml:space="preserve">, emití informe sin salvedades con fecha </w:t>
      </w:r>
      <w:r>
        <w:rPr>
          <w:rFonts w:ascii="Arial" w:hAnsi="Arial" w:cs="Arial"/>
          <w:bCs/>
        </w:rPr>
        <w:t>05 de Marzo de 2019</w:t>
      </w:r>
      <w:r w:rsidRPr="001E395A">
        <w:rPr>
          <w:rFonts w:ascii="Arial" w:hAnsi="Arial" w:cs="Arial"/>
          <w:bCs/>
        </w:rPr>
        <w:t xml:space="preserve"> y el </w:t>
      </w:r>
      <w:r>
        <w:rPr>
          <w:rFonts w:ascii="Arial" w:hAnsi="Arial" w:cs="Arial"/>
          <w:bCs/>
        </w:rPr>
        <w:t>04 de Mayo de 2018</w:t>
      </w:r>
      <w:r w:rsidRPr="001E395A">
        <w:rPr>
          <w:rFonts w:ascii="Arial" w:hAnsi="Arial" w:cs="Arial"/>
          <w:bCs/>
        </w:rPr>
        <w:t xml:space="preserve"> respectivamente</w:t>
      </w:r>
      <w:r>
        <w:rPr>
          <w:rFonts w:ascii="Arial" w:hAnsi="Arial" w:cs="Arial"/>
          <w:bCs/>
        </w:rPr>
        <w:t>.</w:t>
      </w:r>
    </w:p>
    <w:p w:rsidR="00DD0716" w:rsidRDefault="00DD0716" w:rsidP="00DD0716">
      <w:pPr>
        <w:ind w:left="284"/>
        <w:jc w:val="both"/>
        <w:rPr>
          <w:rFonts w:ascii="Arial" w:hAnsi="Arial"/>
        </w:rPr>
      </w:pPr>
    </w:p>
    <w:p w:rsidR="00DD0716" w:rsidRDefault="00DD0716" w:rsidP="00DD0716">
      <w:pPr>
        <w:ind w:left="284"/>
        <w:jc w:val="both"/>
        <w:rPr>
          <w:rFonts w:ascii="Arial" w:hAnsi="Arial" w:cs="Arial"/>
          <w:bCs/>
        </w:rPr>
      </w:pPr>
    </w:p>
    <w:p w:rsidR="00DD0716" w:rsidRPr="00CF79DD" w:rsidRDefault="00DD0716" w:rsidP="00DD0716">
      <w:pPr>
        <w:jc w:val="both"/>
        <w:rPr>
          <w:rFonts w:ascii="Arial" w:hAnsi="Arial" w:cs="Arial"/>
          <w:b/>
        </w:rPr>
      </w:pPr>
      <w:r>
        <w:rPr>
          <w:rFonts w:ascii="Arial" w:hAnsi="Arial" w:cs="Arial"/>
          <w:b/>
        </w:rPr>
        <w:t>6</w:t>
      </w:r>
      <w:r w:rsidRPr="00CF79DD">
        <w:rPr>
          <w:rFonts w:ascii="Arial" w:hAnsi="Arial" w:cs="Arial"/>
          <w:b/>
        </w:rPr>
        <w:t xml:space="preserve">. </w:t>
      </w:r>
      <w:r w:rsidRPr="00BC305E">
        <w:rPr>
          <w:rFonts w:ascii="Arial" w:hAnsi="Arial" w:cs="Arial"/>
          <w:b/>
          <w:u w:val="single"/>
        </w:rPr>
        <w:t xml:space="preserve">Énfasis sobre la </w:t>
      </w:r>
      <w:proofErr w:type="spellStart"/>
      <w:r w:rsidRPr="00BC305E">
        <w:rPr>
          <w:rFonts w:ascii="Arial" w:hAnsi="Arial" w:cs="Arial"/>
          <w:b/>
          <w:u w:val="single"/>
        </w:rPr>
        <w:t>reexpresión</w:t>
      </w:r>
      <w:proofErr w:type="spellEnd"/>
      <w:r w:rsidRPr="00BC305E">
        <w:rPr>
          <w:rFonts w:ascii="Arial" w:hAnsi="Arial" w:cs="Arial"/>
          <w:b/>
          <w:u w:val="single"/>
        </w:rPr>
        <w:t xml:space="preserve"> en Moneda Homogénea de los Estados Contables</w:t>
      </w:r>
    </w:p>
    <w:p w:rsidR="00DD0716" w:rsidRPr="00CF79DD" w:rsidRDefault="00DD0716" w:rsidP="00DD0716">
      <w:pPr>
        <w:jc w:val="both"/>
        <w:rPr>
          <w:rFonts w:ascii="Arial" w:hAnsi="Arial" w:cs="Arial"/>
          <w:b/>
        </w:rPr>
      </w:pPr>
    </w:p>
    <w:p w:rsidR="00DD0716" w:rsidRDefault="00DD0716" w:rsidP="00DD0716">
      <w:pPr>
        <w:ind w:left="284"/>
        <w:jc w:val="both"/>
        <w:rPr>
          <w:rFonts w:ascii="Arial" w:hAnsi="Arial" w:cs="Arial"/>
          <w:bCs/>
        </w:rPr>
      </w:pPr>
      <w:r w:rsidRPr="00F94410">
        <w:rPr>
          <w:rFonts w:ascii="Arial" w:hAnsi="Arial" w:cs="Arial"/>
          <w:bCs/>
        </w:rPr>
        <w:t xml:space="preserve">Sin modificar mi opinión, quiero enfatizar la información contenida en la Nota </w:t>
      </w:r>
      <w:r>
        <w:rPr>
          <w:rFonts w:ascii="Arial" w:hAnsi="Arial" w:cs="Arial"/>
          <w:bCs/>
        </w:rPr>
        <w:t>4</w:t>
      </w:r>
      <w:r w:rsidRPr="00F94410">
        <w:rPr>
          <w:rFonts w:ascii="Arial" w:hAnsi="Arial" w:cs="Arial"/>
          <w:bCs/>
        </w:rPr>
        <w:t xml:space="preserve"> a los estados contables adjuntos donde se describe que </w:t>
      </w:r>
      <w:r>
        <w:rPr>
          <w:rFonts w:ascii="Arial" w:hAnsi="Arial" w:cs="Arial"/>
          <w:bCs/>
        </w:rPr>
        <w:t xml:space="preserve">se ha aplicado </w:t>
      </w:r>
      <w:r w:rsidRPr="00F94410">
        <w:rPr>
          <w:rFonts w:ascii="Arial" w:hAnsi="Arial" w:cs="Arial"/>
          <w:bCs/>
        </w:rPr>
        <w:t xml:space="preserve">el método de </w:t>
      </w:r>
      <w:proofErr w:type="spellStart"/>
      <w:r w:rsidRPr="00F94410">
        <w:rPr>
          <w:rFonts w:ascii="Arial" w:hAnsi="Arial" w:cs="Arial"/>
          <w:bCs/>
        </w:rPr>
        <w:t>reexpresión</w:t>
      </w:r>
      <w:proofErr w:type="spellEnd"/>
      <w:r w:rsidRPr="00F94410">
        <w:rPr>
          <w:rFonts w:ascii="Arial" w:hAnsi="Arial" w:cs="Arial"/>
          <w:bCs/>
        </w:rPr>
        <w:t xml:space="preserve"> descriptos en la nota antes referida, donde se reflejan los ajustes correspondientes en forma </w:t>
      </w:r>
      <w:r w:rsidR="00F3573C">
        <w:rPr>
          <w:rFonts w:ascii="Arial" w:hAnsi="Arial" w:cs="Arial"/>
          <w:bCs/>
        </w:rPr>
        <w:t>retroactiva en el Balance Trimestra</w:t>
      </w:r>
      <w:r w:rsidRPr="00F94410">
        <w:rPr>
          <w:rFonts w:ascii="Arial" w:hAnsi="Arial" w:cs="Arial"/>
          <w:bCs/>
        </w:rPr>
        <w:t xml:space="preserve">l al 31 de </w:t>
      </w:r>
      <w:r w:rsidR="00F3573C">
        <w:rPr>
          <w:rFonts w:ascii="Arial" w:hAnsi="Arial" w:cs="Arial"/>
          <w:bCs/>
        </w:rPr>
        <w:t>Marzo</w:t>
      </w:r>
      <w:r>
        <w:rPr>
          <w:rFonts w:ascii="Arial" w:hAnsi="Arial" w:cs="Arial"/>
          <w:bCs/>
        </w:rPr>
        <w:t xml:space="preserve"> de 2018 y </w:t>
      </w:r>
      <w:r w:rsidR="00F3573C">
        <w:rPr>
          <w:rFonts w:ascii="Arial" w:hAnsi="Arial" w:cs="Arial"/>
          <w:bCs/>
        </w:rPr>
        <w:t xml:space="preserve">el Balance General al </w:t>
      </w:r>
      <w:r>
        <w:rPr>
          <w:rFonts w:ascii="Arial" w:hAnsi="Arial" w:cs="Arial"/>
          <w:bCs/>
        </w:rPr>
        <w:t>31 de D</w:t>
      </w:r>
      <w:r w:rsidRPr="00F94410">
        <w:rPr>
          <w:rFonts w:ascii="Arial" w:hAnsi="Arial" w:cs="Arial"/>
          <w:bCs/>
        </w:rPr>
        <w:t>i</w:t>
      </w:r>
      <w:r>
        <w:rPr>
          <w:rFonts w:ascii="Arial" w:hAnsi="Arial" w:cs="Arial"/>
          <w:bCs/>
        </w:rPr>
        <w:t>c</w:t>
      </w:r>
      <w:r w:rsidRPr="00F94410">
        <w:rPr>
          <w:rFonts w:ascii="Arial" w:hAnsi="Arial" w:cs="Arial"/>
          <w:bCs/>
        </w:rPr>
        <w:t>iembre de 201</w:t>
      </w:r>
      <w:r w:rsidR="00F3573C">
        <w:rPr>
          <w:rFonts w:ascii="Arial" w:hAnsi="Arial" w:cs="Arial"/>
          <w:bCs/>
        </w:rPr>
        <w:t>8</w:t>
      </w:r>
      <w:r>
        <w:rPr>
          <w:rFonts w:ascii="Arial" w:hAnsi="Arial" w:cs="Arial"/>
          <w:bCs/>
        </w:rPr>
        <w:t xml:space="preserve"> siendo </w:t>
      </w:r>
      <w:r w:rsidR="00F3573C">
        <w:rPr>
          <w:rFonts w:ascii="Arial" w:hAnsi="Arial" w:cs="Arial"/>
          <w:bCs/>
        </w:rPr>
        <w:t>ambos</w:t>
      </w:r>
      <w:r>
        <w:rPr>
          <w:rFonts w:ascii="Arial" w:hAnsi="Arial" w:cs="Arial"/>
          <w:bCs/>
        </w:rPr>
        <w:t xml:space="preserve"> </w:t>
      </w:r>
      <w:proofErr w:type="spellStart"/>
      <w:r>
        <w:rPr>
          <w:rFonts w:ascii="Arial" w:hAnsi="Arial" w:cs="Arial"/>
          <w:bCs/>
        </w:rPr>
        <w:t>reexpresad</w:t>
      </w:r>
      <w:r w:rsidR="00F3573C">
        <w:rPr>
          <w:rFonts w:ascii="Arial" w:hAnsi="Arial" w:cs="Arial"/>
          <w:bCs/>
        </w:rPr>
        <w:t>os</w:t>
      </w:r>
      <w:proofErr w:type="spellEnd"/>
      <w:r>
        <w:rPr>
          <w:rFonts w:ascii="Arial" w:hAnsi="Arial" w:cs="Arial"/>
          <w:bCs/>
        </w:rPr>
        <w:t xml:space="preserve"> al 31 de </w:t>
      </w:r>
      <w:r w:rsidR="00F3573C">
        <w:rPr>
          <w:rFonts w:ascii="Arial" w:hAnsi="Arial" w:cs="Arial"/>
          <w:bCs/>
        </w:rPr>
        <w:t>Marzo de 2019</w:t>
      </w:r>
      <w:r>
        <w:rPr>
          <w:rFonts w:ascii="Arial" w:hAnsi="Arial" w:cs="Arial"/>
          <w:bCs/>
        </w:rPr>
        <w:t xml:space="preserve"> al solo efecto comparativo.</w:t>
      </w:r>
    </w:p>
    <w:p w:rsidR="00A270C0" w:rsidRDefault="00A270C0" w:rsidP="00A270C0">
      <w:pPr>
        <w:tabs>
          <w:tab w:val="left" w:pos="8647"/>
        </w:tabs>
        <w:ind w:right="-85"/>
        <w:jc w:val="both"/>
        <w:rPr>
          <w:rFonts w:ascii="Arial" w:hAnsi="Arial"/>
          <w:b/>
        </w:rPr>
      </w:pPr>
    </w:p>
    <w:p w:rsidR="00045BDE" w:rsidRDefault="00045BDE" w:rsidP="00E44FCB">
      <w:pPr>
        <w:jc w:val="both"/>
        <w:rPr>
          <w:rFonts w:ascii="Arial" w:hAnsi="Arial" w:cs="Arial"/>
          <w:b/>
        </w:rPr>
      </w:pPr>
    </w:p>
    <w:p w:rsidR="00E44FCB" w:rsidRPr="00C9269D" w:rsidRDefault="00DD0716" w:rsidP="00804874">
      <w:pPr>
        <w:tabs>
          <w:tab w:val="left" w:pos="284"/>
          <w:tab w:val="left" w:pos="426"/>
        </w:tabs>
        <w:jc w:val="both"/>
        <w:rPr>
          <w:rFonts w:ascii="Arial" w:hAnsi="Arial" w:cs="Arial"/>
          <w:bCs/>
        </w:rPr>
      </w:pPr>
      <w:r>
        <w:rPr>
          <w:rFonts w:ascii="Arial" w:hAnsi="Arial" w:cs="Arial"/>
          <w:b/>
        </w:rPr>
        <w:t>7</w:t>
      </w:r>
      <w:r w:rsidR="00E44FCB" w:rsidRPr="00C9269D">
        <w:rPr>
          <w:rFonts w:ascii="Arial" w:hAnsi="Arial" w:cs="Arial"/>
          <w:b/>
        </w:rPr>
        <w:t xml:space="preserve">. </w:t>
      </w:r>
      <w:r w:rsidR="00E44FCB" w:rsidRPr="00C9269D">
        <w:rPr>
          <w:rFonts w:ascii="Arial" w:hAnsi="Arial" w:cs="Arial"/>
          <w:b/>
          <w:u w:val="single"/>
        </w:rPr>
        <w:t>Informe sobre otros requerimientos legales y reglamentarios</w:t>
      </w:r>
    </w:p>
    <w:p w:rsidR="00E44FCB" w:rsidRPr="00C9269D" w:rsidRDefault="00E44FCB" w:rsidP="00E44FCB">
      <w:pPr>
        <w:jc w:val="both"/>
        <w:rPr>
          <w:rFonts w:ascii="Arial" w:hAnsi="Arial" w:cs="Arial"/>
          <w:bCs/>
        </w:rPr>
      </w:pPr>
    </w:p>
    <w:p w:rsidR="00F3573C" w:rsidRPr="00F3573C" w:rsidRDefault="00F3573C" w:rsidP="00F3573C">
      <w:pPr>
        <w:tabs>
          <w:tab w:val="left" w:pos="142"/>
        </w:tabs>
        <w:ind w:left="284"/>
        <w:jc w:val="both"/>
        <w:rPr>
          <w:rFonts w:ascii="Arial" w:hAnsi="Arial" w:cs="Arial"/>
          <w:bCs/>
        </w:rPr>
      </w:pPr>
      <w:r w:rsidRPr="00F3573C">
        <w:rPr>
          <w:rFonts w:ascii="Arial" w:hAnsi="Arial" w:cs="Arial"/>
          <w:bCs/>
        </w:rPr>
        <w:t xml:space="preserve">Según surge de los registros contables de la UTE, el pasivo devengado al 31 </w:t>
      </w:r>
      <w:r>
        <w:rPr>
          <w:rFonts w:ascii="Arial" w:hAnsi="Arial" w:cs="Arial"/>
          <w:bCs/>
        </w:rPr>
        <w:t>de Marzo de 2019</w:t>
      </w:r>
      <w:r w:rsidRPr="00F3573C">
        <w:rPr>
          <w:rFonts w:ascii="Arial" w:hAnsi="Arial" w:cs="Arial"/>
          <w:bCs/>
        </w:rPr>
        <w:t xml:space="preserve"> a favor del Sistema Integrado Previsional Argentino en concepto de aportes y contribuciones previsionales ascendía </w:t>
      </w:r>
      <w:r w:rsidRPr="00F3573C">
        <w:rPr>
          <w:rFonts w:ascii="Arial" w:hAnsi="Arial"/>
        </w:rPr>
        <w:t xml:space="preserve">a $ </w:t>
      </w:r>
      <w:r w:rsidR="00540889">
        <w:rPr>
          <w:rFonts w:ascii="Arial" w:hAnsi="Arial"/>
        </w:rPr>
        <w:t>3.533.400,65</w:t>
      </w:r>
      <w:r w:rsidRPr="00F3573C">
        <w:rPr>
          <w:rFonts w:ascii="Arial" w:hAnsi="Arial"/>
        </w:rPr>
        <w:t xml:space="preserve"> </w:t>
      </w:r>
      <w:r w:rsidRPr="00F3573C">
        <w:rPr>
          <w:rFonts w:ascii="Arial" w:hAnsi="Arial" w:cs="Arial"/>
          <w:bCs/>
        </w:rPr>
        <w:t>y no era exigible a esa fecha.</w:t>
      </w:r>
    </w:p>
    <w:p w:rsidR="00214A93" w:rsidRDefault="00214A93" w:rsidP="00F3573C">
      <w:pPr>
        <w:ind w:left="284"/>
        <w:jc w:val="both"/>
        <w:rPr>
          <w:rFonts w:ascii="Arial" w:hAnsi="Arial" w:cs="Arial"/>
          <w:bCs/>
        </w:rPr>
      </w:pPr>
    </w:p>
    <w:p w:rsidR="00E44FCB" w:rsidRPr="00C9269D" w:rsidRDefault="00E44FCB" w:rsidP="00214A93">
      <w:pPr>
        <w:ind w:left="284"/>
        <w:jc w:val="both"/>
        <w:rPr>
          <w:rFonts w:ascii="Arial" w:hAnsi="Arial"/>
        </w:rPr>
      </w:pPr>
    </w:p>
    <w:p w:rsidR="00E44FCB" w:rsidRDefault="00E44FCB" w:rsidP="00E44FCB">
      <w:pPr>
        <w:ind w:right="-85"/>
        <w:jc w:val="both"/>
        <w:rPr>
          <w:rFonts w:ascii="Arial" w:hAnsi="Arial"/>
        </w:rPr>
      </w:pPr>
    </w:p>
    <w:p w:rsidR="00E44FCB" w:rsidRDefault="00E44FCB" w:rsidP="00E44FCB">
      <w:pPr>
        <w:ind w:right="-85"/>
        <w:jc w:val="both"/>
        <w:rPr>
          <w:rFonts w:ascii="Arial" w:hAnsi="Arial"/>
        </w:rPr>
      </w:pPr>
      <w:r>
        <w:rPr>
          <w:rFonts w:ascii="Arial" w:hAnsi="Arial"/>
        </w:rPr>
        <w:t>Ciu</w:t>
      </w:r>
      <w:r w:rsidR="003C6C48">
        <w:rPr>
          <w:rFonts w:ascii="Arial" w:hAnsi="Arial"/>
        </w:rPr>
        <w:t xml:space="preserve">dad Autónoma de Buenos Aires, </w:t>
      </w:r>
      <w:r w:rsidR="00DA3A1A">
        <w:rPr>
          <w:rFonts w:ascii="Arial" w:hAnsi="Arial"/>
        </w:rPr>
        <w:t>0</w:t>
      </w:r>
      <w:r w:rsidR="005B5705">
        <w:rPr>
          <w:rFonts w:ascii="Arial" w:hAnsi="Arial"/>
        </w:rPr>
        <w:t>7 de Mayo</w:t>
      </w:r>
      <w:r w:rsidR="00DA3A1A">
        <w:rPr>
          <w:rFonts w:ascii="Arial" w:hAnsi="Arial"/>
        </w:rPr>
        <w:t xml:space="preserve"> </w:t>
      </w:r>
      <w:r w:rsidR="008551DA">
        <w:rPr>
          <w:rFonts w:ascii="Arial" w:hAnsi="Arial"/>
        </w:rPr>
        <w:t>de 201</w:t>
      </w:r>
      <w:r w:rsidR="00DD0716">
        <w:rPr>
          <w:rFonts w:ascii="Arial" w:hAnsi="Arial"/>
        </w:rPr>
        <w:t>9</w:t>
      </w:r>
      <w:r>
        <w:rPr>
          <w:rFonts w:ascii="Arial" w:hAnsi="Arial"/>
        </w:rPr>
        <w:t>.</w:t>
      </w: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center"/>
        <w:rPr>
          <w:rFonts w:ascii="Arial" w:hAnsi="Arial" w:cs="Arial"/>
        </w:rPr>
      </w:pPr>
      <w:r>
        <w:rPr>
          <w:rFonts w:ascii="Arial" w:hAnsi="Arial" w:cs="Arial"/>
        </w:rPr>
        <w:t>Dra. Blanca Ester Rivero</w:t>
      </w:r>
    </w:p>
    <w:p w:rsidR="00A270C0" w:rsidRDefault="00A270C0">
      <w:pPr>
        <w:ind w:right="-227"/>
        <w:jc w:val="center"/>
        <w:rPr>
          <w:rFonts w:ascii="Arial" w:hAnsi="Arial" w:cs="Arial"/>
        </w:rPr>
      </w:pPr>
      <w:r>
        <w:rPr>
          <w:rFonts w:ascii="Arial" w:hAnsi="Arial" w:cs="Arial"/>
        </w:rPr>
        <w:t>Contadora Pública (UBA)</w:t>
      </w:r>
    </w:p>
    <w:p w:rsidR="00A270C0" w:rsidRPr="00DD0716" w:rsidRDefault="00A270C0" w:rsidP="00DD0716">
      <w:pPr>
        <w:ind w:right="-227"/>
        <w:jc w:val="center"/>
        <w:rPr>
          <w:rFonts w:ascii="Arial" w:hAnsi="Arial" w:cs="Arial"/>
        </w:rPr>
      </w:pPr>
      <w:r>
        <w:rPr>
          <w:rFonts w:ascii="Arial" w:hAnsi="Arial" w:cs="Arial"/>
        </w:rPr>
        <w:t xml:space="preserve">C.P.C.E.C.A.B.A. </w:t>
      </w:r>
      <w:proofErr w:type="spellStart"/>
      <w:r>
        <w:rPr>
          <w:rFonts w:ascii="Arial" w:hAnsi="Arial" w:cs="Arial"/>
        </w:rPr>
        <w:t>Tº</w:t>
      </w:r>
      <w:proofErr w:type="spellEnd"/>
      <w:r>
        <w:rPr>
          <w:rFonts w:ascii="Arial" w:hAnsi="Arial" w:cs="Arial"/>
        </w:rPr>
        <w:t xml:space="preserve"> 134 </w:t>
      </w:r>
      <w:proofErr w:type="spellStart"/>
      <w:r>
        <w:rPr>
          <w:rFonts w:ascii="Arial" w:hAnsi="Arial" w:cs="Arial"/>
        </w:rPr>
        <w:t>Fº</w:t>
      </w:r>
      <w:proofErr w:type="spellEnd"/>
      <w:r>
        <w:rPr>
          <w:rFonts w:ascii="Arial" w:hAnsi="Arial" w:cs="Arial"/>
        </w:rPr>
        <w:t xml:space="preserve"> 199</w:t>
      </w:r>
      <w:bookmarkEnd w:id="1"/>
    </w:p>
    <w:sectPr w:rsidR="00A270C0" w:rsidRPr="00DD0716">
      <w:footnotePr>
        <w:numRestart w:val="eachSect"/>
      </w:footnotePr>
      <w:pgSz w:w="11907" w:h="16840" w:code="9"/>
      <w:pgMar w:top="1559" w:right="1531" w:bottom="851" w:left="153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091" w:rsidRDefault="00CF6091">
      <w:r>
        <w:separator/>
      </w:r>
    </w:p>
  </w:endnote>
  <w:endnote w:type="continuationSeparator" w:id="0">
    <w:p w:rsidR="00CF6091" w:rsidRDefault="00CF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ustomerCode">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00" w:rsidRDefault="00111C0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11C00" w:rsidRDefault="00111C0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23" w:type="dxa"/>
      <w:tblInd w:w="70" w:type="dxa"/>
      <w:tblLayout w:type="fixed"/>
      <w:tblCellMar>
        <w:left w:w="70" w:type="dxa"/>
        <w:right w:w="70" w:type="dxa"/>
      </w:tblCellMar>
      <w:tblLook w:val="0000" w:firstRow="0" w:lastRow="0" w:firstColumn="0" w:lastColumn="0" w:noHBand="0" w:noVBand="0"/>
    </w:tblPr>
    <w:tblGrid>
      <w:gridCol w:w="3119"/>
      <w:gridCol w:w="5494"/>
      <w:gridCol w:w="2610"/>
    </w:tblGrid>
    <w:tr w:rsidR="00111C00" w:rsidTr="00801704">
      <w:trPr>
        <w:trHeight w:val="624"/>
      </w:trPr>
      <w:tc>
        <w:tcPr>
          <w:tcW w:w="3119" w:type="dxa"/>
          <w:tcBorders>
            <w:top w:val="nil"/>
            <w:left w:val="nil"/>
            <w:bottom w:val="nil"/>
            <w:right w:val="nil"/>
          </w:tcBorders>
        </w:tcPr>
        <w:p w:rsidR="00111C00" w:rsidRDefault="00111C00">
          <w:pPr>
            <w:ind w:left="-70" w:right="446"/>
            <w:jc w:val="center"/>
            <w:rPr>
              <w:rFonts w:ascii="Arial" w:hAnsi="Arial" w:cs="Arial"/>
              <w:spacing w:val="-8"/>
              <w:sz w:val="18"/>
            </w:rPr>
          </w:pPr>
          <w:r>
            <w:rPr>
              <w:rFonts w:ascii="Arial" w:hAnsi="Arial" w:cs="Arial"/>
              <w:spacing w:val="-8"/>
              <w:sz w:val="18"/>
            </w:rPr>
            <w:t xml:space="preserve"> Firmado a efectos de su identificación con mi  in</w:t>
          </w:r>
          <w:r w:rsidR="009213CC">
            <w:rPr>
              <w:rFonts w:ascii="Arial" w:hAnsi="Arial" w:cs="Arial"/>
              <w:spacing w:val="-8"/>
              <w:sz w:val="18"/>
            </w:rPr>
            <w:t xml:space="preserve">forme de fecha </w:t>
          </w:r>
          <w:r w:rsidR="00A05752">
            <w:rPr>
              <w:rFonts w:ascii="Arial" w:hAnsi="Arial" w:cs="Arial"/>
              <w:spacing w:val="-8"/>
              <w:sz w:val="18"/>
            </w:rPr>
            <w:t>07</w:t>
          </w:r>
          <w:r w:rsidR="00DA3A1A">
            <w:rPr>
              <w:rFonts w:ascii="Arial" w:hAnsi="Arial" w:cs="Arial"/>
              <w:spacing w:val="-8"/>
              <w:sz w:val="18"/>
            </w:rPr>
            <w:t>/0</w:t>
          </w:r>
          <w:r w:rsidR="00A05752">
            <w:rPr>
              <w:rFonts w:ascii="Arial" w:hAnsi="Arial" w:cs="Arial"/>
              <w:spacing w:val="-8"/>
              <w:sz w:val="18"/>
            </w:rPr>
            <w:t>5</w:t>
          </w:r>
          <w:r w:rsidR="00DA3A1A">
            <w:rPr>
              <w:rFonts w:ascii="Arial" w:hAnsi="Arial" w:cs="Arial"/>
              <w:spacing w:val="-8"/>
              <w:sz w:val="18"/>
            </w:rPr>
            <w:t>/2019</w:t>
          </w:r>
        </w:p>
        <w:p w:rsidR="00111C00" w:rsidRDefault="00111C00">
          <w:pPr>
            <w:ind w:left="-70" w:right="446"/>
            <w:jc w:val="center"/>
            <w:rPr>
              <w:rFonts w:ascii="Arial" w:hAnsi="Arial" w:cs="Arial"/>
              <w:spacing w:val="-8"/>
              <w:sz w:val="18"/>
            </w:rPr>
          </w:pPr>
        </w:p>
      </w:tc>
      <w:tc>
        <w:tcPr>
          <w:tcW w:w="5494" w:type="dxa"/>
          <w:tcBorders>
            <w:top w:val="nil"/>
            <w:left w:val="nil"/>
            <w:bottom w:val="nil"/>
            <w:right w:val="nil"/>
          </w:tcBorders>
          <w:vAlign w:val="bottom"/>
        </w:tcPr>
        <w:p w:rsidR="00111C00" w:rsidRDefault="00111C00">
          <w:pPr>
            <w:pStyle w:val="Piedepgina"/>
            <w:jc w:val="center"/>
            <w:rPr>
              <w:rFonts w:ascii="Arial" w:hAnsi="Arial" w:cs="Arial"/>
              <w:b/>
              <w:sz w:val="18"/>
              <w:lang w:val="es-ES"/>
            </w:rPr>
          </w:pPr>
        </w:p>
      </w:tc>
      <w:tc>
        <w:tcPr>
          <w:tcW w:w="2610" w:type="dxa"/>
          <w:tcBorders>
            <w:top w:val="nil"/>
            <w:left w:val="nil"/>
            <w:bottom w:val="nil"/>
            <w:right w:val="nil"/>
          </w:tcBorders>
          <w:vAlign w:val="bottom"/>
        </w:tcPr>
        <w:p w:rsidR="00111C00" w:rsidRDefault="00111C00">
          <w:pPr>
            <w:ind w:left="-70" w:right="446"/>
            <w:jc w:val="center"/>
            <w:rPr>
              <w:rFonts w:ascii="Arial" w:hAnsi="Arial" w:cs="Arial"/>
              <w:b/>
              <w:sz w:val="18"/>
              <w:lang w:val="es-ES"/>
            </w:rPr>
          </w:pPr>
        </w:p>
      </w:tc>
    </w:tr>
    <w:tr w:rsidR="00111C00" w:rsidTr="00801704">
      <w:trPr>
        <w:trHeight w:val="887"/>
      </w:trPr>
      <w:tc>
        <w:tcPr>
          <w:tcW w:w="3119" w:type="dxa"/>
          <w:tcBorders>
            <w:top w:val="nil"/>
            <w:left w:val="nil"/>
            <w:bottom w:val="nil"/>
            <w:right w:val="nil"/>
          </w:tcBorders>
          <w:vAlign w:val="bottom"/>
        </w:tcPr>
        <w:p w:rsidR="00111C00" w:rsidRDefault="00111C00">
          <w:pPr>
            <w:ind w:left="-70" w:right="446"/>
            <w:jc w:val="center"/>
            <w:rPr>
              <w:rFonts w:ascii="Arial" w:hAnsi="Arial" w:cs="Arial"/>
              <w:b/>
              <w:sz w:val="18"/>
              <w:lang w:val="es-ES"/>
            </w:rPr>
          </w:pPr>
        </w:p>
        <w:p w:rsidR="00111C00" w:rsidRDefault="00111C00">
          <w:pPr>
            <w:ind w:left="-70" w:right="446"/>
            <w:jc w:val="center"/>
            <w:rPr>
              <w:rFonts w:ascii="Arial" w:hAnsi="Arial" w:cs="Arial"/>
              <w:b/>
              <w:sz w:val="18"/>
              <w:lang w:val="es-ES"/>
            </w:rPr>
          </w:pPr>
        </w:p>
        <w:p w:rsidR="00111C00" w:rsidRDefault="00111C00">
          <w:pPr>
            <w:ind w:left="-70" w:right="446"/>
            <w:jc w:val="center"/>
            <w:rPr>
              <w:rFonts w:ascii="Arial" w:hAnsi="Arial" w:cs="Arial"/>
              <w:b/>
              <w:sz w:val="18"/>
              <w:lang w:val="es-ES"/>
            </w:rPr>
          </w:pPr>
        </w:p>
        <w:p w:rsidR="00111C00" w:rsidRDefault="00111C00">
          <w:pPr>
            <w:ind w:left="-70" w:right="446"/>
            <w:jc w:val="center"/>
            <w:rPr>
              <w:rFonts w:ascii="Arial" w:hAnsi="Arial" w:cs="Arial"/>
              <w:b/>
              <w:sz w:val="18"/>
              <w:lang w:val="es-ES"/>
            </w:rPr>
          </w:pPr>
        </w:p>
      </w:tc>
      <w:tc>
        <w:tcPr>
          <w:tcW w:w="5494" w:type="dxa"/>
          <w:tcBorders>
            <w:top w:val="nil"/>
            <w:left w:val="nil"/>
            <w:bottom w:val="nil"/>
            <w:right w:val="nil"/>
          </w:tcBorders>
          <w:vAlign w:val="bottom"/>
        </w:tcPr>
        <w:p w:rsidR="00111C00" w:rsidRDefault="00111C00" w:rsidP="00801704">
          <w:pPr>
            <w:ind w:left="-70" w:right="446"/>
            <w:jc w:val="center"/>
            <w:rPr>
              <w:rFonts w:ascii="Arial" w:hAnsi="Arial" w:cs="Arial"/>
              <w:b/>
              <w:sz w:val="18"/>
              <w:lang w:val="es-ES"/>
            </w:rPr>
          </w:pPr>
        </w:p>
      </w:tc>
      <w:tc>
        <w:tcPr>
          <w:tcW w:w="2610" w:type="dxa"/>
          <w:tcBorders>
            <w:top w:val="nil"/>
            <w:left w:val="nil"/>
            <w:bottom w:val="nil"/>
            <w:right w:val="nil"/>
          </w:tcBorders>
          <w:vAlign w:val="bottom"/>
        </w:tcPr>
        <w:p w:rsidR="00111C00" w:rsidRDefault="00111C00">
          <w:pPr>
            <w:rPr>
              <w:rFonts w:ascii="Arial" w:hAnsi="Arial" w:cs="Arial"/>
              <w:b/>
              <w:sz w:val="18"/>
              <w:lang w:val="es-ES"/>
            </w:rPr>
          </w:pPr>
        </w:p>
      </w:tc>
    </w:tr>
    <w:tr w:rsidR="00111C00" w:rsidTr="00801704">
      <w:trPr>
        <w:trHeight w:val="285"/>
      </w:trPr>
      <w:tc>
        <w:tcPr>
          <w:tcW w:w="3119" w:type="dxa"/>
        </w:tcPr>
        <w:p w:rsidR="00111C00" w:rsidRDefault="00111C00">
          <w:pPr>
            <w:pStyle w:val="Encabezado"/>
            <w:jc w:val="center"/>
            <w:rPr>
              <w:rFonts w:ascii="Arial" w:hAnsi="Arial" w:cs="Arial"/>
              <w:sz w:val="18"/>
            </w:rPr>
          </w:pPr>
          <w:r>
            <w:rPr>
              <w:rFonts w:ascii="Arial" w:hAnsi="Arial" w:cs="Arial"/>
              <w:sz w:val="18"/>
            </w:rPr>
            <w:t>Dra. Blanca Ester Rivero</w:t>
          </w:r>
        </w:p>
        <w:p w:rsidR="00111C00" w:rsidRDefault="00111C00">
          <w:pPr>
            <w:pStyle w:val="Encabezado"/>
            <w:jc w:val="center"/>
            <w:rPr>
              <w:rFonts w:ascii="Arial" w:hAnsi="Arial" w:cs="Arial"/>
              <w:sz w:val="18"/>
            </w:rPr>
          </w:pPr>
          <w:r>
            <w:rPr>
              <w:rFonts w:ascii="Arial" w:hAnsi="Arial" w:cs="Arial"/>
              <w:sz w:val="18"/>
            </w:rPr>
            <w:t>Contadora Pública (UBA)</w:t>
          </w:r>
        </w:p>
        <w:p w:rsidR="00111C00" w:rsidRDefault="00111C00">
          <w:pPr>
            <w:pStyle w:val="Encabezado"/>
            <w:jc w:val="center"/>
            <w:rPr>
              <w:rFonts w:ascii="Arial" w:hAnsi="Arial" w:cs="Arial"/>
              <w:sz w:val="18"/>
            </w:rPr>
          </w:pPr>
          <w:r>
            <w:rPr>
              <w:rFonts w:ascii="Arial" w:hAnsi="Arial" w:cs="Arial"/>
              <w:sz w:val="18"/>
            </w:rPr>
            <w:t>C.P.C.E.C.A.B.A. Tº 134 Fº 199</w:t>
          </w:r>
        </w:p>
      </w:tc>
      <w:tc>
        <w:tcPr>
          <w:tcW w:w="5494" w:type="dxa"/>
        </w:tcPr>
        <w:p w:rsidR="00801704" w:rsidRDefault="00801704" w:rsidP="00801704">
          <w:pPr>
            <w:pStyle w:val="Encabezado"/>
            <w:jc w:val="center"/>
            <w:rPr>
              <w:rFonts w:ascii="Arial" w:hAnsi="Arial" w:cs="Arial"/>
              <w:sz w:val="18"/>
            </w:rPr>
          </w:pPr>
          <w:proofErr w:type="spellStart"/>
          <w:r w:rsidRPr="00801704">
            <w:rPr>
              <w:rFonts w:ascii="Arial" w:hAnsi="Arial" w:cs="Arial"/>
              <w:sz w:val="18"/>
            </w:rPr>
            <w:t>Supercemento</w:t>
          </w:r>
          <w:proofErr w:type="spellEnd"/>
          <w:r w:rsidRPr="00801704">
            <w:rPr>
              <w:rFonts w:ascii="Arial" w:hAnsi="Arial" w:cs="Arial"/>
              <w:sz w:val="18"/>
            </w:rPr>
            <w:t xml:space="preserve"> S.A.I.C</w:t>
          </w:r>
          <w:r>
            <w:rPr>
              <w:rFonts w:ascii="Arial" w:hAnsi="Arial" w:cs="Arial"/>
              <w:sz w:val="18"/>
            </w:rPr>
            <w:t xml:space="preserve"> </w:t>
          </w:r>
          <w:r w:rsidRPr="00801704">
            <w:rPr>
              <w:rFonts w:ascii="Arial" w:hAnsi="Arial" w:cs="Arial"/>
              <w:sz w:val="18"/>
            </w:rPr>
            <w:t>-</w:t>
          </w:r>
          <w:r>
            <w:rPr>
              <w:rFonts w:ascii="Arial" w:hAnsi="Arial" w:cs="Arial"/>
              <w:sz w:val="18"/>
            </w:rPr>
            <w:t xml:space="preserve"> </w:t>
          </w:r>
          <w:proofErr w:type="spellStart"/>
          <w:r w:rsidRPr="00801704">
            <w:rPr>
              <w:rFonts w:ascii="Arial" w:hAnsi="Arial" w:cs="Arial"/>
              <w:sz w:val="18"/>
            </w:rPr>
            <w:t>Dycasa</w:t>
          </w:r>
          <w:proofErr w:type="spellEnd"/>
          <w:r w:rsidRPr="00801704">
            <w:rPr>
              <w:rFonts w:ascii="Arial" w:hAnsi="Arial" w:cs="Arial"/>
              <w:sz w:val="18"/>
            </w:rPr>
            <w:t xml:space="preserve"> S.A.</w:t>
          </w:r>
          <w:r>
            <w:rPr>
              <w:rFonts w:ascii="Arial" w:hAnsi="Arial" w:cs="Arial"/>
              <w:sz w:val="18"/>
            </w:rPr>
            <w:t xml:space="preserve"> - </w:t>
          </w:r>
          <w:r w:rsidRPr="00801704">
            <w:rPr>
              <w:rFonts w:ascii="Arial" w:hAnsi="Arial" w:cs="Arial"/>
              <w:sz w:val="18"/>
            </w:rPr>
            <w:t xml:space="preserve">José </w:t>
          </w:r>
          <w:proofErr w:type="spellStart"/>
          <w:r w:rsidRPr="00801704">
            <w:rPr>
              <w:rFonts w:ascii="Arial" w:hAnsi="Arial" w:cs="Arial"/>
              <w:sz w:val="18"/>
            </w:rPr>
            <w:t>J.Chediack</w:t>
          </w:r>
          <w:proofErr w:type="spellEnd"/>
          <w:r w:rsidRPr="00801704">
            <w:rPr>
              <w:rFonts w:ascii="Arial" w:hAnsi="Arial" w:cs="Arial"/>
              <w:sz w:val="18"/>
            </w:rPr>
            <w:t xml:space="preserve"> - UTE</w:t>
          </w:r>
          <w:r>
            <w:rPr>
              <w:rFonts w:ascii="Arial" w:hAnsi="Arial" w:cs="Arial"/>
              <w:sz w:val="18"/>
            </w:rPr>
            <w:t xml:space="preserve"> </w:t>
          </w:r>
        </w:p>
        <w:p w:rsidR="00111C00" w:rsidRPr="00801704" w:rsidRDefault="00801704" w:rsidP="00801704">
          <w:pPr>
            <w:pStyle w:val="Encabezado"/>
            <w:jc w:val="center"/>
            <w:rPr>
              <w:rFonts w:ascii="Arial" w:hAnsi="Arial" w:cs="Arial"/>
              <w:sz w:val="18"/>
            </w:rPr>
          </w:pPr>
          <w:r>
            <w:rPr>
              <w:rFonts w:ascii="Arial" w:hAnsi="Arial" w:cs="Arial"/>
              <w:sz w:val="18"/>
            </w:rPr>
            <w:t>Apoderado</w:t>
          </w:r>
        </w:p>
      </w:tc>
      <w:tc>
        <w:tcPr>
          <w:tcW w:w="2610" w:type="dxa"/>
        </w:tcPr>
        <w:p w:rsidR="00111C00" w:rsidRPr="00801704" w:rsidRDefault="00111C00">
          <w:pPr>
            <w:jc w:val="center"/>
            <w:rPr>
              <w:rFonts w:ascii="Arial" w:hAnsi="Arial" w:cs="Arial"/>
              <w:sz w:val="18"/>
              <w:lang w:val="es-ES"/>
            </w:rPr>
          </w:pPr>
        </w:p>
      </w:tc>
    </w:tr>
    <w:tr w:rsidR="00111C00" w:rsidTr="00801704">
      <w:tc>
        <w:tcPr>
          <w:tcW w:w="3119" w:type="dxa"/>
        </w:tcPr>
        <w:p w:rsidR="00111C00" w:rsidRDefault="00111C00">
          <w:pPr>
            <w:pStyle w:val="Encabezado"/>
            <w:jc w:val="center"/>
            <w:rPr>
              <w:rFonts w:ascii="Arial" w:hAnsi="Arial" w:cs="Arial"/>
              <w:sz w:val="18"/>
            </w:rPr>
          </w:pPr>
        </w:p>
      </w:tc>
      <w:tc>
        <w:tcPr>
          <w:tcW w:w="5494" w:type="dxa"/>
        </w:tcPr>
        <w:p w:rsidR="00111C00" w:rsidRDefault="00111C00">
          <w:pPr>
            <w:jc w:val="center"/>
            <w:rPr>
              <w:rFonts w:ascii="Arial" w:hAnsi="Arial" w:cs="Arial"/>
              <w:sz w:val="18"/>
            </w:rPr>
          </w:pPr>
        </w:p>
      </w:tc>
      <w:tc>
        <w:tcPr>
          <w:tcW w:w="2610" w:type="dxa"/>
        </w:tcPr>
        <w:p w:rsidR="00111C00" w:rsidRDefault="00111C00">
          <w:pPr>
            <w:pStyle w:val="Encabezado"/>
            <w:jc w:val="center"/>
            <w:rPr>
              <w:rFonts w:ascii="Arial" w:hAnsi="Arial" w:cs="Arial"/>
              <w:sz w:val="18"/>
              <w:lang w:val="pt-BR"/>
            </w:rPr>
          </w:pPr>
        </w:p>
      </w:tc>
    </w:tr>
    <w:tr w:rsidR="00111C00" w:rsidTr="00801704">
      <w:tc>
        <w:tcPr>
          <w:tcW w:w="3119" w:type="dxa"/>
        </w:tcPr>
        <w:p w:rsidR="00111C00" w:rsidRDefault="00111C00">
          <w:pPr>
            <w:pStyle w:val="Encabezado"/>
            <w:jc w:val="center"/>
            <w:rPr>
              <w:rFonts w:ascii="Arial" w:hAnsi="Arial" w:cs="Arial"/>
              <w:sz w:val="18"/>
            </w:rPr>
          </w:pPr>
        </w:p>
      </w:tc>
      <w:tc>
        <w:tcPr>
          <w:tcW w:w="5494" w:type="dxa"/>
        </w:tcPr>
        <w:p w:rsidR="00111C00" w:rsidRDefault="00111C00">
          <w:pPr>
            <w:jc w:val="center"/>
            <w:rPr>
              <w:rFonts w:ascii="Arial" w:hAnsi="Arial" w:cs="Arial"/>
              <w:sz w:val="18"/>
            </w:rPr>
          </w:pPr>
        </w:p>
      </w:tc>
      <w:tc>
        <w:tcPr>
          <w:tcW w:w="2610" w:type="dxa"/>
        </w:tcPr>
        <w:p w:rsidR="00111C00" w:rsidRDefault="00111C00">
          <w:pPr>
            <w:pStyle w:val="Encabezado"/>
            <w:jc w:val="center"/>
            <w:rPr>
              <w:rFonts w:ascii="Arial" w:hAnsi="Arial" w:cs="Arial"/>
              <w:sz w:val="18"/>
              <w:lang w:val="pt-BR"/>
            </w:rPr>
          </w:pPr>
        </w:p>
      </w:tc>
    </w:tr>
  </w:tbl>
  <w:p w:rsidR="00111C00" w:rsidRDefault="00111C00">
    <w:pPr>
      <w:pStyle w:val="Piedepgina"/>
      <w:rPr>
        <w:rFonts w:ascii="Arial" w:hAnsi="Arial" w:cs="Arial"/>
        <w:sz w:val="18"/>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091" w:rsidRDefault="00CF6091">
      <w:r>
        <w:separator/>
      </w:r>
    </w:p>
  </w:footnote>
  <w:footnote w:type="continuationSeparator" w:id="0">
    <w:p w:rsidR="00CF6091" w:rsidRDefault="00CF6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00" w:rsidRDefault="000D7983">
    <w:pPr>
      <w:pStyle w:val="Encabezado"/>
      <w:rPr>
        <w:rFonts w:ascii="Arial" w:hAnsi="Arial"/>
        <w:b/>
        <w:lang w:val="es-ES"/>
      </w:rPr>
    </w:pPr>
    <w:r>
      <w:rPr>
        <w:rFonts w:ascii="Arial" w:hAnsi="Arial"/>
        <w:b/>
        <w:lang w:val="es-ES"/>
      </w:rPr>
      <w:t>SUPERCEMENTO S.A.</w:t>
    </w:r>
    <w:r w:rsidR="00980D3A">
      <w:rPr>
        <w:rFonts w:ascii="Arial" w:hAnsi="Arial"/>
        <w:b/>
        <w:lang w:val="es-ES"/>
      </w:rPr>
      <w:t>I.C.</w:t>
    </w:r>
    <w:r>
      <w:rPr>
        <w:rFonts w:ascii="Arial" w:hAnsi="Arial"/>
        <w:b/>
        <w:lang w:val="es-ES"/>
      </w:rPr>
      <w:t xml:space="preserve"> - </w:t>
    </w:r>
    <w:r w:rsidR="00111C00">
      <w:rPr>
        <w:rFonts w:ascii="Arial" w:hAnsi="Arial"/>
        <w:b/>
        <w:lang w:val="es-ES"/>
      </w:rPr>
      <w:t xml:space="preserve">DYCASA S.A. </w:t>
    </w:r>
    <w:r w:rsidR="00980D3A">
      <w:rPr>
        <w:rFonts w:ascii="Arial" w:hAnsi="Arial"/>
        <w:b/>
        <w:lang w:val="es-ES"/>
      </w:rPr>
      <w:t>–</w:t>
    </w:r>
    <w:r w:rsidR="00111C00">
      <w:rPr>
        <w:rFonts w:ascii="Arial" w:hAnsi="Arial"/>
        <w:b/>
        <w:lang w:val="es-ES"/>
      </w:rPr>
      <w:t xml:space="preserve"> </w:t>
    </w:r>
    <w:r w:rsidR="00980D3A">
      <w:rPr>
        <w:rFonts w:ascii="Arial" w:hAnsi="Arial"/>
        <w:b/>
        <w:lang w:val="es-ES"/>
      </w:rPr>
      <w:t xml:space="preserve">JOSE J. </w:t>
    </w:r>
    <w:r w:rsidR="00111C00">
      <w:rPr>
        <w:rFonts w:ascii="Arial" w:hAnsi="Arial"/>
        <w:b/>
        <w:lang w:val="es-ES"/>
      </w:rPr>
      <w:t xml:space="preserve"> </w:t>
    </w:r>
    <w:r>
      <w:rPr>
        <w:rFonts w:ascii="Arial" w:hAnsi="Arial"/>
        <w:b/>
        <w:lang w:val="es-ES"/>
      </w:rPr>
      <w:t>CHEDIAK</w:t>
    </w:r>
    <w:r w:rsidR="00111C00">
      <w:rPr>
        <w:rFonts w:ascii="Arial" w:hAnsi="Arial"/>
        <w:b/>
        <w:lang w:val="es-ES"/>
      </w:rPr>
      <w:t xml:space="preserve"> S.A.</w:t>
    </w:r>
    <w:r w:rsidR="00980D3A">
      <w:rPr>
        <w:rFonts w:ascii="Arial" w:hAnsi="Arial"/>
        <w:b/>
        <w:lang w:val="es-ES"/>
      </w:rPr>
      <w:t>I.C.</w:t>
    </w:r>
    <w:r w:rsidR="00111C00">
      <w:rPr>
        <w:rFonts w:ascii="Arial" w:hAnsi="Arial"/>
        <w:b/>
        <w:lang w:val="es-ES"/>
      </w:rPr>
      <w:t xml:space="preserve"> – UNION TRANSITORIA DE EMPRESAS –</w:t>
    </w:r>
  </w:p>
  <w:p w:rsidR="00111C00" w:rsidRDefault="00111C00">
    <w:pPr>
      <w:pStyle w:val="Encabezado"/>
      <w:rPr>
        <w:rFonts w:ascii="Arial" w:hAnsi="Arial"/>
        <w:b/>
        <w:lang w:val="es-ES"/>
      </w:rPr>
    </w:pPr>
    <w:r>
      <w:rPr>
        <w:rFonts w:ascii="Arial" w:hAnsi="Arial"/>
        <w:b/>
        <w:lang w:val="es-ES"/>
      </w:rPr>
      <w:t>NUMERO DE INSCRIPCIÓN EN LA INSPECCIÓN GENERAL DE JUSTICIA</w:t>
    </w:r>
    <w:r w:rsidR="000D7983">
      <w:rPr>
        <w:rFonts w:ascii="Arial" w:hAnsi="Arial"/>
        <w:b/>
        <w:lang w:val="es-ES"/>
      </w:rPr>
      <w:t>: 1.889.310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FBB"/>
    <w:multiLevelType w:val="singleLevel"/>
    <w:tmpl w:val="0C0A000F"/>
    <w:lvl w:ilvl="0">
      <w:start w:val="1"/>
      <w:numFmt w:val="decimal"/>
      <w:lvlText w:val="%1."/>
      <w:lvlJc w:val="left"/>
      <w:pPr>
        <w:tabs>
          <w:tab w:val="num" w:pos="360"/>
        </w:tabs>
        <w:ind w:left="360" w:hanging="360"/>
      </w:pPr>
    </w:lvl>
  </w:abstractNum>
  <w:abstractNum w:abstractNumId="1">
    <w:nsid w:val="0461366E"/>
    <w:multiLevelType w:val="singleLevel"/>
    <w:tmpl w:val="AA006C9C"/>
    <w:lvl w:ilvl="0">
      <w:start w:val="1"/>
      <w:numFmt w:val="decimal"/>
      <w:lvlText w:val="%1."/>
      <w:legacy w:legacy="1" w:legacySpace="0" w:legacyIndent="340"/>
      <w:lvlJc w:val="left"/>
      <w:pPr>
        <w:ind w:left="766" w:hanging="340"/>
      </w:pPr>
    </w:lvl>
  </w:abstractNum>
  <w:abstractNum w:abstractNumId="2">
    <w:nsid w:val="063673F5"/>
    <w:multiLevelType w:val="singleLevel"/>
    <w:tmpl w:val="8BB62BBA"/>
    <w:lvl w:ilvl="0">
      <w:start w:val="6"/>
      <w:numFmt w:val="bullet"/>
      <w:lvlText w:val="-"/>
      <w:lvlJc w:val="left"/>
      <w:pPr>
        <w:tabs>
          <w:tab w:val="num" w:pos="1494"/>
        </w:tabs>
        <w:ind w:left="1494" w:hanging="360"/>
      </w:pPr>
      <w:rPr>
        <w:rFonts w:ascii="Times New Roman" w:hAnsi="Times New Roman" w:hint="default"/>
      </w:rPr>
    </w:lvl>
  </w:abstractNum>
  <w:abstractNum w:abstractNumId="3">
    <w:nsid w:val="06A93D86"/>
    <w:multiLevelType w:val="singleLevel"/>
    <w:tmpl w:val="0C0A0017"/>
    <w:lvl w:ilvl="0">
      <w:start w:val="1"/>
      <w:numFmt w:val="lowerLetter"/>
      <w:lvlText w:val="%1)"/>
      <w:lvlJc w:val="left"/>
      <w:pPr>
        <w:tabs>
          <w:tab w:val="num" w:pos="360"/>
        </w:tabs>
        <w:ind w:left="360" w:hanging="360"/>
      </w:pPr>
    </w:lvl>
  </w:abstractNum>
  <w:abstractNum w:abstractNumId="4">
    <w:nsid w:val="07062723"/>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5">
    <w:nsid w:val="071A1159"/>
    <w:multiLevelType w:val="singleLevel"/>
    <w:tmpl w:val="C412A14A"/>
    <w:lvl w:ilvl="0">
      <w:start w:val="1"/>
      <w:numFmt w:val="upperLetter"/>
      <w:lvlText w:val="%1 -"/>
      <w:lvlJc w:val="left"/>
      <w:pPr>
        <w:tabs>
          <w:tab w:val="num" w:pos="360"/>
        </w:tabs>
        <w:ind w:left="360" w:hanging="360"/>
      </w:pPr>
      <w:rPr>
        <w:rFonts w:ascii="CG Times (W1)" w:hAnsi="CustomerCode" w:hint="default"/>
        <w:b/>
        <w:i w:val="0"/>
        <w:sz w:val="22"/>
        <w:u w:val="none"/>
      </w:rPr>
    </w:lvl>
  </w:abstractNum>
  <w:abstractNum w:abstractNumId="6">
    <w:nsid w:val="07AF0208"/>
    <w:multiLevelType w:val="singleLevel"/>
    <w:tmpl w:val="0C0A0017"/>
    <w:lvl w:ilvl="0">
      <w:start w:val="1"/>
      <w:numFmt w:val="lowerLetter"/>
      <w:lvlText w:val="%1)"/>
      <w:lvlJc w:val="left"/>
      <w:pPr>
        <w:tabs>
          <w:tab w:val="num" w:pos="360"/>
        </w:tabs>
        <w:ind w:left="360" w:hanging="360"/>
      </w:pPr>
    </w:lvl>
  </w:abstractNum>
  <w:abstractNum w:abstractNumId="7">
    <w:nsid w:val="0D342607"/>
    <w:multiLevelType w:val="singleLevel"/>
    <w:tmpl w:val="4BB24712"/>
    <w:lvl w:ilvl="0">
      <w:start w:val="1"/>
      <w:numFmt w:val="upperLetter"/>
      <w:lvlText w:val="%1 -"/>
      <w:lvlJc w:val="left"/>
      <w:pPr>
        <w:tabs>
          <w:tab w:val="num" w:pos="360"/>
        </w:tabs>
        <w:ind w:left="360" w:hanging="360"/>
      </w:pPr>
      <w:rPr>
        <w:rFonts w:ascii="CG Times (W1)" w:hAnsi="CG Times (W1)" w:hint="default"/>
        <w:b/>
        <w:i w:val="0"/>
        <w:sz w:val="22"/>
        <w:u w:val="none"/>
      </w:rPr>
    </w:lvl>
  </w:abstractNum>
  <w:abstractNum w:abstractNumId="8">
    <w:nsid w:val="1249374F"/>
    <w:multiLevelType w:val="singleLevel"/>
    <w:tmpl w:val="206296B6"/>
    <w:lvl w:ilvl="0">
      <w:start w:val="1"/>
      <w:numFmt w:val="decimal"/>
      <w:lvlText w:val="%1-"/>
      <w:legacy w:legacy="1" w:legacySpace="0" w:legacyIndent="360"/>
      <w:lvlJc w:val="left"/>
      <w:pPr>
        <w:ind w:left="786" w:hanging="360"/>
      </w:pPr>
    </w:lvl>
  </w:abstractNum>
  <w:abstractNum w:abstractNumId="9">
    <w:nsid w:val="156320F5"/>
    <w:multiLevelType w:val="multilevel"/>
    <w:tmpl w:val="D164AA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9405613"/>
    <w:multiLevelType w:val="hybridMultilevel"/>
    <w:tmpl w:val="E0607D32"/>
    <w:lvl w:ilvl="0" w:tplc="0C0A0001">
      <w:start w:val="1"/>
      <w:numFmt w:val="bullet"/>
      <w:lvlText w:val=""/>
      <w:lvlJc w:val="left"/>
      <w:pPr>
        <w:tabs>
          <w:tab w:val="num" w:pos="1854"/>
        </w:tabs>
        <w:ind w:left="1854" w:hanging="360"/>
      </w:pPr>
      <w:rPr>
        <w:rFonts w:ascii="Symbol" w:hAnsi="Symbol" w:hint="default"/>
      </w:rPr>
    </w:lvl>
    <w:lvl w:ilvl="1" w:tplc="0C0A0003" w:tentative="1">
      <w:start w:val="1"/>
      <w:numFmt w:val="bullet"/>
      <w:lvlText w:val="o"/>
      <w:lvlJc w:val="left"/>
      <w:pPr>
        <w:tabs>
          <w:tab w:val="num" w:pos="2574"/>
        </w:tabs>
        <w:ind w:left="2574" w:hanging="360"/>
      </w:pPr>
      <w:rPr>
        <w:rFonts w:ascii="Courier New" w:hAnsi="Courier New" w:cs="Courier New" w:hint="default"/>
      </w:rPr>
    </w:lvl>
    <w:lvl w:ilvl="2" w:tplc="0C0A0005" w:tentative="1">
      <w:start w:val="1"/>
      <w:numFmt w:val="bullet"/>
      <w:lvlText w:val=""/>
      <w:lvlJc w:val="left"/>
      <w:pPr>
        <w:tabs>
          <w:tab w:val="num" w:pos="3294"/>
        </w:tabs>
        <w:ind w:left="3294" w:hanging="360"/>
      </w:pPr>
      <w:rPr>
        <w:rFonts w:ascii="Wingdings" w:hAnsi="Wingdings" w:hint="default"/>
      </w:rPr>
    </w:lvl>
    <w:lvl w:ilvl="3" w:tplc="0C0A0001" w:tentative="1">
      <w:start w:val="1"/>
      <w:numFmt w:val="bullet"/>
      <w:lvlText w:val=""/>
      <w:lvlJc w:val="left"/>
      <w:pPr>
        <w:tabs>
          <w:tab w:val="num" w:pos="4014"/>
        </w:tabs>
        <w:ind w:left="4014" w:hanging="360"/>
      </w:pPr>
      <w:rPr>
        <w:rFonts w:ascii="Symbol" w:hAnsi="Symbol" w:hint="default"/>
      </w:rPr>
    </w:lvl>
    <w:lvl w:ilvl="4" w:tplc="0C0A0003" w:tentative="1">
      <w:start w:val="1"/>
      <w:numFmt w:val="bullet"/>
      <w:lvlText w:val="o"/>
      <w:lvlJc w:val="left"/>
      <w:pPr>
        <w:tabs>
          <w:tab w:val="num" w:pos="4734"/>
        </w:tabs>
        <w:ind w:left="4734" w:hanging="360"/>
      </w:pPr>
      <w:rPr>
        <w:rFonts w:ascii="Courier New" w:hAnsi="Courier New" w:cs="Courier New" w:hint="default"/>
      </w:rPr>
    </w:lvl>
    <w:lvl w:ilvl="5" w:tplc="0C0A0005" w:tentative="1">
      <w:start w:val="1"/>
      <w:numFmt w:val="bullet"/>
      <w:lvlText w:val=""/>
      <w:lvlJc w:val="left"/>
      <w:pPr>
        <w:tabs>
          <w:tab w:val="num" w:pos="5454"/>
        </w:tabs>
        <w:ind w:left="5454" w:hanging="360"/>
      </w:pPr>
      <w:rPr>
        <w:rFonts w:ascii="Wingdings" w:hAnsi="Wingdings" w:hint="default"/>
      </w:rPr>
    </w:lvl>
    <w:lvl w:ilvl="6" w:tplc="0C0A0001" w:tentative="1">
      <w:start w:val="1"/>
      <w:numFmt w:val="bullet"/>
      <w:lvlText w:val=""/>
      <w:lvlJc w:val="left"/>
      <w:pPr>
        <w:tabs>
          <w:tab w:val="num" w:pos="6174"/>
        </w:tabs>
        <w:ind w:left="6174" w:hanging="360"/>
      </w:pPr>
      <w:rPr>
        <w:rFonts w:ascii="Symbol" w:hAnsi="Symbol" w:hint="default"/>
      </w:rPr>
    </w:lvl>
    <w:lvl w:ilvl="7" w:tplc="0C0A0003" w:tentative="1">
      <w:start w:val="1"/>
      <w:numFmt w:val="bullet"/>
      <w:lvlText w:val="o"/>
      <w:lvlJc w:val="left"/>
      <w:pPr>
        <w:tabs>
          <w:tab w:val="num" w:pos="6894"/>
        </w:tabs>
        <w:ind w:left="6894" w:hanging="360"/>
      </w:pPr>
      <w:rPr>
        <w:rFonts w:ascii="Courier New" w:hAnsi="Courier New" w:cs="Courier New" w:hint="default"/>
      </w:rPr>
    </w:lvl>
    <w:lvl w:ilvl="8" w:tplc="0C0A0005" w:tentative="1">
      <w:start w:val="1"/>
      <w:numFmt w:val="bullet"/>
      <w:lvlText w:val=""/>
      <w:lvlJc w:val="left"/>
      <w:pPr>
        <w:tabs>
          <w:tab w:val="num" w:pos="7614"/>
        </w:tabs>
        <w:ind w:left="7614" w:hanging="360"/>
      </w:pPr>
      <w:rPr>
        <w:rFonts w:ascii="Wingdings" w:hAnsi="Wingdings" w:hint="default"/>
      </w:rPr>
    </w:lvl>
  </w:abstractNum>
  <w:abstractNum w:abstractNumId="11">
    <w:nsid w:val="1A3A50F9"/>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12">
    <w:nsid w:val="1AAA3264"/>
    <w:multiLevelType w:val="hybridMultilevel"/>
    <w:tmpl w:val="0A501E5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FDB4734"/>
    <w:multiLevelType w:val="multilevel"/>
    <w:tmpl w:val="D164AA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36B6FB6"/>
    <w:multiLevelType w:val="hybridMultilevel"/>
    <w:tmpl w:val="D3700258"/>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262B68A8"/>
    <w:multiLevelType w:val="hybridMultilevel"/>
    <w:tmpl w:val="832237CA"/>
    <w:lvl w:ilvl="0" w:tplc="2C0A000F">
      <w:start w:val="1"/>
      <w:numFmt w:val="decimal"/>
      <w:lvlText w:val="%1."/>
      <w:lvlJc w:val="left"/>
      <w:pPr>
        <w:ind w:left="2098" w:hanging="360"/>
      </w:pPr>
    </w:lvl>
    <w:lvl w:ilvl="1" w:tplc="2C0A0019" w:tentative="1">
      <w:start w:val="1"/>
      <w:numFmt w:val="lowerLetter"/>
      <w:lvlText w:val="%2."/>
      <w:lvlJc w:val="left"/>
      <w:pPr>
        <w:ind w:left="2818" w:hanging="360"/>
      </w:pPr>
    </w:lvl>
    <w:lvl w:ilvl="2" w:tplc="2C0A001B" w:tentative="1">
      <w:start w:val="1"/>
      <w:numFmt w:val="lowerRoman"/>
      <w:lvlText w:val="%3."/>
      <w:lvlJc w:val="right"/>
      <w:pPr>
        <w:ind w:left="3538" w:hanging="180"/>
      </w:pPr>
    </w:lvl>
    <w:lvl w:ilvl="3" w:tplc="2C0A000F" w:tentative="1">
      <w:start w:val="1"/>
      <w:numFmt w:val="decimal"/>
      <w:lvlText w:val="%4."/>
      <w:lvlJc w:val="left"/>
      <w:pPr>
        <w:ind w:left="4258" w:hanging="360"/>
      </w:pPr>
    </w:lvl>
    <w:lvl w:ilvl="4" w:tplc="2C0A0019" w:tentative="1">
      <w:start w:val="1"/>
      <w:numFmt w:val="lowerLetter"/>
      <w:lvlText w:val="%5."/>
      <w:lvlJc w:val="left"/>
      <w:pPr>
        <w:ind w:left="4978" w:hanging="360"/>
      </w:pPr>
    </w:lvl>
    <w:lvl w:ilvl="5" w:tplc="2C0A001B" w:tentative="1">
      <w:start w:val="1"/>
      <w:numFmt w:val="lowerRoman"/>
      <w:lvlText w:val="%6."/>
      <w:lvlJc w:val="right"/>
      <w:pPr>
        <w:ind w:left="5698" w:hanging="180"/>
      </w:pPr>
    </w:lvl>
    <w:lvl w:ilvl="6" w:tplc="2C0A000F" w:tentative="1">
      <w:start w:val="1"/>
      <w:numFmt w:val="decimal"/>
      <w:lvlText w:val="%7."/>
      <w:lvlJc w:val="left"/>
      <w:pPr>
        <w:ind w:left="6418" w:hanging="360"/>
      </w:pPr>
    </w:lvl>
    <w:lvl w:ilvl="7" w:tplc="2C0A0019" w:tentative="1">
      <w:start w:val="1"/>
      <w:numFmt w:val="lowerLetter"/>
      <w:lvlText w:val="%8."/>
      <w:lvlJc w:val="left"/>
      <w:pPr>
        <w:ind w:left="7138" w:hanging="360"/>
      </w:pPr>
    </w:lvl>
    <w:lvl w:ilvl="8" w:tplc="2C0A001B" w:tentative="1">
      <w:start w:val="1"/>
      <w:numFmt w:val="lowerRoman"/>
      <w:lvlText w:val="%9."/>
      <w:lvlJc w:val="right"/>
      <w:pPr>
        <w:ind w:left="7858" w:hanging="180"/>
      </w:pPr>
    </w:lvl>
  </w:abstractNum>
  <w:abstractNum w:abstractNumId="16">
    <w:nsid w:val="28B30829"/>
    <w:multiLevelType w:val="hybridMultilevel"/>
    <w:tmpl w:val="95A686E6"/>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7">
    <w:nsid w:val="294A2458"/>
    <w:multiLevelType w:val="singleLevel"/>
    <w:tmpl w:val="0C0A0017"/>
    <w:lvl w:ilvl="0">
      <w:start w:val="1"/>
      <w:numFmt w:val="lowerLetter"/>
      <w:lvlText w:val="%1)"/>
      <w:lvlJc w:val="left"/>
      <w:pPr>
        <w:tabs>
          <w:tab w:val="num" w:pos="360"/>
        </w:tabs>
        <w:ind w:left="360" w:hanging="360"/>
      </w:pPr>
    </w:lvl>
  </w:abstractNum>
  <w:abstractNum w:abstractNumId="18">
    <w:nsid w:val="2ED42764"/>
    <w:multiLevelType w:val="singleLevel"/>
    <w:tmpl w:val="8CAE8D46"/>
    <w:lvl w:ilvl="0">
      <w:start w:val="1"/>
      <w:numFmt w:val="upperLetter"/>
      <w:lvlText w:val="%1 -"/>
      <w:lvlJc w:val="left"/>
      <w:pPr>
        <w:tabs>
          <w:tab w:val="num" w:pos="360"/>
        </w:tabs>
        <w:ind w:left="360" w:hanging="360"/>
      </w:pPr>
      <w:rPr>
        <w:rFonts w:ascii="CG Times (W1)" w:hAnsi="CG Times (W1)" w:hint="default"/>
        <w:b/>
        <w:i w:val="0"/>
        <w:sz w:val="22"/>
        <w:u w:val="none"/>
      </w:rPr>
    </w:lvl>
  </w:abstractNum>
  <w:abstractNum w:abstractNumId="19">
    <w:nsid w:val="2F4A7431"/>
    <w:multiLevelType w:val="singleLevel"/>
    <w:tmpl w:val="59AA334A"/>
    <w:lvl w:ilvl="0">
      <w:start w:val="1"/>
      <w:numFmt w:val="bullet"/>
      <w:lvlText w:val=""/>
      <w:lvlJc w:val="left"/>
      <w:pPr>
        <w:tabs>
          <w:tab w:val="num" w:pos="360"/>
        </w:tabs>
        <w:ind w:left="360" w:hanging="360"/>
      </w:pPr>
      <w:rPr>
        <w:rFonts w:ascii="Wingdings" w:hAnsi="Wingdings" w:hint="default"/>
        <w:sz w:val="16"/>
      </w:rPr>
    </w:lvl>
  </w:abstractNum>
  <w:abstractNum w:abstractNumId="20">
    <w:nsid w:val="37EF179B"/>
    <w:multiLevelType w:val="hybridMultilevel"/>
    <w:tmpl w:val="92204BC4"/>
    <w:lvl w:ilvl="0" w:tplc="0C0A000F">
      <w:start w:val="1"/>
      <w:numFmt w:val="decimal"/>
      <w:lvlText w:val="%1."/>
      <w:lvlJc w:val="left"/>
      <w:pPr>
        <w:tabs>
          <w:tab w:val="num" w:pos="1854"/>
        </w:tabs>
        <w:ind w:left="1854" w:hanging="360"/>
      </w:pPr>
    </w:lvl>
    <w:lvl w:ilvl="1" w:tplc="0C0A0019" w:tentative="1">
      <w:start w:val="1"/>
      <w:numFmt w:val="lowerLetter"/>
      <w:lvlText w:val="%2."/>
      <w:lvlJc w:val="left"/>
      <w:pPr>
        <w:tabs>
          <w:tab w:val="num" w:pos="2574"/>
        </w:tabs>
        <w:ind w:left="2574" w:hanging="360"/>
      </w:pPr>
    </w:lvl>
    <w:lvl w:ilvl="2" w:tplc="0C0A001B" w:tentative="1">
      <w:start w:val="1"/>
      <w:numFmt w:val="lowerRoman"/>
      <w:lvlText w:val="%3."/>
      <w:lvlJc w:val="right"/>
      <w:pPr>
        <w:tabs>
          <w:tab w:val="num" w:pos="3294"/>
        </w:tabs>
        <w:ind w:left="3294" w:hanging="180"/>
      </w:pPr>
    </w:lvl>
    <w:lvl w:ilvl="3" w:tplc="0C0A000F" w:tentative="1">
      <w:start w:val="1"/>
      <w:numFmt w:val="decimal"/>
      <w:lvlText w:val="%4."/>
      <w:lvlJc w:val="left"/>
      <w:pPr>
        <w:tabs>
          <w:tab w:val="num" w:pos="4014"/>
        </w:tabs>
        <w:ind w:left="4014" w:hanging="360"/>
      </w:pPr>
    </w:lvl>
    <w:lvl w:ilvl="4" w:tplc="0C0A0019" w:tentative="1">
      <w:start w:val="1"/>
      <w:numFmt w:val="lowerLetter"/>
      <w:lvlText w:val="%5."/>
      <w:lvlJc w:val="left"/>
      <w:pPr>
        <w:tabs>
          <w:tab w:val="num" w:pos="4734"/>
        </w:tabs>
        <w:ind w:left="4734" w:hanging="360"/>
      </w:pPr>
    </w:lvl>
    <w:lvl w:ilvl="5" w:tplc="0C0A001B" w:tentative="1">
      <w:start w:val="1"/>
      <w:numFmt w:val="lowerRoman"/>
      <w:lvlText w:val="%6."/>
      <w:lvlJc w:val="right"/>
      <w:pPr>
        <w:tabs>
          <w:tab w:val="num" w:pos="5454"/>
        </w:tabs>
        <w:ind w:left="5454" w:hanging="180"/>
      </w:pPr>
    </w:lvl>
    <w:lvl w:ilvl="6" w:tplc="0C0A000F" w:tentative="1">
      <w:start w:val="1"/>
      <w:numFmt w:val="decimal"/>
      <w:lvlText w:val="%7."/>
      <w:lvlJc w:val="left"/>
      <w:pPr>
        <w:tabs>
          <w:tab w:val="num" w:pos="6174"/>
        </w:tabs>
        <w:ind w:left="6174" w:hanging="360"/>
      </w:pPr>
    </w:lvl>
    <w:lvl w:ilvl="7" w:tplc="0C0A0019" w:tentative="1">
      <w:start w:val="1"/>
      <w:numFmt w:val="lowerLetter"/>
      <w:lvlText w:val="%8."/>
      <w:lvlJc w:val="left"/>
      <w:pPr>
        <w:tabs>
          <w:tab w:val="num" w:pos="6894"/>
        </w:tabs>
        <w:ind w:left="6894" w:hanging="360"/>
      </w:pPr>
    </w:lvl>
    <w:lvl w:ilvl="8" w:tplc="0C0A001B" w:tentative="1">
      <w:start w:val="1"/>
      <w:numFmt w:val="lowerRoman"/>
      <w:lvlText w:val="%9."/>
      <w:lvlJc w:val="right"/>
      <w:pPr>
        <w:tabs>
          <w:tab w:val="num" w:pos="7614"/>
        </w:tabs>
        <w:ind w:left="7614" w:hanging="180"/>
      </w:pPr>
    </w:lvl>
  </w:abstractNum>
  <w:abstractNum w:abstractNumId="21">
    <w:nsid w:val="39CB7256"/>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22">
    <w:nsid w:val="3A244739"/>
    <w:multiLevelType w:val="hybridMultilevel"/>
    <w:tmpl w:val="393E66CC"/>
    <w:lvl w:ilvl="0" w:tplc="2C0A0001">
      <w:start w:val="1"/>
      <w:numFmt w:val="bullet"/>
      <w:lvlText w:val=""/>
      <w:lvlJc w:val="left"/>
      <w:pPr>
        <w:tabs>
          <w:tab w:val="num" w:pos="786"/>
        </w:tabs>
        <w:ind w:left="786" w:hanging="360"/>
      </w:pPr>
      <w:rPr>
        <w:rFonts w:ascii="Symbol" w:hAnsi="Symbol"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3">
    <w:nsid w:val="3E6D26CB"/>
    <w:multiLevelType w:val="singleLevel"/>
    <w:tmpl w:val="4ED84902"/>
    <w:lvl w:ilvl="0">
      <w:start w:val="1"/>
      <w:numFmt w:val="lowerLetter"/>
      <w:lvlText w:val="%1)"/>
      <w:lvlJc w:val="left"/>
      <w:pPr>
        <w:tabs>
          <w:tab w:val="num" w:pos="824"/>
        </w:tabs>
        <w:ind w:left="824" w:hanging="540"/>
      </w:pPr>
      <w:rPr>
        <w:rFonts w:hint="default"/>
      </w:rPr>
    </w:lvl>
  </w:abstractNum>
  <w:abstractNum w:abstractNumId="24">
    <w:nsid w:val="40827FB8"/>
    <w:multiLevelType w:val="hybridMultilevel"/>
    <w:tmpl w:val="EBCA48E6"/>
    <w:lvl w:ilvl="0" w:tplc="2C0A000F">
      <w:start w:val="1"/>
      <w:numFmt w:val="decimal"/>
      <w:lvlText w:val="%1."/>
      <w:lvlJc w:val="left"/>
      <w:pPr>
        <w:ind w:left="720" w:hanging="360"/>
      </w:p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5">
    <w:nsid w:val="43F26DD5"/>
    <w:multiLevelType w:val="hybridMultilevel"/>
    <w:tmpl w:val="C1C8D0AC"/>
    <w:lvl w:ilvl="0" w:tplc="2C0A0001">
      <w:start w:val="1"/>
      <w:numFmt w:val="bullet"/>
      <w:lvlText w:val=""/>
      <w:lvlJc w:val="left"/>
      <w:pPr>
        <w:ind w:left="2098" w:hanging="360"/>
      </w:pPr>
      <w:rPr>
        <w:rFonts w:ascii="Symbol" w:hAnsi="Symbol" w:hint="default"/>
      </w:rPr>
    </w:lvl>
    <w:lvl w:ilvl="1" w:tplc="2C0A0003" w:tentative="1">
      <w:start w:val="1"/>
      <w:numFmt w:val="bullet"/>
      <w:lvlText w:val="o"/>
      <w:lvlJc w:val="left"/>
      <w:pPr>
        <w:ind w:left="2818" w:hanging="360"/>
      </w:pPr>
      <w:rPr>
        <w:rFonts w:ascii="Courier New" w:hAnsi="Courier New" w:cs="Courier New" w:hint="default"/>
      </w:rPr>
    </w:lvl>
    <w:lvl w:ilvl="2" w:tplc="2C0A0005" w:tentative="1">
      <w:start w:val="1"/>
      <w:numFmt w:val="bullet"/>
      <w:lvlText w:val=""/>
      <w:lvlJc w:val="left"/>
      <w:pPr>
        <w:ind w:left="3538" w:hanging="360"/>
      </w:pPr>
      <w:rPr>
        <w:rFonts w:ascii="Wingdings" w:hAnsi="Wingdings" w:hint="default"/>
      </w:rPr>
    </w:lvl>
    <w:lvl w:ilvl="3" w:tplc="2C0A0001" w:tentative="1">
      <w:start w:val="1"/>
      <w:numFmt w:val="bullet"/>
      <w:lvlText w:val=""/>
      <w:lvlJc w:val="left"/>
      <w:pPr>
        <w:ind w:left="4258" w:hanging="360"/>
      </w:pPr>
      <w:rPr>
        <w:rFonts w:ascii="Symbol" w:hAnsi="Symbol" w:hint="default"/>
      </w:rPr>
    </w:lvl>
    <w:lvl w:ilvl="4" w:tplc="2C0A0003" w:tentative="1">
      <w:start w:val="1"/>
      <w:numFmt w:val="bullet"/>
      <w:lvlText w:val="o"/>
      <w:lvlJc w:val="left"/>
      <w:pPr>
        <w:ind w:left="4978" w:hanging="360"/>
      </w:pPr>
      <w:rPr>
        <w:rFonts w:ascii="Courier New" w:hAnsi="Courier New" w:cs="Courier New" w:hint="default"/>
      </w:rPr>
    </w:lvl>
    <w:lvl w:ilvl="5" w:tplc="2C0A0005" w:tentative="1">
      <w:start w:val="1"/>
      <w:numFmt w:val="bullet"/>
      <w:lvlText w:val=""/>
      <w:lvlJc w:val="left"/>
      <w:pPr>
        <w:ind w:left="5698" w:hanging="360"/>
      </w:pPr>
      <w:rPr>
        <w:rFonts w:ascii="Wingdings" w:hAnsi="Wingdings" w:hint="default"/>
      </w:rPr>
    </w:lvl>
    <w:lvl w:ilvl="6" w:tplc="2C0A0001" w:tentative="1">
      <w:start w:val="1"/>
      <w:numFmt w:val="bullet"/>
      <w:lvlText w:val=""/>
      <w:lvlJc w:val="left"/>
      <w:pPr>
        <w:ind w:left="6418" w:hanging="360"/>
      </w:pPr>
      <w:rPr>
        <w:rFonts w:ascii="Symbol" w:hAnsi="Symbol" w:hint="default"/>
      </w:rPr>
    </w:lvl>
    <w:lvl w:ilvl="7" w:tplc="2C0A0003" w:tentative="1">
      <w:start w:val="1"/>
      <w:numFmt w:val="bullet"/>
      <w:lvlText w:val="o"/>
      <w:lvlJc w:val="left"/>
      <w:pPr>
        <w:ind w:left="7138" w:hanging="360"/>
      </w:pPr>
      <w:rPr>
        <w:rFonts w:ascii="Courier New" w:hAnsi="Courier New" w:cs="Courier New" w:hint="default"/>
      </w:rPr>
    </w:lvl>
    <w:lvl w:ilvl="8" w:tplc="2C0A0005" w:tentative="1">
      <w:start w:val="1"/>
      <w:numFmt w:val="bullet"/>
      <w:lvlText w:val=""/>
      <w:lvlJc w:val="left"/>
      <w:pPr>
        <w:ind w:left="7858" w:hanging="360"/>
      </w:pPr>
      <w:rPr>
        <w:rFonts w:ascii="Wingdings" w:hAnsi="Wingdings" w:hint="default"/>
      </w:rPr>
    </w:lvl>
  </w:abstractNum>
  <w:abstractNum w:abstractNumId="26">
    <w:nsid w:val="47430FF3"/>
    <w:multiLevelType w:val="singleLevel"/>
    <w:tmpl w:val="0A829AAA"/>
    <w:lvl w:ilvl="0">
      <w:start w:val="1"/>
      <w:numFmt w:val="lowerLetter"/>
      <w:lvlText w:val="%1)"/>
      <w:lvlJc w:val="left"/>
      <w:pPr>
        <w:tabs>
          <w:tab w:val="num" w:pos="644"/>
        </w:tabs>
        <w:ind w:left="644" w:hanging="360"/>
      </w:pPr>
      <w:rPr>
        <w:rFonts w:hint="default"/>
      </w:rPr>
    </w:lvl>
  </w:abstractNum>
  <w:abstractNum w:abstractNumId="27">
    <w:nsid w:val="487B5C3A"/>
    <w:multiLevelType w:val="singleLevel"/>
    <w:tmpl w:val="CF240F76"/>
    <w:lvl w:ilvl="0">
      <w:start w:val="3"/>
      <w:numFmt w:val="bullet"/>
      <w:lvlText w:val="-"/>
      <w:lvlJc w:val="left"/>
      <w:pPr>
        <w:tabs>
          <w:tab w:val="num" w:pos="644"/>
        </w:tabs>
        <w:ind w:left="644" w:hanging="360"/>
      </w:pPr>
      <w:rPr>
        <w:rFonts w:hint="default"/>
      </w:rPr>
    </w:lvl>
  </w:abstractNum>
  <w:abstractNum w:abstractNumId="28">
    <w:nsid w:val="49452BFA"/>
    <w:multiLevelType w:val="singleLevel"/>
    <w:tmpl w:val="5978DB1C"/>
    <w:lvl w:ilvl="0">
      <w:numFmt w:val="bullet"/>
      <w:lvlText w:val="-"/>
      <w:lvlJc w:val="left"/>
      <w:pPr>
        <w:tabs>
          <w:tab w:val="num" w:pos="360"/>
        </w:tabs>
        <w:ind w:left="360" w:hanging="360"/>
      </w:pPr>
      <w:rPr>
        <w:rFonts w:hint="default"/>
      </w:rPr>
    </w:lvl>
  </w:abstractNum>
  <w:abstractNum w:abstractNumId="29">
    <w:nsid w:val="4F675DCA"/>
    <w:multiLevelType w:val="hybridMultilevel"/>
    <w:tmpl w:val="D4EAAEF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0">
    <w:nsid w:val="57935C62"/>
    <w:multiLevelType w:val="singleLevel"/>
    <w:tmpl w:val="21422C2A"/>
    <w:lvl w:ilvl="0">
      <w:start w:val="1"/>
      <w:numFmt w:val="upperLetter"/>
      <w:lvlText w:val="%1 - "/>
      <w:lvlJc w:val="left"/>
      <w:pPr>
        <w:tabs>
          <w:tab w:val="num" w:pos="360"/>
        </w:tabs>
        <w:ind w:left="360" w:hanging="360"/>
      </w:pPr>
      <w:rPr>
        <w:rFonts w:ascii="Arial" w:hAnsi="Arial" w:hint="default"/>
        <w:b/>
        <w:i w:val="0"/>
        <w:sz w:val="20"/>
        <w:u w:val="none"/>
      </w:rPr>
    </w:lvl>
  </w:abstractNum>
  <w:abstractNum w:abstractNumId="31">
    <w:nsid w:val="59847839"/>
    <w:multiLevelType w:val="hybridMultilevel"/>
    <w:tmpl w:val="5B0EB582"/>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2">
    <w:nsid w:val="5C7D766B"/>
    <w:multiLevelType w:val="singleLevel"/>
    <w:tmpl w:val="66646B2E"/>
    <w:lvl w:ilvl="0">
      <w:start w:val="4"/>
      <w:numFmt w:val="upperLetter"/>
      <w:lvlText w:val="%1-"/>
      <w:lvlJc w:val="left"/>
      <w:pPr>
        <w:tabs>
          <w:tab w:val="num" w:pos="360"/>
        </w:tabs>
        <w:ind w:left="360" w:hanging="360"/>
      </w:pPr>
      <w:rPr>
        <w:rFonts w:hint="default"/>
      </w:rPr>
    </w:lvl>
  </w:abstractNum>
  <w:abstractNum w:abstractNumId="33">
    <w:nsid w:val="615137F8"/>
    <w:multiLevelType w:val="singleLevel"/>
    <w:tmpl w:val="AD30941A"/>
    <w:lvl w:ilvl="0">
      <w:start w:val="1"/>
      <w:numFmt w:val="decimal"/>
      <w:lvlText w:val="%1."/>
      <w:lvlJc w:val="left"/>
      <w:pPr>
        <w:tabs>
          <w:tab w:val="num" w:pos="1381"/>
        </w:tabs>
        <w:ind w:left="1381" w:hanging="360"/>
      </w:pPr>
      <w:rPr>
        <w:rFonts w:hint="default"/>
      </w:rPr>
    </w:lvl>
  </w:abstractNum>
  <w:abstractNum w:abstractNumId="34">
    <w:nsid w:val="64A2553A"/>
    <w:multiLevelType w:val="hybridMultilevel"/>
    <w:tmpl w:val="1F847920"/>
    <w:lvl w:ilvl="0" w:tplc="63DEB1B8">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5">
    <w:nsid w:val="64CF28D2"/>
    <w:multiLevelType w:val="singleLevel"/>
    <w:tmpl w:val="4F967F06"/>
    <w:lvl w:ilvl="0">
      <w:start w:val="1"/>
      <w:numFmt w:val="lowerLetter"/>
      <w:lvlText w:val="%1)"/>
      <w:lvlJc w:val="left"/>
      <w:pPr>
        <w:tabs>
          <w:tab w:val="num" w:pos="360"/>
        </w:tabs>
        <w:ind w:left="360" w:hanging="360"/>
      </w:pPr>
      <w:rPr>
        <w:rFonts w:hint="default"/>
      </w:rPr>
    </w:lvl>
  </w:abstractNum>
  <w:abstractNum w:abstractNumId="36">
    <w:nsid w:val="69274AEE"/>
    <w:multiLevelType w:val="hybridMultilevel"/>
    <w:tmpl w:val="1E6A1638"/>
    <w:lvl w:ilvl="0" w:tplc="B262DF24">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7">
    <w:nsid w:val="73AD0CD0"/>
    <w:multiLevelType w:val="singleLevel"/>
    <w:tmpl w:val="0C0A0017"/>
    <w:lvl w:ilvl="0">
      <w:start w:val="1"/>
      <w:numFmt w:val="lowerLetter"/>
      <w:lvlText w:val="%1)"/>
      <w:lvlJc w:val="left"/>
      <w:pPr>
        <w:tabs>
          <w:tab w:val="num" w:pos="360"/>
        </w:tabs>
        <w:ind w:left="360" w:hanging="360"/>
      </w:pPr>
    </w:lvl>
  </w:abstractNum>
  <w:abstractNum w:abstractNumId="38">
    <w:nsid w:val="75B26E47"/>
    <w:multiLevelType w:val="singleLevel"/>
    <w:tmpl w:val="D57CAA26"/>
    <w:lvl w:ilvl="0">
      <w:start w:val="1"/>
      <w:numFmt w:val="lowerLetter"/>
      <w:lvlText w:val="%1)"/>
      <w:lvlJc w:val="left"/>
      <w:pPr>
        <w:tabs>
          <w:tab w:val="num" w:pos="1494"/>
        </w:tabs>
        <w:ind w:left="1494" w:hanging="360"/>
      </w:pPr>
      <w:rPr>
        <w:rFonts w:hint="default"/>
      </w:rPr>
    </w:lvl>
  </w:abstractNum>
  <w:abstractNum w:abstractNumId="39">
    <w:nsid w:val="78FA6A21"/>
    <w:multiLevelType w:val="singleLevel"/>
    <w:tmpl w:val="193EA61C"/>
    <w:lvl w:ilvl="0">
      <w:start w:val="3"/>
      <w:numFmt w:val="bullet"/>
      <w:lvlText w:val="-"/>
      <w:lvlJc w:val="left"/>
      <w:pPr>
        <w:tabs>
          <w:tab w:val="num" w:pos="360"/>
        </w:tabs>
        <w:ind w:left="360" w:hanging="360"/>
      </w:pPr>
      <w:rPr>
        <w:rFonts w:ascii="Times New Roman" w:hAnsi="Times New Roman" w:hint="default"/>
      </w:rPr>
    </w:lvl>
  </w:abstractNum>
  <w:abstractNum w:abstractNumId="40">
    <w:nsid w:val="7A8466CF"/>
    <w:multiLevelType w:val="hybridMultilevel"/>
    <w:tmpl w:val="A7529D2C"/>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41">
    <w:nsid w:val="7B216409"/>
    <w:multiLevelType w:val="singleLevel"/>
    <w:tmpl w:val="0C0A0017"/>
    <w:lvl w:ilvl="0">
      <w:start w:val="1"/>
      <w:numFmt w:val="lowerLetter"/>
      <w:lvlText w:val="%1)"/>
      <w:lvlJc w:val="left"/>
      <w:pPr>
        <w:tabs>
          <w:tab w:val="num" w:pos="360"/>
        </w:tabs>
        <w:ind w:left="360" w:hanging="360"/>
      </w:pPr>
    </w:lvl>
  </w:abstractNum>
  <w:num w:numId="1">
    <w:abstractNumId w:val="33"/>
  </w:num>
  <w:num w:numId="2">
    <w:abstractNumId w:val="35"/>
  </w:num>
  <w:num w:numId="3">
    <w:abstractNumId w:val="0"/>
  </w:num>
  <w:num w:numId="4">
    <w:abstractNumId w:val="37"/>
  </w:num>
  <w:num w:numId="5">
    <w:abstractNumId w:val="17"/>
  </w:num>
  <w:num w:numId="6">
    <w:abstractNumId w:val="3"/>
  </w:num>
  <w:num w:numId="7">
    <w:abstractNumId w:val="6"/>
  </w:num>
  <w:num w:numId="8">
    <w:abstractNumId w:val="19"/>
  </w:num>
  <w:num w:numId="9">
    <w:abstractNumId w:val="28"/>
  </w:num>
  <w:num w:numId="10">
    <w:abstractNumId w:val="1"/>
  </w:num>
  <w:num w:numId="11">
    <w:abstractNumId w:val="8"/>
  </w:num>
  <w:num w:numId="12">
    <w:abstractNumId w:val="39"/>
  </w:num>
  <w:num w:numId="13">
    <w:abstractNumId w:val="5"/>
  </w:num>
  <w:num w:numId="14">
    <w:abstractNumId w:val="7"/>
  </w:num>
  <w:num w:numId="15">
    <w:abstractNumId w:val="4"/>
  </w:num>
  <w:num w:numId="16">
    <w:abstractNumId w:val="18"/>
  </w:num>
  <w:num w:numId="17">
    <w:abstractNumId w:val="11"/>
  </w:num>
  <w:num w:numId="18">
    <w:abstractNumId w:val="2"/>
  </w:num>
  <w:num w:numId="19">
    <w:abstractNumId w:val="30"/>
  </w:num>
  <w:num w:numId="20">
    <w:abstractNumId w:val="32"/>
  </w:num>
  <w:num w:numId="21">
    <w:abstractNumId w:val="41"/>
  </w:num>
  <w:num w:numId="22">
    <w:abstractNumId w:val="38"/>
  </w:num>
  <w:num w:numId="23">
    <w:abstractNumId w:val="21"/>
  </w:num>
  <w:num w:numId="24">
    <w:abstractNumId w:val="26"/>
  </w:num>
  <w:num w:numId="25">
    <w:abstractNumId w:val="27"/>
  </w:num>
  <w:num w:numId="26">
    <w:abstractNumId w:val="23"/>
  </w:num>
  <w:num w:numId="27">
    <w:abstractNumId w:val="20"/>
  </w:num>
  <w:num w:numId="28">
    <w:abstractNumId w:val="10"/>
  </w:num>
  <w:num w:numId="29">
    <w:abstractNumId w:val="22"/>
  </w:num>
  <w:num w:numId="30">
    <w:abstractNumId w:val="31"/>
  </w:num>
  <w:num w:numId="31">
    <w:abstractNumId w:val="16"/>
  </w:num>
  <w:num w:numId="32">
    <w:abstractNumId w:val="14"/>
  </w:num>
  <w:num w:numId="33">
    <w:abstractNumId w:val="12"/>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5"/>
  </w:num>
  <w:num w:numId="37">
    <w:abstractNumId w:val="34"/>
  </w:num>
  <w:num w:numId="38">
    <w:abstractNumId w:val="29"/>
  </w:num>
  <w:num w:numId="39">
    <w:abstractNumId w:val="40"/>
  </w:num>
  <w:num w:numId="40">
    <w:abstractNumId w:val="9"/>
  </w:num>
  <w:num w:numId="41">
    <w:abstractNumId w:val="13"/>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1945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2A7"/>
    <w:rsid w:val="00045BDE"/>
    <w:rsid w:val="00052432"/>
    <w:rsid w:val="000759CA"/>
    <w:rsid w:val="000D6C85"/>
    <w:rsid w:val="000D7983"/>
    <w:rsid w:val="0010674D"/>
    <w:rsid w:val="00111C00"/>
    <w:rsid w:val="00133124"/>
    <w:rsid w:val="001858D0"/>
    <w:rsid w:val="001A48BC"/>
    <w:rsid w:val="001D4501"/>
    <w:rsid w:val="001F73B9"/>
    <w:rsid w:val="00214A93"/>
    <w:rsid w:val="00271AFF"/>
    <w:rsid w:val="002728B8"/>
    <w:rsid w:val="0028086D"/>
    <w:rsid w:val="002B011E"/>
    <w:rsid w:val="002E508A"/>
    <w:rsid w:val="003329D6"/>
    <w:rsid w:val="003805EA"/>
    <w:rsid w:val="003A4512"/>
    <w:rsid w:val="003C6C48"/>
    <w:rsid w:val="003D794B"/>
    <w:rsid w:val="003E4EC9"/>
    <w:rsid w:val="00406A16"/>
    <w:rsid w:val="004208EF"/>
    <w:rsid w:val="00433BC1"/>
    <w:rsid w:val="00451E62"/>
    <w:rsid w:val="00457ED2"/>
    <w:rsid w:val="004765B2"/>
    <w:rsid w:val="00494BEA"/>
    <w:rsid w:val="004B2457"/>
    <w:rsid w:val="004C5F99"/>
    <w:rsid w:val="004F41BE"/>
    <w:rsid w:val="00506D66"/>
    <w:rsid w:val="00521893"/>
    <w:rsid w:val="005275BF"/>
    <w:rsid w:val="00540889"/>
    <w:rsid w:val="005B5705"/>
    <w:rsid w:val="005C4FAF"/>
    <w:rsid w:val="00633617"/>
    <w:rsid w:val="0063744A"/>
    <w:rsid w:val="00726AF8"/>
    <w:rsid w:val="00727C15"/>
    <w:rsid w:val="00765F70"/>
    <w:rsid w:val="007C47B4"/>
    <w:rsid w:val="007F7479"/>
    <w:rsid w:val="00801704"/>
    <w:rsid w:val="00804874"/>
    <w:rsid w:val="00846B9A"/>
    <w:rsid w:val="008551DA"/>
    <w:rsid w:val="00867516"/>
    <w:rsid w:val="008A3EC3"/>
    <w:rsid w:val="008A5A09"/>
    <w:rsid w:val="008B452E"/>
    <w:rsid w:val="008F09DE"/>
    <w:rsid w:val="00900DB1"/>
    <w:rsid w:val="009213CC"/>
    <w:rsid w:val="009520B8"/>
    <w:rsid w:val="00980D3A"/>
    <w:rsid w:val="009E4BEB"/>
    <w:rsid w:val="009F65E9"/>
    <w:rsid w:val="00A05752"/>
    <w:rsid w:val="00A270C0"/>
    <w:rsid w:val="00A467ED"/>
    <w:rsid w:val="00B342A7"/>
    <w:rsid w:val="00B44C53"/>
    <w:rsid w:val="00B52077"/>
    <w:rsid w:val="00BE1B6F"/>
    <w:rsid w:val="00C05037"/>
    <w:rsid w:val="00C3245E"/>
    <w:rsid w:val="00C44CB5"/>
    <w:rsid w:val="00C52D21"/>
    <w:rsid w:val="00CA744F"/>
    <w:rsid w:val="00CB421F"/>
    <w:rsid w:val="00CB5429"/>
    <w:rsid w:val="00CD17AB"/>
    <w:rsid w:val="00CE3620"/>
    <w:rsid w:val="00CF6091"/>
    <w:rsid w:val="00D12DC5"/>
    <w:rsid w:val="00D211C0"/>
    <w:rsid w:val="00D3261F"/>
    <w:rsid w:val="00DA3A1A"/>
    <w:rsid w:val="00DB5E20"/>
    <w:rsid w:val="00DD0716"/>
    <w:rsid w:val="00DD1787"/>
    <w:rsid w:val="00E44FCB"/>
    <w:rsid w:val="00E50796"/>
    <w:rsid w:val="00E7099D"/>
    <w:rsid w:val="00E92999"/>
    <w:rsid w:val="00E945D8"/>
    <w:rsid w:val="00ED4571"/>
    <w:rsid w:val="00EE57C1"/>
    <w:rsid w:val="00F3573C"/>
    <w:rsid w:val="00F41F3D"/>
    <w:rsid w:val="00F53A71"/>
    <w:rsid w:val="00F673FB"/>
    <w:rsid w:val="00F70785"/>
    <w:rsid w:val="00F86A23"/>
    <w:rsid w:val="00F9087A"/>
    <w:rsid w:val="00FA3F98"/>
    <w:rsid w:val="00FB114D"/>
    <w:rsid w:val="00FC117A"/>
    <w:rsid w:val="00FF46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pBdr>
        <w:top w:val="single" w:sz="6" w:space="1" w:color="auto"/>
        <w:left w:val="single" w:sz="6" w:space="1" w:color="auto"/>
        <w:bottom w:val="single" w:sz="6" w:space="1" w:color="auto"/>
        <w:right w:val="single" w:sz="6" w:space="1" w:color="auto"/>
      </w:pBdr>
      <w:shd w:val="pct30" w:color="auto" w:fill="auto"/>
      <w:outlineLvl w:val="0"/>
    </w:pPr>
    <w:rPr>
      <w:rFonts w:ascii="CG Times (W1)" w:hAnsi="CG Times (W1)"/>
      <w:b/>
      <w:sz w:val="22"/>
      <w:u w:val="single"/>
    </w:rPr>
  </w:style>
  <w:style w:type="paragraph" w:styleId="Ttulo2">
    <w:name w:val="heading 2"/>
    <w:basedOn w:val="Normal"/>
    <w:next w:val="Normal"/>
    <w:qFormat/>
    <w:pPr>
      <w:keepNext/>
      <w:tabs>
        <w:tab w:val="left" w:pos="993"/>
      </w:tabs>
      <w:spacing w:line="240" w:lineRule="exact"/>
      <w:jc w:val="both"/>
      <w:outlineLvl w:val="1"/>
    </w:pPr>
    <w:rPr>
      <w:rFonts w:ascii="CG Times (W1)" w:hAnsi="CG Times (W1)"/>
      <w:b/>
      <w:sz w:val="16"/>
    </w:rPr>
  </w:style>
  <w:style w:type="paragraph" w:styleId="Ttulo3">
    <w:name w:val="heading 3"/>
    <w:basedOn w:val="Normal"/>
    <w:next w:val="Normal"/>
    <w:qFormat/>
    <w:pPr>
      <w:keepNext/>
      <w:tabs>
        <w:tab w:val="left" w:pos="993"/>
        <w:tab w:val="left" w:pos="5954"/>
      </w:tabs>
      <w:spacing w:line="240" w:lineRule="exact"/>
      <w:outlineLvl w:val="2"/>
    </w:pPr>
    <w:rPr>
      <w:rFonts w:ascii="CG Times (W1)" w:hAnsi="CG Times (W1)"/>
      <w:b/>
      <w:sz w:val="16"/>
    </w:rPr>
  </w:style>
  <w:style w:type="paragraph" w:styleId="Ttulo4">
    <w:name w:val="heading 4"/>
    <w:basedOn w:val="Normal"/>
    <w:next w:val="Normal"/>
    <w:qFormat/>
    <w:pPr>
      <w:keepNext/>
      <w:spacing w:line="240" w:lineRule="exact"/>
      <w:jc w:val="center"/>
      <w:outlineLvl w:val="3"/>
    </w:pPr>
    <w:rPr>
      <w:rFonts w:ascii="CG Times" w:hAnsi="CG Times"/>
      <w:b/>
      <w:sz w:val="16"/>
    </w:rPr>
  </w:style>
  <w:style w:type="paragraph" w:styleId="Ttulo5">
    <w:name w:val="heading 5"/>
    <w:basedOn w:val="Normal"/>
    <w:next w:val="Normal"/>
    <w:qFormat/>
    <w:pPr>
      <w:keepNext/>
      <w:jc w:val="both"/>
      <w:outlineLvl w:val="4"/>
    </w:pPr>
    <w:rPr>
      <w:rFonts w:ascii="CG Times (W1)" w:hAnsi="CG Times (W1)"/>
      <w:b/>
      <w:sz w:val="22"/>
    </w:rPr>
  </w:style>
  <w:style w:type="paragraph" w:styleId="Ttulo6">
    <w:name w:val="heading 6"/>
    <w:basedOn w:val="Normal"/>
    <w:next w:val="Normal"/>
    <w:qFormat/>
    <w:pPr>
      <w:keepNext/>
      <w:jc w:val="center"/>
      <w:outlineLvl w:val="5"/>
    </w:pPr>
    <w:rPr>
      <w:rFonts w:ascii="CG Times (W1)" w:hAnsi="CG Times (W1)"/>
      <w:b/>
      <w:snapToGrid w:val="0"/>
      <w:color w:val="000000"/>
      <w:sz w:val="16"/>
      <w:lang w:val="es-ES"/>
    </w:rPr>
  </w:style>
  <w:style w:type="paragraph" w:styleId="Ttulo7">
    <w:name w:val="heading 7"/>
    <w:basedOn w:val="Normal"/>
    <w:next w:val="Normal"/>
    <w:qFormat/>
    <w:pPr>
      <w:keepNext/>
      <w:jc w:val="center"/>
      <w:outlineLvl w:val="6"/>
    </w:pPr>
    <w:rPr>
      <w:rFonts w:ascii="CG Times (W1)" w:hAnsi="CG Times (W1)"/>
      <w:b/>
      <w:sz w:val="72"/>
    </w:rPr>
  </w:style>
  <w:style w:type="paragraph" w:styleId="Ttulo8">
    <w:name w:val="heading 8"/>
    <w:basedOn w:val="Normal"/>
    <w:next w:val="Normal"/>
    <w:qFormat/>
    <w:pPr>
      <w:keepNext/>
      <w:jc w:val="center"/>
      <w:outlineLvl w:val="7"/>
    </w:pPr>
    <w:rPr>
      <w:rFonts w:ascii="CG Times (W1)" w:hAnsi="CG Times (W1)"/>
      <w:sz w:val="36"/>
    </w:rPr>
  </w:style>
  <w:style w:type="paragraph" w:styleId="Ttulo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8"/>
    </w:pPr>
    <w:rPr>
      <w:rFonts w:ascii="CG Times (W1)" w:hAnsi="CG Times (W1)"/>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ind w:left="1021"/>
      <w:jc w:val="both"/>
    </w:pPr>
    <w:rPr>
      <w:rFonts w:ascii="CG Times (W1)" w:hAnsi="CG Times (W1)"/>
      <w:sz w:val="22"/>
    </w:rPr>
  </w:style>
  <w:style w:type="paragraph" w:styleId="Sangra2detindependiente">
    <w:name w:val="Body Text Indent 2"/>
    <w:basedOn w:val="Normal"/>
    <w:pPr>
      <w:ind w:left="1378"/>
      <w:jc w:val="both"/>
    </w:pPr>
    <w:rPr>
      <w:rFonts w:ascii="CG Times (W1)" w:hAnsi="CG Times (W1)"/>
      <w:sz w:val="22"/>
    </w:rPr>
  </w:style>
  <w:style w:type="paragraph" w:styleId="Textoindependiente">
    <w:name w:val="Body Text"/>
    <w:basedOn w:val="Normal"/>
    <w:pPr>
      <w:spacing w:line="240" w:lineRule="exact"/>
      <w:jc w:val="both"/>
    </w:pPr>
    <w:rPr>
      <w:rFonts w:ascii="CG Times (W1)" w:hAnsi="CG Times (W1)"/>
      <w:b/>
      <w:sz w:val="24"/>
    </w:rPr>
  </w:style>
  <w:style w:type="paragraph" w:styleId="Sangra3detindependiente">
    <w:name w:val="Body Text Indent 3"/>
    <w:basedOn w:val="Normal"/>
    <w:pPr>
      <w:ind w:left="1738"/>
      <w:jc w:val="both"/>
    </w:pPr>
    <w:rPr>
      <w:rFonts w:ascii="CG Times (W1)" w:hAnsi="CG Times (W1)"/>
      <w:sz w:val="22"/>
    </w:rPr>
  </w:style>
  <w:style w:type="paragraph" w:styleId="Textoindependiente2">
    <w:name w:val="Body Text 2"/>
    <w:basedOn w:val="Normal"/>
    <w:rPr>
      <w:rFonts w:ascii="CG Times (W1)" w:hAnsi="CG Times (W1)"/>
      <w:b/>
      <w:sz w:val="22"/>
    </w:rPr>
  </w:style>
  <w:style w:type="paragraph" w:styleId="Textoindependiente3">
    <w:name w:val="Body Text 3"/>
    <w:basedOn w:val="Normal"/>
    <w:pPr>
      <w:jc w:val="both"/>
    </w:pPr>
    <w:rPr>
      <w:sz w:val="22"/>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tulo">
    <w:name w:val="Title"/>
    <w:basedOn w:val="Normal"/>
    <w:qFormat/>
    <w:pPr>
      <w:jc w:val="center"/>
    </w:pPr>
    <w:rPr>
      <w:rFonts w:ascii="Courier" w:hAnsi="Courier"/>
      <w:b/>
      <w:sz w:val="28"/>
      <w:u w:val="single"/>
    </w:rPr>
  </w:style>
  <w:style w:type="paragraph" w:styleId="Epgrafe">
    <w:name w:val="caption"/>
    <w:basedOn w:val="Normal"/>
    <w:next w:val="Normal"/>
    <w:qFormat/>
    <w:pPr>
      <w:spacing w:line="240" w:lineRule="exact"/>
    </w:pPr>
    <w:rPr>
      <w:rFonts w:ascii="CG Times (W1)" w:hAnsi="CG Times (W1)"/>
      <w:b/>
      <w:sz w:val="24"/>
      <w:lang w:val="es-ES_tradnl"/>
    </w:rPr>
  </w:style>
  <w:style w:type="paragraph" w:styleId="Encabezado">
    <w:name w:val="header"/>
    <w:basedOn w:val="Normal"/>
    <w:pPr>
      <w:tabs>
        <w:tab w:val="center" w:pos="4419"/>
        <w:tab w:val="right" w:pos="8838"/>
      </w:tabs>
    </w:pPr>
  </w:style>
  <w:style w:type="paragraph" w:styleId="Textodebloque">
    <w:name w:val="Block Text"/>
    <w:basedOn w:val="Normal"/>
    <w:pPr>
      <w:ind w:left="284" w:right="-426"/>
      <w:jc w:val="both"/>
    </w:pPr>
    <w:rPr>
      <w:sz w:val="24"/>
      <w:lang w:val="es-ES"/>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eastAsia="es-ES"/>
    </w:rPr>
  </w:style>
  <w:style w:type="paragraph" w:styleId="Prrafodelista">
    <w:name w:val="List Paragraph"/>
    <w:basedOn w:val="Normal"/>
    <w:uiPriority w:val="34"/>
    <w:qFormat/>
    <w:pPr>
      <w:ind w:left="708"/>
    </w:pPr>
  </w:style>
  <w:style w:type="character" w:styleId="Hipervnculo">
    <w:name w:val="Hyperlink"/>
    <w:uiPriority w:val="99"/>
    <w:unhideWhenUsed/>
    <w:rsid w:val="00CB42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pBdr>
        <w:top w:val="single" w:sz="6" w:space="1" w:color="auto"/>
        <w:left w:val="single" w:sz="6" w:space="1" w:color="auto"/>
        <w:bottom w:val="single" w:sz="6" w:space="1" w:color="auto"/>
        <w:right w:val="single" w:sz="6" w:space="1" w:color="auto"/>
      </w:pBdr>
      <w:shd w:val="pct30" w:color="auto" w:fill="auto"/>
      <w:outlineLvl w:val="0"/>
    </w:pPr>
    <w:rPr>
      <w:rFonts w:ascii="CG Times (W1)" w:hAnsi="CG Times (W1)"/>
      <w:b/>
      <w:sz w:val="22"/>
      <w:u w:val="single"/>
    </w:rPr>
  </w:style>
  <w:style w:type="paragraph" w:styleId="Ttulo2">
    <w:name w:val="heading 2"/>
    <w:basedOn w:val="Normal"/>
    <w:next w:val="Normal"/>
    <w:qFormat/>
    <w:pPr>
      <w:keepNext/>
      <w:tabs>
        <w:tab w:val="left" w:pos="993"/>
      </w:tabs>
      <w:spacing w:line="240" w:lineRule="exact"/>
      <w:jc w:val="both"/>
      <w:outlineLvl w:val="1"/>
    </w:pPr>
    <w:rPr>
      <w:rFonts w:ascii="CG Times (W1)" w:hAnsi="CG Times (W1)"/>
      <w:b/>
      <w:sz w:val="16"/>
    </w:rPr>
  </w:style>
  <w:style w:type="paragraph" w:styleId="Ttulo3">
    <w:name w:val="heading 3"/>
    <w:basedOn w:val="Normal"/>
    <w:next w:val="Normal"/>
    <w:qFormat/>
    <w:pPr>
      <w:keepNext/>
      <w:tabs>
        <w:tab w:val="left" w:pos="993"/>
        <w:tab w:val="left" w:pos="5954"/>
      </w:tabs>
      <w:spacing w:line="240" w:lineRule="exact"/>
      <w:outlineLvl w:val="2"/>
    </w:pPr>
    <w:rPr>
      <w:rFonts w:ascii="CG Times (W1)" w:hAnsi="CG Times (W1)"/>
      <w:b/>
      <w:sz w:val="16"/>
    </w:rPr>
  </w:style>
  <w:style w:type="paragraph" w:styleId="Ttulo4">
    <w:name w:val="heading 4"/>
    <w:basedOn w:val="Normal"/>
    <w:next w:val="Normal"/>
    <w:qFormat/>
    <w:pPr>
      <w:keepNext/>
      <w:spacing w:line="240" w:lineRule="exact"/>
      <w:jc w:val="center"/>
      <w:outlineLvl w:val="3"/>
    </w:pPr>
    <w:rPr>
      <w:rFonts w:ascii="CG Times" w:hAnsi="CG Times"/>
      <w:b/>
      <w:sz w:val="16"/>
    </w:rPr>
  </w:style>
  <w:style w:type="paragraph" w:styleId="Ttulo5">
    <w:name w:val="heading 5"/>
    <w:basedOn w:val="Normal"/>
    <w:next w:val="Normal"/>
    <w:qFormat/>
    <w:pPr>
      <w:keepNext/>
      <w:jc w:val="both"/>
      <w:outlineLvl w:val="4"/>
    </w:pPr>
    <w:rPr>
      <w:rFonts w:ascii="CG Times (W1)" w:hAnsi="CG Times (W1)"/>
      <w:b/>
      <w:sz w:val="22"/>
    </w:rPr>
  </w:style>
  <w:style w:type="paragraph" w:styleId="Ttulo6">
    <w:name w:val="heading 6"/>
    <w:basedOn w:val="Normal"/>
    <w:next w:val="Normal"/>
    <w:qFormat/>
    <w:pPr>
      <w:keepNext/>
      <w:jc w:val="center"/>
      <w:outlineLvl w:val="5"/>
    </w:pPr>
    <w:rPr>
      <w:rFonts w:ascii="CG Times (W1)" w:hAnsi="CG Times (W1)"/>
      <w:b/>
      <w:snapToGrid w:val="0"/>
      <w:color w:val="000000"/>
      <w:sz w:val="16"/>
      <w:lang w:val="es-ES"/>
    </w:rPr>
  </w:style>
  <w:style w:type="paragraph" w:styleId="Ttulo7">
    <w:name w:val="heading 7"/>
    <w:basedOn w:val="Normal"/>
    <w:next w:val="Normal"/>
    <w:qFormat/>
    <w:pPr>
      <w:keepNext/>
      <w:jc w:val="center"/>
      <w:outlineLvl w:val="6"/>
    </w:pPr>
    <w:rPr>
      <w:rFonts w:ascii="CG Times (W1)" w:hAnsi="CG Times (W1)"/>
      <w:b/>
      <w:sz w:val="72"/>
    </w:rPr>
  </w:style>
  <w:style w:type="paragraph" w:styleId="Ttulo8">
    <w:name w:val="heading 8"/>
    <w:basedOn w:val="Normal"/>
    <w:next w:val="Normal"/>
    <w:qFormat/>
    <w:pPr>
      <w:keepNext/>
      <w:jc w:val="center"/>
      <w:outlineLvl w:val="7"/>
    </w:pPr>
    <w:rPr>
      <w:rFonts w:ascii="CG Times (W1)" w:hAnsi="CG Times (W1)"/>
      <w:sz w:val="36"/>
    </w:rPr>
  </w:style>
  <w:style w:type="paragraph" w:styleId="Ttulo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8"/>
    </w:pPr>
    <w:rPr>
      <w:rFonts w:ascii="CG Times (W1)" w:hAnsi="CG Times (W1)"/>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ind w:left="1021"/>
      <w:jc w:val="both"/>
    </w:pPr>
    <w:rPr>
      <w:rFonts w:ascii="CG Times (W1)" w:hAnsi="CG Times (W1)"/>
      <w:sz w:val="22"/>
    </w:rPr>
  </w:style>
  <w:style w:type="paragraph" w:styleId="Sangra2detindependiente">
    <w:name w:val="Body Text Indent 2"/>
    <w:basedOn w:val="Normal"/>
    <w:pPr>
      <w:ind w:left="1378"/>
      <w:jc w:val="both"/>
    </w:pPr>
    <w:rPr>
      <w:rFonts w:ascii="CG Times (W1)" w:hAnsi="CG Times (W1)"/>
      <w:sz w:val="22"/>
    </w:rPr>
  </w:style>
  <w:style w:type="paragraph" w:styleId="Textoindependiente">
    <w:name w:val="Body Text"/>
    <w:basedOn w:val="Normal"/>
    <w:pPr>
      <w:spacing w:line="240" w:lineRule="exact"/>
      <w:jc w:val="both"/>
    </w:pPr>
    <w:rPr>
      <w:rFonts w:ascii="CG Times (W1)" w:hAnsi="CG Times (W1)"/>
      <w:b/>
      <w:sz w:val="24"/>
    </w:rPr>
  </w:style>
  <w:style w:type="paragraph" w:styleId="Sangra3detindependiente">
    <w:name w:val="Body Text Indent 3"/>
    <w:basedOn w:val="Normal"/>
    <w:pPr>
      <w:ind w:left="1738"/>
      <w:jc w:val="both"/>
    </w:pPr>
    <w:rPr>
      <w:rFonts w:ascii="CG Times (W1)" w:hAnsi="CG Times (W1)"/>
      <w:sz w:val="22"/>
    </w:rPr>
  </w:style>
  <w:style w:type="paragraph" w:styleId="Textoindependiente2">
    <w:name w:val="Body Text 2"/>
    <w:basedOn w:val="Normal"/>
    <w:rPr>
      <w:rFonts w:ascii="CG Times (W1)" w:hAnsi="CG Times (W1)"/>
      <w:b/>
      <w:sz w:val="22"/>
    </w:rPr>
  </w:style>
  <w:style w:type="paragraph" w:styleId="Textoindependiente3">
    <w:name w:val="Body Text 3"/>
    <w:basedOn w:val="Normal"/>
    <w:pPr>
      <w:jc w:val="both"/>
    </w:pPr>
    <w:rPr>
      <w:sz w:val="22"/>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tulo">
    <w:name w:val="Title"/>
    <w:basedOn w:val="Normal"/>
    <w:qFormat/>
    <w:pPr>
      <w:jc w:val="center"/>
    </w:pPr>
    <w:rPr>
      <w:rFonts w:ascii="Courier" w:hAnsi="Courier"/>
      <w:b/>
      <w:sz w:val="28"/>
      <w:u w:val="single"/>
    </w:rPr>
  </w:style>
  <w:style w:type="paragraph" w:styleId="Epgrafe">
    <w:name w:val="caption"/>
    <w:basedOn w:val="Normal"/>
    <w:next w:val="Normal"/>
    <w:qFormat/>
    <w:pPr>
      <w:spacing w:line="240" w:lineRule="exact"/>
    </w:pPr>
    <w:rPr>
      <w:rFonts w:ascii="CG Times (W1)" w:hAnsi="CG Times (W1)"/>
      <w:b/>
      <w:sz w:val="24"/>
      <w:lang w:val="es-ES_tradnl"/>
    </w:rPr>
  </w:style>
  <w:style w:type="paragraph" w:styleId="Encabezado">
    <w:name w:val="header"/>
    <w:basedOn w:val="Normal"/>
    <w:pPr>
      <w:tabs>
        <w:tab w:val="center" w:pos="4419"/>
        <w:tab w:val="right" w:pos="8838"/>
      </w:tabs>
    </w:pPr>
  </w:style>
  <w:style w:type="paragraph" w:styleId="Textodebloque">
    <w:name w:val="Block Text"/>
    <w:basedOn w:val="Normal"/>
    <w:pPr>
      <w:ind w:left="284" w:right="-426"/>
      <w:jc w:val="both"/>
    </w:pPr>
    <w:rPr>
      <w:sz w:val="24"/>
      <w:lang w:val="es-ES"/>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eastAsia="es-ES"/>
    </w:rPr>
  </w:style>
  <w:style w:type="paragraph" w:styleId="Prrafodelista">
    <w:name w:val="List Paragraph"/>
    <w:basedOn w:val="Normal"/>
    <w:uiPriority w:val="34"/>
    <w:qFormat/>
    <w:pPr>
      <w:ind w:left="708"/>
    </w:pPr>
  </w:style>
  <w:style w:type="character" w:styleId="Hipervnculo">
    <w:name w:val="Hyperlink"/>
    <w:uiPriority w:val="99"/>
    <w:unhideWhenUsed/>
    <w:rsid w:val="00CB42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78455">
      <w:bodyDiv w:val="1"/>
      <w:marLeft w:val="0"/>
      <w:marRight w:val="0"/>
      <w:marTop w:val="0"/>
      <w:marBottom w:val="0"/>
      <w:divBdr>
        <w:top w:val="none" w:sz="0" w:space="0" w:color="auto"/>
        <w:left w:val="none" w:sz="0" w:space="0" w:color="auto"/>
        <w:bottom w:val="none" w:sz="0" w:space="0" w:color="auto"/>
        <w:right w:val="none" w:sz="0" w:space="0" w:color="auto"/>
      </w:divBdr>
    </w:div>
    <w:div w:id="404302796">
      <w:bodyDiv w:val="1"/>
      <w:marLeft w:val="0"/>
      <w:marRight w:val="0"/>
      <w:marTop w:val="0"/>
      <w:marBottom w:val="0"/>
      <w:divBdr>
        <w:top w:val="none" w:sz="0" w:space="0" w:color="auto"/>
        <w:left w:val="none" w:sz="0" w:space="0" w:color="auto"/>
        <w:bottom w:val="none" w:sz="0" w:space="0" w:color="auto"/>
        <w:right w:val="none" w:sz="0" w:space="0" w:color="auto"/>
      </w:divBdr>
    </w:div>
    <w:div w:id="936135943">
      <w:bodyDiv w:val="1"/>
      <w:marLeft w:val="0"/>
      <w:marRight w:val="0"/>
      <w:marTop w:val="0"/>
      <w:marBottom w:val="0"/>
      <w:divBdr>
        <w:top w:val="none" w:sz="0" w:space="0" w:color="auto"/>
        <w:left w:val="none" w:sz="0" w:space="0" w:color="auto"/>
        <w:bottom w:val="none" w:sz="0" w:space="0" w:color="auto"/>
        <w:right w:val="none" w:sz="0" w:space="0" w:color="auto"/>
      </w:divBdr>
    </w:div>
    <w:div w:id="1253054438">
      <w:bodyDiv w:val="1"/>
      <w:marLeft w:val="0"/>
      <w:marRight w:val="0"/>
      <w:marTop w:val="0"/>
      <w:marBottom w:val="0"/>
      <w:divBdr>
        <w:top w:val="none" w:sz="0" w:space="0" w:color="auto"/>
        <w:left w:val="none" w:sz="0" w:space="0" w:color="auto"/>
        <w:bottom w:val="none" w:sz="0" w:space="0" w:color="auto"/>
        <w:right w:val="none" w:sz="0" w:space="0" w:color="auto"/>
      </w:divBdr>
    </w:div>
    <w:div w:id="1475220346">
      <w:bodyDiv w:val="1"/>
      <w:marLeft w:val="0"/>
      <w:marRight w:val="0"/>
      <w:marTop w:val="0"/>
      <w:marBottom w:val="0"/>
      <w:divBdr>
        <w:top w:val="none" w:sz="0" w:space="0" w:color="auto"/>
        <w:left w:val="none" w:sz="0" w:space="0" w:color="auto"/>
        <w:bottom w:val="none" w:sz="0" w:space="0" w:color="auto"/>
        <w:right w:val="none" w:sz="0" w:space="0" w:color="auto"/>
      </w:divBdr>
    </w:div>
    <w:div w:id="191142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hyperlink" Target="https://www.iprofesional.com/impuestos/285016-afip-dolares-exportacion-Los-bienes-que-entren-al-revaluo-se-podran-indexar-por-la-inflacion-de-2018" TargetMode="External"/><Relationship Id="rId26" Type="http://schemas.openxmlformats.org/officeDocument/2006/relationships/image" Target="media/image14.emf"/><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www.iprofesional.com/impuestos/285016-afip-dolares-exportacion-Los-bienes-que-entren-al-revaluo-se-podran-indexar-por-la-inflacion-de-2018" TargetMode="External"/><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2167</Words>
  <Characters>12255</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Quequén</vt:lpstr>
    </vt:vector>
  </TitlesOfParts>
  <Company>Blanca Rivero</Company>
  <LinksUpToDate>false</LinksUpToDate>
  <CharactersWithSpaces>14394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Quequén</dc:title>
  <dc:subject>Balance</dc:subject>
  <dc:creator>Blanca Rivero</dc:creator>
  <cp:lastModifiedBy>Blanca candiani</cp:lastModifiedBy>
  <cp:revision>2</cp:revision>
  <cp:lastPrinted>2018-02-16T16:26:00Z</cp:lastPrinted>
  <dcterms:created xsi:type="dcterms:W3CDTF">2019-05-13T22:11:00Z</dcterms:created>
  <dcterms:modified xsi:type="dcterms:W3CDTF">2019-05-13T22:11:00Z</dcterms:modified>
</cp:coreProperties>
</file>