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9AE84" w14:textId="2DFEB089" w:rsidR="00B91203" w:rsidRDefault="00B91203" w:rsidP="00B91203">
      <w:pPr>
        <w:spacing w:after="0" w:line="240" w:lineRule="auto"/>
        <w:jc w:val="right"/>
        <w:rPr>
          <w:rFonts w:ascii="Garamond" w:hAnsi="Garamond"/>
          <w:sz w:val="24"/>
          <w:szCs w:val="24"/>
        </w:rPr>
      </w:pPr>
      <w:r>
        <w:rPr>
          <w:rFonts w:ascii="Garamond" w:hAnsi="Garamond"/>
          <w:sz w:val="24"/>
          <w:szCs w:val="24"/>
        </w:rPr>
        <w:t xml:space="preserve">Ciudad Autónoma de Buenos Aires, </w:t>
      </w:r>
      <w:r w:rsidR="00887FE5">
        <w:rPr>
          <w:rFonts w:ascii="Garamond" w:hAnsi="Garamond"/>
          <w:sz w:val="24"/>
          <w:szCs w:val="24"/>
        </w:rPr>
        <w:t>9</w:t>
      </w:r>
      <w:r>
        <w:rPr>
          <w:rFonts w:ascii="Garamond" w:hAnsi="Garamond"/>
          <w:sz w:val="24"/>
          <w:szCs w:val="24"/>
        </w:rPr>
        <w:t xml:space="preserve"> de diciembre de 2024</w:t>
      </w:r>
    </w:p>
    <w:p w14:paraId="4418E2E2" w14:textId="77777777" w:rsidR="00B91203" w:rsidRDefault="00B91203" w:rsidP="00B91203">
      <w:pPr>
        <w:spacing w:after="0" w:line="240" w:lineRule="auto"/>
        <w:jc w:val="both"/>
        <w:rPr>
          <w:rFonts w:ascii="Garamond" w:eastAsia="Times New Roman" w:hAnsi="Garamond" w:cs="Times New Roman"/>
          <w:sz w:val="24"/>
          <w:szCs w:val="24"/>
        </w:rPr>
      </w:pPr>
    </w:p>
    <w:p w14:paraId="09C4C55B" w14:textId="77777777" w:rsidR="00B91203" w:rsidRDefault="00B91203" w:rsidP="00B91203">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Señores</w:t>
      </w:r>
    </w:p>
    <w:p w14:paraId="5CD3F1F3" w14:textId="77777777" w:rsidR="00B91203" w:rsidRDefault="00B91203" w:rsidP="00B91203">
      <w:pPr>
        <w:spacing w:after="0" w:line="240" w:lineRule="auto"/>
        <w:jc w:val="both"/>
        <w:rPr>
          <w:rFonts w:ascii="Garamond" w:eastAsia="Times New Roman" w:hAnsi="Garamond" w:cs="Times New Roman"/>
          <w:b/>
          <w:sz w:val="24"/>
          <w:szCs w:val="24"/>
        </w:rPr>
      </w:pPr>
      <w:r>
        <w:rPr>
          <w:rFonts w:ascii="Garamond" w:eastAsia="Times New Roman" w:hAnsi="Garamond" w:cs="Times New Roman"/>
          <w:b/>
          <w:sz w:val="24"/>
          <w:szCs w:val="24"/>
        </w:rPr>
        <w:t>Comisión Nacional de Valores</w:t>
      </w:r>
    </w:p>
    <w:p w14:paraId="49F5D277" w14:textId="77777777" w:rsidR="00B91203" w:rsidRDefault="00B91203" w:rsidP="00B91203">
      <w:pPr>
        <w:keepNext/>
        <w:tabs>
          <w:tab w:val="left" w:pos="2127"/>
        </w:tabs>
        <w:spacing w:after="0" w:line="240" w:lineRule="auto"/>
        <w:outlineLvl w:val="3"/>
        <w:rPr>
          <w:rFonts w:ascii="Garamond" w:eastAsia="Times New Roman" w:hAnsi="Garamond" w:cs="Times New Roman"/>
          <w:sz w:val="24"/>
          <w:szCs w:val="24"/>
          <w:u w:val="single"/>
        </w:rPr>
      </w:pPr>
      <w:r>
        <w:rPr>
          <w:rFonts w:ascii="Garamond" w:eastAsia="Times New Roman" w:hAnsi="Garamond" w:cs="Times New Roman"/>
          <w:sz w:val="24"/>
          <w:szCs w:val="24"/>
          <w:u w:val="single"/>
        </w:rPr>
        <w:t xml:space="preserve">Presente </w:t>
      </w:r>
    </w:p>
    <w:p w14:paraId="7697FB3D" w14:textId="77777777" w:rsidR="00B91203" w:rsidRDefault="00B91203" w:rsidP="00B91203">
      <w:pPr>
        <w:tabs>
          <w:tab w:val="left" w:pos="2127"/>
        </w:tabs>
        <w:spacing w:after="0" w:line="240" w:lineRule="auto"/>
        <w:rPr>
          <w:rFonts w:ascii="Garamond" w:eastAsia="Times New Roman" w:hAnsi="Garamond" w:cs="Times New Roman"/>
          <w:sz w:val="24"/>
          <w:szCs w:val="24"/>
        </w:rPr>
      </w:pPr>
    </w:p>
    <w:p w14:paraId="3F8E5576" w14:textId="77777777" w:rsidR="00B91203" w:rsidRDefault="00B91203" w:rsidP="00B91203">
      <w:pPr>
        <w:tabs>
          <w:tab w:val="left" w:pos="2127"/>
        </w:tabs>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Señores</w:t>
      </w:r>
    </w:p>
    <w:p w14:paraId="527164E9" w14:textId="77777777" w:rsidR="00B91203" w:rsidRDefault="00B91203" w:rsidP="00B91203">
      <w:pPr>
        <w:tabs>
          <w:tab w:val="left" w:pos="2127"/>
        </w:tabs>
        <w:spacing w:after="0" w:line="240" w:lineRule="auto"/>
        <w:rPr>
          <w:rFonts w:ascii="Garamond" w:eastAsia="Times New Roman" w:hAnsi="Garamond" w:cs="Times New Roman"/>
          <w:b/>
          <w:sz w:val="24"/>
          <w:szCs w:val="24"/>
        </w:rPr>
      </w:pPr>
      <w:r>
        <w:rPr>
          <w:rFonts w:ascii="Garamond" w:eastAsia="Times New Roman" w:hAnsi="Garamond" w:cs="Times New Roman"/>
          <w:b/>
          <w:sz w:val="24"/>
          <w:szCs w:val="24"/>
        </w:rPr>
        <w:t>Bolsas y Mercados Argentinos S.A.</w:t>
      </w:r>
    </w:p>
    <w:p w14:paraId="63391EB3" w14:textId="77777777" w:rsidR="00B91203" w:rsidRDefault="00B91203" w:rsidP="00B91203">
      <w:pPr>
        <w:keepNext/>
        <w:tabs>
          <w:tab w:val="left" w:pos="2127"/>
        </w:tabs>
        <w:spacing w:after="0" w:line="240" w:lineRule="auto"/>
        <w:outlineLvl w:val="3"/>
        <w:rPr>
          <w:rFonts w:ascii="Garamond" w:eastAsia="Times New Roman" w:hAnsi="Garamond" w:cs="Times New Roman"/>
          <w:sz w:val="24"/>
          <w:szCs w:val="24"/>
          <w:u w:val="single"/>
        </w:rPr>
      </w:pPr>
      <w:r>
        <w:rPr>
          <w:rFonts w:ascii="Garamond" w:eastAsia="Times New Roman" w:hAnsi="Garamond" w:cs="Times New Roman"/>
          <w:sz w:val="24"/>
          <w:szCs w:val="24"/>
          <w:u w:val="single"/>
        </w:rPr>
        <w:t xml:space="preserve">Presente </w:t>
      </w:r>
    </w:p>
    <w:p w14:paraId="215BB3FD" w14:textId="77777777" w:rsidR="00B91203" w:rsidRDefault="00B91203" w:rsidP="00B91203">
      <w:pPr>
        <w:tabs>
          <w:tab w:val="left" w:pos="2127"/>
        </w:tabs>
        <w:spacing w:after="0" w:line="240" w:lineRule="auto"/>
        <w:rPr>
          <w:rFonts w:ascii="Garamond" w:eastAsia="Times New Roman" w:hAnsi="Garamond" w:cs="Times New Roman"/>
          <w:b/>
          <w:sz w:val="24"/>
          <w:szCs w:val="24"/>
        </w:rPr>
      </w:pPr>
    </w:p>
    <w:p w14:paraId="5614A728" w14:textId="77777777" w:rsidR="00B91203" w:rsidRDefault="00B91203" w:rsidP="00B91203">
      <w:pPr>
        <w:spacing w:after="0" w:line="240" w:lineRule="auto"/>
        <w:rPr>
          <w:rFonts w:ascii="Garamond" w:hAnsi="Garamond"/>
          <w:b/>
          <w:sz w:val="24"/>
          <w:szCs w:val="24"/>
        </w:rPr>
      </w:pPr>
    </w:p>
    <w:p w14:paraId="715D96D9" w14:textId="00E2FD8D" w:rsidR="00B91203" w:rsidRDefault="00B91203" w:rsidP="00B91203">
      <w:pPr>
        <w:spacing w:after="0" w:line="240" w:lineRule="auto"/>
        <w:ind w:left="3686"/>
        <w:jc w:val="right"/>
        <w:rPr>
          <w:rFonts w:ascii="Garamond" w:hAnsi="Garamond"/>
          <w:b/>
          <w:sz w:val="24"/>
          <w:szCs w:val="24"/>
        </w:rPr>
      </w:pPr>
      <w:r>
        <w:rPr>
          <w:rFonts w:ascii="Garamond" w:hAnsi="Garamond"/>
          <w:b/>
          <w:sz w:val="24"/>
          <w:szCs w:val="24"/>
          <w:u w:val="single"/>
        </w:rPr>
        <w:t>Ref.</w:t>
      </w:r>
      <w:r>
        <w:rPr>
          <w:rFonts w:ascii="Garamond" w:hAnsi="Garamond"/>
          <w:b/>
          <w:sz w:val="24"/>
          <w:szCs w:val="24"/>
        </w:rPr>
        <w:t xml:space="preserve">: </w:t>
      </w:r>
      <w:r w:rsidR="00582BBC">
        <w:rPr>
          <w:rFonts w:ascii="Garamond" w:hAnsi="Garamond"/>
          <w:b/>
          <w:sz w:val="24"/>
          <w:szCs w:val="24"/>
        </w:rPr>
        <w:t xml:space="preserve">Dycasa S.A. </w:t>
      </w:r>
      <w:r>
        <w:rPr>
          <w:rFonts w:ascii="Garamond" w:hAnsi="Garamond"/>
          <w:bCs/>
          <w:sz w:val="24"/>
          <w:szCs w:val="24"/>
        </w:rPr>
        <w:t xml:space="preserve">Asamblea General Ordinaria y Extraordinaria del 05.12.2024. </w:t>
      </w:r>
    </w:p>
    <w:p w14:paraId="2E71038F" w14:textId="77777777" w:rsidR="00B91203" w:rsidRDefault="00B91203" w:rsidP="00B91203">
      <w:pPr>
        <w:spacing w:after="0" w:line="240" w:lineRule="auto"/>
        <w:jc w:val="both"/>
        <w:rPr>
          <w:rFonts w:ascii="Garamond" w:hAnsi="Garamond"/>
          <w:sz w:val="24"/>
          <w:szCs w:val="24"/>
        </w:rPr>
      </w:pPr>
    </w:p>
    <w:p w14:paraId="40A26130" w14:textId="77777777" w:rsidR="00B91203" w:rsidRDefault="00B91203" w:rsidP="00582BBC">
      <w:pPr>
        <w:spacing w:after="0" w:line="360" w:lineRule="auto"/>
        <w:jc w:val="both"/>
        <w:rPr>
          <w:rFonts w:ascii="Garamond" w:hAnsi="Garamond"/>
          <w:sz w:val="24"/>
          <w:szCs w:val="24"/>
        </w:rPr>
      </w:pPr>
      <w:r>
        <w:rPr>
          <w:rFonts w:ascii="Garamond" w:hAnsi="Garamond"/>
          <w:sz w:val="24"/>
          <w:szCs w:val="24"/>
        </w:rPr>
        <w:t>De mi consideración:</w:t>
      </w:r>
    </w:p>
    <w:p w14:paraId="307738EB" w14:textId="77777777" w:rsidR="00B91203" w:rsidRDefault="00B91203" w:rsidP="00582BBC">
      <w:pPr>
        <w:spacing w:after="0" w:line="360" w:lineRule="auto"/>
        <w:jc w:val="both"/>
        <w:rPr>
          <w:rFonts w:ascii="Garamond" w:hAnsi="Garamond"/>
          <w:sz w:val="24"/>
          <w:szCs w:val="24"/>
        </w:rPr>
      </w:pPr>
    </w:p>
    <w:p w14:paraId="68CF57F9" w14:textId="3F537CAE" w:rsidR="00B91203" w:rsidRDefault="00B91203" w:rsidP="00582BBC">
      <w:pPr>
        <w:spacing w:after="0" w:line="360" w:lineRule="auto"/>
        <w:ind w:firstLine="1418"/>
        <w:jc w:val="both"/>
        <w:rPr>
          <w:rFonts w:ascii="Garamond" w:eastAsia="Calibri" w:hAnsi="Garamond"/>
          <w:sz w:val="24"/>
          <w:szCs w:val="24"/>
        </w:rPr>
      </w:pPr>
      <w:r>
        <w:rPr>
          <w:rFonts w:ascii="Garamond" w:eastAsia="Calibri" w:hAnsi="Garamond"/>
          <w:sz w:val="24"/>
          <w:szCs w:val="24"/>
        </w:rPr>
        <w:t xml:space="preserve">Gastón Félix Alemán, en mi carácter de </w:t>
      </w:r>
      <w:proofErr w:type="gramStart"/>
      <w:r>
        <w:rPr>
          <w:rFonts w:ascii="Garamond" w:eastAsia="Calibri" w:hAnsi="Garamond"/>
          <w:sz w:val="24"/>
          <w:szCs w:val="24"/>
        </w:rPr>
        <w:t>Responsable</w:t>
      </w:r>
      <w:proofErr w:type="gramEnd"/>
      <w:r>
        <w:rPr>
          <w:rFonts w:ascii="Garamond" w:eastAsia="Calibri" w:hAnsi="Garamond"/>
          <w:sz w:val="24"/>
          <w:szCs w:val="24"/>
        </w:rPr>
        <w:t xml:space="preserve"> de Relaciones con el Mercado de </w:t>
      </w:r>
      <w:r w:rsidRPr="00582BBC">
        <w:rPr>
          <w:rFonts w:ascii="Garamond" w:eastAsia="Calibri" w:hAnsi="Garamond"/>
          <w:b/>
          <w:bCs/>
          <w:sz w:val="24"/>
          <w:szCs w:val="24"/>
        </w:rPr>
        <w:t>Dycasa S.A.</w:t>
      </w:r>
      <w:r>
        <w:rPr>
          <w:rFonts w:ascii="Garamond" w:eastAsia="Calibri" w:hAnsi="Garamond"/>
          <w:sz w:val="24"/>
          <w:szCs w:val="24"/>
        </w:rPr>
        <w:t xml:space="preserve"> (la “</w:t>
      </w:r>
      <w:r>
        <w:rPr>
          <w:rFonts w:ascii="Garamond" w:eastAsia="Calibri" w:hAnsi="Garamond"/>
          <w:sz w:val="24"/>
          <w:szCs w:val="24"/>
          <w:u w:val="single"/>
        </w:rPr>
        <w:t>Sociedad</w:t>
      </w:r>
      <w:r>
        <w:rPr>
          <w:rFonts w:ascii="Garamond" w:eastAsia="Calibri" w:hAnsi="Garamond"/>
          <w:sz w:val="24"/>
          <w:szCs w:val="24"/>
        </w:rPr>
        <w:t xml:space="preserve">”), tengo el agrado de dirigirme a </w:t>
      </w:r>
      <w:r w:rsidR="00D34F67">
        <w:rPr>
          <w:rFonts w:ascii="Garamond" w:eastAsia="Calibri" w:hAnsi="Garamond"/>
          <w:sz w:val="24"/>
          <w:szCs w:val="24"/>
        </w:rPr>
        <w:t>ustedes</w:t>
      </w:r>
      <w:r>
        <w:rPr>
          <w:rFonts w:ascii="Garamond" w:eastAsia="Calibri" w:hAnsi="Garamond"/>
          <w:sz w:val="24"/>
          <w:szCs w:val="24"/>
        </w:rPr>
        <w:t xml:space="preserve"> en </w:t>
      </w:r>
      <w:r w:rsidRPr="00894943">
        <w:rPr>
          <w:rFonts w:ascii="Garamond" w:eastAsia="Calibri" w:hAnsi="Garamond"/>
          <w:sz w:val="24"/>
          <w:szCs w:val="24"/>
        </w:rPr>
        <w:t>cumplimiento de lo dispuesto por el artículo 4, inciso f) del Cap. II, Titulo II de las Normas de la Comisión Nacional de Valores (T.O. 2013) y del artículo 79 inc. c), apartado 1, Capitulo IV, Titulo II, del Reglamento de Listado de BYMA.</w:t>
      </w:r>
    </w:p>
    <w:p w14:paraId="756EEC08" w14:textId="77777777" w:rsidR="00B91203" w:rsidRDefault="00B91203" w:rsidP="00582BBC">
      <w:pPr>
        <w:spacing w:after="0" w:line="360" w:lineRule="auto"/>
        <w:ind w:firstLine="1418"/>
        <w:jc w:val="both"/>
        <w:rPr>
          <w:rFonts w:ascii="Garamond" w:eastAsia="Calibri" w:hAnsi="Garamond"/>
          <w:sz w:val="24"/>
          <w:szCs w:val="24"/>
        </w:rPr>
      </w:pPr>
    </w:p>
    <w:p w14:paraId="260C5D36" w14:textId="6132567B" w:rsidR="00B91203" w:rsidRDefault="00B91203" w:rsidP="00894943">
      <w:pPr>
        <w:spacing w:after="0" w:line="360" w:lineRule="auto"/>
        <w:ind w:firstLine="1418"/>
        <w:jc w:val="both"/>
        <w:rPr>
          <w:rFonts w:ascii="Garamond" w:eastAsia="Calibri" w:hAnsi="Garamond"/>
          <w:sz w:val="24"/>
          <w:szCs w:val="24"/>
        </w:rPr>
      </w:pPr>
      <w:r>
        <w:rPr>
          <w:rFonts w:ascii="Garamond" w:eastAsia="Calibri" w:hAnsi="Garamond"/>
          <w:sz w:val="24"/>
          <w:szCs w:val="24"/>
        </w:rPr>
        <w:t xml:space="preserve">A tal efecto, se acompaña a la presente copia completa del Acta de Asamblea General Ordinaria y Extraordinaria de fecha 5 de diciembre de 2024. </w:t>
      </w:r>
    </w:p>
    <w:p w14:paraId="77D1969D" w14:textId="77777777" w:rsidR="00B91203" w:rsidRDefault="00B91203" w:rsidP="00582BBC">
      <w:pPr>
        <w:spacing w:after="0" w:line="360" w:lineRule="auto"/>
        <w:ind w:firstLine="1418"/>
        <w:jc w:val="both"/>
        <w:rPr>
          <w:rFonts w:ascii="Garamond" w:eastAsia="Calibri" w:hAnsi="Garamond"/>
          <w:sz w:val="24"/>
          <w:szCs w:val="24"/>
        </w:rPr>
      </w:pPr>
    </w:p>
    <w:p w14:paraId="377DF165" w14:textId="77777777" w:rsidR="00B91203" w:rsidRDefault="00B91203" w:rsidP="00582BBC">
      <w:pPr>
        <w:spacing w:after="0" w:line="360" w:lineRule="auto"/>
        <w:ind w:left="284" w:firstLine="1418"/>
        <w:jc w:val="both"/>
        <w:rPr>
          <w:rFonts w:ascii="Garamond" w:hAnsi="Garamond"/>
          <w:sz w:val="24"/>
          <w:szCs w:val="24"/>
        </w:rPr>
      </w:pPr>
      <w:r>
        <w:rPr>
          <w:rFonts w:ascii="Garamond" w:hAnsi="Garamond"/>
          <w:sz w:val="24"/>
          <w:szCs w:val="24"/>
        </w:rPr>
        <w:t>Sin otro particular, saludo a Ustedes muy atentamente.</w:t>
      </w:r>
    </w:p>
    <w:p w14:paraId="75A293A5" w14:textId="77777777" w:rsidR="00B91203" w:rsidRDefault="00B91203" w:rsidP="00B91203">
      <w:pPr>
        <w:spacing w:after="0" w:line="240" w:lineRule="auto"/>
        <w:jc w:val="center"/>
        <w:rPr>
          <w:rFonts w:ascii="Garamond" w:hAnsi="Garamond"/>
          <w:sz w:val="24"/>
          <w:szCs w:val="24"/>
        </w:rPr>
      </w:pPr>
    </w:p>
    <w:p w14:paraId="3F652684" w14:textId="77777777" w:rsidR="00894943" w:rsidRDefault="00894943" w:rsidP="00B91203">
      <w:pPr>
        <w:spacing w:after="0" w:line="240" w:lineRule="auto"/>
        <w:jc w:val="center"/>
        <w:rPr>
          <w:rFonts w:ascii="Garamond" w:hAnsi="Garamond"/>
          <w:sz w:val="24"/>
          <w:szCs w:val="24"/>
        </w:rPr>
      </w:pPr>
    </w:p>
    <w:p w14:paraId="34F15738" w14:textId="77777777" w:rsidR="00894943" w:rsidRDefault="00894943" w:rsidP="00894943">
      <w:pPr>
        <w:spacing w:after="0" w:line="240" w:lineRule="auto"/>
        <w:rPr>
          <w:rFonts w:ascii="Garamond" w:hAnsi="Garamond"/>
          <w:sz w:val="24"/>
          <w:szCs w:val="24"/>
        </w:rPr>
      </w:pPr>
    </w:p>
    <w:p w14:paraId="2A517D57" w14:textId="62012697" w:rsidR="00894943" w:rsidRPr="00894943" w:rsidRDefault="00894943" w:rsidP="00894943">
      <w:pPr>
        <w:spacing w:after="0" w:line="240" w:lineRule="auto"/>
        <w:jc w:val="center"/>
        <w:rPr>
          <w:rFonts w:ascii="Garamond" w:hAnsi="Garamond"/>
          <w:sz w:val="24"/>
          <w:szCs w:val="24"/>
          <w:lang w:val="pt-BR"/>
        </w:rPr>
      </w:pPr>
      <w:r>
        <w:rPr>
          <w:rFonts w:ascii="Garamond" w:hAnsi="Garamond"/>
          <w:sz w:val="24"/>
          <w:szCs w:val="24"/>
          <w:lang w:val="pt-BR"/>
        </w:rPr>
        <w:t>__________________________________</w:t>
      </w:r>
    </w:p>
    <w:p w14:paraId="79A14178" w14:textId="77777777" w:rsidR="00B91203" w:rsidRDefault="00B91203" w:rsidP="00B91203">
      <w:pPr>
        <w:spacing w:after="0" w:line="240" w:lineRule="auto"/>
        <w:jc w:val="center"/>
        <w:rPr>
          <w:rFonts w:ascii="Garamond" w:hAnsi="Garamond"/>
          <w:sz w:val="24"/>
          <w:szCs w:val="24"/>
        </w:rPr>
      </w:pPr>
    </w:p>
    <w:p w14:paraId="7907069E" w14:textId="77777777" w:rsidR="00B91203" w:rsidRDefault="00B91203" w:rsidP="00B91203">
      <w:pPr>
        <w:spacing w:after="0" w:line="240" w:lineRule="auto"/>
        <w:jc w:val="center"/>
        <w:rPr>
          <w:rFonts w:ascii="Garamond" w:hAnsi="Garamond"/>
          <w:sz w:val="24"/>
          <w:szCs w:val="24"/>
        </w:rPr>
      </w:pPr>
      <w:r>
        <w:rPr>
          <w:rFonts w:ascii="Garamond" w:hAnsi="Garamond"/>
          <w:sz w:val="24"/>
          <w:szCs w:val="24"/>
        </w:rPr>
        <w:t>Gastón Félix Alemán</w:t>
      </w:r>
    </w:p>
    <w:p w14:paraId="1D95C7F9" w14:textId="77777777" w:rsidR="00B91203" w:rsidRDefault="00B91203" w:rsidP="00B91203">
      <w:pPr>
        <w:spacing w:after="0" w:line="240" w:lineRule="auto"/>
        <w:jc w:val="center"/>
        <w:rPr>
          <w:rFonts w:ascii="Garamond" w:hAnsi="Garamond"/>
          <w:sz w:val="24"/>
          <w:szCs w:val="24"/>
        </w:rPr>
      </w:pPr>
      <w:r>
        <w:rPr>
          <w:rFonts w:ascii="Garamond" w:hAnsi="Garamond"/>
          <w:sz w:val="24"/>
          <w:szCs w:val="24"/>
        </w:rPr>
        <w:t>Responsable de Relaciones con el Mercado</w:t>
      </w:r>
    </w:p>
    <w:p w14:paraId="16255694" w14:textId="77777777" w:rsidR="00B91203" w:rsidRDefault="00B91203" w:rsidP="00B91203">
      <w:pPr>
        <w:spacing w:after="0" w:line="240" w:lineRule="auto"/>
        <w:jc w:val="center"/>
        <w:rPr>
          <w:rFonts w:ascii="Garamond" w:hAnsi="Garamond"/>
          <w:b/>
          <w:bCs/>
          <w:sz w:val="24"/>
          <w:szCs w:val="24"/>
        </w:rPr>
      </w:pPr>
      <w:r>
        <w:rPr>
          <w:rFonts w:ascii="Garamond" w:hAnsi="Garamond"/>
          <w:b/>
          <w:bCs/>
          <w:sz w:val="24"/>
          <w:szCs w:val="24"/>
        </w:rPr>
        <w:t>DYCASA S.A.</w:t>
      </w:r>
      <w:r>
        <w:t xml:space="preserve"> </w:t>
      </w:r>
    </w:p>
    <w:p w14:paraId="1C4A4B91" w14:textId="77777777" w:rsidR="00B91203" w:rsidRDefault="00B91203" w:rsidP="00B91203">
      <w:pPr>
        <w:spacing w:after="0" w:line="240" w:lineRule="auto"/>
        <w:ind w:firstLine="1418"/>
        <w:jc w:val="both"/>
        <w:rPr>
          <w:rFonts w:ascii="Garamond" w:eastAsia="Calibri" w:hAnsi="Garamond"/>
          <w:sz w:val="24"/>
          <w:szCs w:val="24"/>
        </w:rPr>
      </w:pPr>
    </w:p>
    <w:p w14:paraId="2EB4289F" w14:textId="77777777" w:rsidR="00FE4B31" w:rsidRDefault="00FE4B31"/>
    <w:p w14:paraId="70830F51" w14:textId="77777777" w:rsidR="00B91203" w:rsidRDefault="00B91203"/>
    <w:p w14:paraId="753C5538" w14:textId="77777777" w:rsidR="00B91203" w:rsidRDefault="00B91203"/>
    <w:p w14:paraId="5CB52E29" w14:textId="77777777" w:rsidR="00B91203" w:rsidRDefault="00B91203"/>
    <w:p w14:paraId="66E0ADF9" w14:textId="77777777" w:rsidR="00582BBC" w:rsidRDefault="00582BBC"/>
    <w:p w14:paraId="15DC05D1" w14:textId="77777777" w:rsidR="00B91203" w:rsidRDefault="00B91203"/>
    <w:p w14:paraId="7F2DFA65" w14:textId="10A9C677" w:rsidR="00B91203" w:rsidRPr="00D34F67" w:rsidRDefault="00B91203" w:rsidP="00B91203">
      <w:pPr>
        <w:spacing w:line="360" w:lineRule="auto"/>
        <w:jc w:val="both"/>
        <w:rPr>
          <w:rFonts w:ascii="Garamond" w:hAnsi="Garamond" w:cs="Times New Roman"/>
          <w:sz w:val="24"/>
          <w:szCs w:val="24"/>
        </w:rPr>
      </w:pPr>
      <w:r w:rsidRPr="00D34F67">
        <w:rPr>
          <w:rFonts w:ascii="Garamond" w:hAnsi="Garamond" w:cs="Times New Roman"/>
          <w:b/>
          <w:bCs/>
          <w:sz w:val="24"/>
          <w:szCs w:val="24"/>
          <w:u w:val="single"/>
        </w:rPr>
        <w:lastRenderedPageBreak/>
        <w:t>ACTA DE ASAMBLEA ORDINARIA Y EXTRAORDINARIA N°84</w:t>
      </w:r>
    </w:p>
    <w:p w14:paraId="51B7551F" w14:textId="77B485BE" w:rsidR="00B91203" w:rsidRPr="00D34F67" w:rsidRDefault="00B91203" w:rsidP="00D34F67">
      <w:pPr>
        <w:spacing w:line="360" w:lineRule="auto"/>
        <w:jc w:val="both"/>
        <w:rPr>
          <w:rFonts w:ascii="Garamond" w:hAnsi="Garamond"/>
          <w:sz w:val="24"/>
          <w:szCs w:val="24"/>
        </w:rPr>
      </w:pPr>
      <w:r w:rsidRPr="00D34F67">
        <w:rPr>
          <w:rFonts w:ascii="Garamond" w:hAnsi="Garamond"/>
          <w:sz w:val="24"/>
          <w:szCs w:val="24"/>
        </w:rPr>
        <w:t>En la Ciudad Autónoma de Buenos Aires, a los 5 días del mes de diciembre de 2024, se reúnen en la sede social, sita en Av. Leandro N. Alem 986, piso 4°, los señores accionistas de Dycasa S.A. (“</w:t>
      </w:r>
      <w:r w:rsidRPr="00D34F67">
        <w:rPr>
          <w:rFonts w:ascii="Garamond" w:hAnsi="Garamond"/>
          <w:sz w:val="24"/>
          <w:szCs w:val="24"/>
          <w:u w:val="single"/>
        </w:rPr>
        <w:t>Dycasa</w:t>
      </w:r>
      <w:r w:rsidRPr="00D34F67">
        <w:rPr>
          <w:rFonts w:ascii="Garamond" w:hAnsi="Garamond"/>
          <w:sz w:val="24"/>
          <w:szCs w:val="24"/>
        </w:rPr>
        <w:t>” o la “</w:t>
      </w:r>
      <w:r w:rsidRPr="00D34F67">
        <w:rPr>
          <w:rFonts w:ascii="Garamond" w:hAnsi="Garamond"/>
          <w:sz w:val="24"/>
          <w:szCs w:val="24"/>
          <w:u w:val="single"/>
        </w:rPr>
        <w:t>Sociedad</w:t>
      </w:r>
      <w:r w:rsidRPr="00D34F67">
        <w:rPr>
          <w:rFonts w:ascii="Garamond" w:hAnsi="Garamond"/>
          <w:sz w:val="24"/>
          <w:szCs w:val="24"/>
        </w:rPr>
        <w:t xml:space="preserve">”) en Asamblea Ordinaria y Extraordinaria. Se deja constancia de que se cuenta con la presencia de los Sres. </w:t>
      </w:r>
      <w:proofErr w:type="gramStart"/>
      <w:r w:rsidRPr="00D34F67">
        <w:rPr>
          <w:rFonts w:ascii="Garamond" w:hAnsi="Garamond"/>
          <w:sz w:val="24"/>
          <w:szCs w:val="24"/>
        </w:rPr>
        <w:t>Directores</w:t>
      </w:r>
      <w:proofErr w:type="gramEnd"/>
      <w:r w:rsidRPr="00D34F67">
        <w:rPr>
          <w:rFonts w:ascii="Garamond" w:hAnsi="Garamond"/>
          <w:sz w:val="24"/>
          <w:szCs w:val="24"/>
        </w:rPr>
        <w:t xml:space="preserve"> Ezequiel Martín Fernández, Gastón Alemán, Juan Ignacio Abuchdid, Gonzalo Venancio y Ricardo Zurlo y los miembros de la Comisión Fiscalizadora, Sres Salvador Fornieles y Fermín Alfredo Fornieles. Asimismo, se encuentra presente el representante de Bolsas y Mercados Argentinos S.A. (“</w:t>
      </w:r>
      <w:r w:rsidRPr="00D34F67">
        <w:rPr>
          <w:rFonts w:ascii="Garamond" w:hAnsi="Garamond"/>
          <w:sz w:val="24"/>
          <w:szCs w:val="24"/>
          <w:u w:val="single"/>
        </w:rPr>
        <w:t>BYMA</w:t>
      </w:r>
      <w:r w:rsidRPr="00D34F67">
        <w:rPr>
          <w:rFonts w:ascii="Garamond" w:hAnsi="Garamond"/>
          <w:sz w:val="24"/>
          <w:szCs w:val="24"/>
        </w:rPr>
        <w:t>”) el Sr Eduardo Kupfer y la representante de la Comisión Nacional de Valores (la “</w:t>
      </w:r>
      <w:r w:rsidRPr="00D34F67">
        <w:rPr>
          <w:rFonts w:ascii="Garamond" w:hAnsi="Garamond"/>
          <w:sz w:val="24"/>
          <w:szCs w:val="24"/>
          <w:u w:val="single"/>
        </w:rPr>
        <w:t>CNV</w:t>
      </w:r>
      <w:r w:rsidRPr="00D34F67">
        <w:rPr>
          <w:rFonts w:ascii="Garamond" w:hAnsi="Garamond"/>
          <w:sz w:val="24"/>
          <w:szCs w:val="24"/>
        </w:rPr>
        <w:t>”), la Sra. Nadia E. Montenegro. También asisten al acto miembros del departamento de Legales de la Sociedad, la Sra. Graciela Santarelli. Siendo las 10:00 horas los Sres. Directores deciden que el Sr. Gastón Felix Alemán presidirá la presente Asamblea, por lo tanto, en</w:t>
      </w:r>
      <w:r w:rsidRPr="00D34F67">
        <w:rPr>
          <w:rFonts w:ascii="Garamond" w:hAnsi="Garamond"/>
          <w:sz w:val="24"/>
          <w:szCs w:val="24"/>
          <w:u w:val="single"/>
        </w:rPr>
        <w:t xml:space="preserve"> </w:t>
      </w:r>
      <w:r w:rsidRPr="00D34F67">
        <w:rPr>
          <w:rFonts w:ascii="Garamond" w:hAnsi="Garamond"/>
          <w:sz w:val="24"/>
          <w:szCs w:val="24"/>
        </w:rPr>
        <w:t xml:space="preserve">su carácter de Vicepresidente de la Sociedad declara constituida la Asamblea Ordinaria y Extraordinaria convocada para el día de la fecha, a la que concurren, en primera convocatoria, los accionistas que figuran inscriptos en el folio 43 del Libro Depósito de Acciones y Registro de Asistencia a Asambleas N°2, totalizando 20.133.126 acciones ordinarias escriturales clase A y B, siendo 15.367.532 acciones ordinarias escriturales clase A con derecho a 5 votos por acción y 4.765.594 acciones ordinarias clase B con derecho a 1 voto por acción, lo que representa el 67,11% del capital social y el 89,21% de los votos. Asimismo, se deja constancia de que la presente Asamblea ha sido debidamente convocada mediante avisos publicados en el Boletín Oficial de la República Argentina, los días 5, 6, 7, 8 y 11 de noviembre de 2024 y en el Diario Clarín los días 5, 6, 8, 11 y 12 de noviembre de 2024, y se deja constancia de que se han efectuado las correspondientes publicaciones en el Boletín Informativo de BYMA y la Autopista de Información Financiera de la CNV. Por lo tanto, el Sr. </w:t>
      </w:r>
      <w:proofErr w:type="gramStart"/>
      <w:r w:rsidRPr="00D34F67">
        <w:rPr>
          <w:rFonts w:ascii="Garamond" w:hAnsi="Garamond"/>
          <w:sz w:val="24"/>
          <w:szCs w:val="24"/>
        </w:rPr>
        <w:t>Vicepresidente</w:t>
      </w:r>
      <w:proofErr w:type="gramEnd"/>
      <w:r w:rsidRPr="00D34F67">
        <w:rPr>
          <w:rFonts w:ascii="Garamond" w:hAnsi="Garamond"/>
          <w:sz w:val="24"/>
          <w:szCs w:val="24"/>
        </w:rPr>
        <w:t xml:space="preserve"> declara abierto el acto y pone a consideración el </w:t>
      </w:r>
      <w:r w:rsidRPr="00D34F67">
        <w:rPr>
          <w:rFonts w:ascii="Garamond" w:hAnsi="Garamond"/>
          <w:b/>
          <w:bCs/>
          <w:sz w:val="24"/>
          <w:szCs w:val="24"/>
        </w:rPr>
        <w:t>primer punto del Orden del Día</w:t>
      </w:r>
      <w:r w:rsidRPr="00D34F67">
        <w:rPr>
          <w:rFonts w:ascii="Garamond" w:hAnsi="Garamond"/>
          <w:sz w:val="24"/>
          <w:szCs w:val="24"/>
        </w:rPr>
        <w:t xml:space="preserve">: </w:t>
      </w:r>
      <w:r w:rsidRPr="00D34F67">
        <w:rPr>
          <w:rFonts w:ascii="Garamond" w:hAnsi="Garamond"/>
          <w:b/>
          <w:bCs/>
          <w:sz w:val="24"/>
          <w:szCs w:val="24"/>
        </w:rPr>
        <w:t xml:space="preserve">1°) </w:t>
      </w:r>
      <w:r w:rsidRPr="00D34F67">
        <w:rPr>
          <w:rFonts w:ascii="Garamond" w:hAnsi="Garamond"/>
          <w:b/>
          <w:bCs/>
          <w:sz w:val="24"/>
          <w:szCs w:val="24"/>
          <w:u w:val="single"/>
        </w:rPr>
        <w:t>Designación de dos accionistas para firmar el Acta de Asamblea</w:t>
      </w:r>
      <w:r w:rsidRPr="00D34F67">
        <w:rPr>
          <w:rFonts w:ascii="Garamond" w:hAnsi="Garamond"/>
          <w:sz w:val="24"/>
          <w:szCs w:val="24"/>
        </w:rPr>
        <w:t xml:space="preserve">. Toma la palabra el Sr. </w:t>
      </w:r>
      <w:proofErr w:type="gramStart"/>
      <w:r w:rsidRPr="00D34F67">
        <w:rPr>
          <w:rFonts w:ascii="Garamond" w:hAnsi="Garamond"/>
          <w:sz w:val="24"/>
          <w:szCs w:val="24"/>
        </w:rPr>
        <w:t>Vicepresidente</w:t>
      </w:r>
      <w:proofErr w:type="gramEnd"/>
      <w:r w:rsidRPr="00D34F67">
        <w:rPr>
          <w:rFonts w:ascii="Garamond" w:hAnsi="Garamond"/>
          <w:sz w:val="24"/>
          <w:szCs w:val="24"/>
        </w:rPr>
        <w:t xml:space="preserve"> y mociona para que la firme el representante legal del accionista Inversora Mercedes S.A., el Sr. Juan Ignacio Abuchdid y por el accionista el Sr. </w:t>
      </w:r>
      <w:bookmarkStart w:id="0" w:name="_Hlk184284148"/>
      <w:r w:rsidRPr="00D34F67">
        <w:rPr>
          <w:rFonts w:ascii="Garamond" w:hAnsi="Garamond"/>
          <w:sz w:val="24"/>
          <w:szCs w:val="24"/>
        </w:rPr>
        <w:t>Juan Cruz Micele</w:t>
      </w:r>
      <w:bookmarkEnd w:id="0"/>
      <w:r w:rsidRPr="00D34F67">
        <w:rPr>
          <w:rFonts w:ascii="Garamond" w:hAnsi="Garamond"/>
          <w:sz w:val="24"/>
          <w:szCs w:val="24"/>
        </w:rPr>
        <w:t xml:space="preserve">, conjuntamente con el Presidente de la Sociedad. Luego de una breve deliberación, la moción del Sr. </w:t>
      </w:r>
      <w:proofErr w:type="gramStart"/>
      <w:r w:rsidRPr="00D34F67">
        <w:rPr>
          <w:rFonts w:ascii="Garamond" w:hAnsi="Garamond"/>
          <w:sz w:val="24"/>
          <w:szCs w:val="24"/>
        </w:rPr>
        <w:t>Vicepresidente</w:t>
      </w:r>
      <w:proofErr w:type="gramEnd"/>
      <w:r w:rsidRPr="00D34F67">
        <w:rPr>
          <w:rFonts w:ascii="Garamond" w:hAnsi="Garamond"/>
          <w:sz w:val="24"/>
          <w:szCs w:val="24"/>
        </w:rPr>
        <w:t xml:space="preserve"> es aprobada por unanimidad de votos presentes (votos computables: 81.603.254; votos afirmativos: 81.603.254; votos negativos: 0). Seguidamente el Sr. </w:t>
      </w:r>
      <w:proofErr w:type="gramStart"/>
      <w:r w:rsidRPr="00D34F67">
        <w:rPr>
          <w:rFonts w:ascii="Garamond" w:hAnsi="Garamond"/>
          <w:sz w:val="24"/>
          <w:szCs w:val="24"/>
        </w:rPr>
        <w:t>Vicepresidente</w:t>
      </w:r>
      <w:proofErr w:type="gramEnd"/>
      <w:r w:rsidRPr="00D34F67">
        <w:rPr>
          <w:rFonts w:ascii="Garamond" w:hAnsi="Garamond"/>
          <w:sz w:val="24"/>
          <w:szCs w:val="24"/>
        </w:rPr>
        <w:t xml:space="preserve"> pone a consideración el </w:t>
      </w:r>
      <w:r w:rsidRPr="00D34F67">
        <w:rPr>
          <w:rFonts w:ascii="Garamond" w:hAnsi="Garamond"/>
          <w:b/>
          <w:bCs/>
          <w:sz w:val="24"/>
          <w:szCs w:val="24"/>
        </w:rPr>
        <w:t>segundo punto del Orden del Día</w:t>
      </w:r>
      <w:r w:rsidRPr="00D34F67">
        <w:rPr>
          <w:rFonts w:ascii="Garamond" w:hAnsi="Garamond"/>
          <w:sz w:val="24"/>
          <w:szCs w:val="24"/>
        </w:rPr>
        <w:t>:</w:t>
      </w:r>
      <w:r w:rsidR="00D34F67" w:rsidRPr="00D34F67">
        <w:rPr>
          <w:rFonts w:ascii="Garamond" w:hAnsi="Garamond"/>
          <w:sz w:val="24"/>
          <w:szCs w:val="24"/>
        </w:rPr>
        <w:t xml:space="preserve"> </w:t>
      </w:r>
      <w:r w:rsidRPr="00D34F67">
        <w:rPr>
          <w:rFonts w:ascii="Garamond" w:hAnsi="Garamond"/>
          <w:b/>
          <w:bCs/>
          <w:sz w:val="24"/>
          <w:szCs w:val="24"/>
        </w:rPr>
        <w:t xml:space="preserve">2°) </w:t>
      </w:r>
      <w:r w:rsidRPr="00D34F67">
        <w:rPr>
          <w:rFonts w:ascii="Garamond" w:hAnsi="Garamond"/>
          <w:b/>
          <w:bCs/>
          <w:sz w:val="24"/>
          <w:szCs w:val="24"/>
          <w:u w:val="single"/>
        </w:rPr>
        <w:t xml:space="preserve">Consideración de la renuncia de los Sres. Javier Fernando Balseiro, Ramón Astor Catalán, Bernardino Antonio Olivera, Eduardo </w:t>
      </w:r>
      <w:r w:rsidRPr="00D34F67">
        <w:rPr>
          <w:rFonts w:ascii="Garamond" w:hAnsi="Garamond"/>
          <w:b/>
          <w:bCs/>
          <w:sz w:val="24"/>
          <w:szCs w:val="24"/>
          <w:u w:val="single"/>
        </w:rPr>
        <w:lastRenderedPageBreak/>
        <w:t>Freytes, Luis Alberto Gustavo Magaldi, Marcelo Arias, Rubén Eduardo Murray y Sergio Cornejo Remy y ratificación de la designación de la Comisión Fiscalizadora de sus reemplazantes. Consideración de la gestión de los miembros del Directorio</w:t>
      </w:r>
      <w:r w:rsidRPr="00D34F67">
        <w:rPr>
          <w:rFonts w:ascii="Garamond" w:hAnsi="Garamond"/>
          <w:sz w:val="24"/>
          <w:szCs w:val="24"/>
        </w:rPr>
        <w:t xml:space="preserve">. Toma la palabra el Sr. </w:t>
      </w:r>
      <w:proofErr w:type="gramStart"/>
      <w:r w:rsidRPr="00D34F67">
        <w:rPr>
          <w:rFonts w:ascii="Garamond" w:hAnsi="Garamond"/>
          <w:sz w:val="24"/>
          <w:szCs w:val="24"/>
        </w:rPr>
        <w:t>Vicepresidente</w:t>
      </w:r>
      <w:proofErr w:type="gramEnd"/>
      <w:r w:rsidRPr="00D34F67">
        <w:rPr>
          <w:rFonts w:ascii="Garamond" w:hAnsi="Garamond"/>
          <w:sz w:val="24"/>
          <w:szCs w:val="24"/>
        </w:rPr>
        <w:t xml:space="preserve"> y propone a los presentes que se apruebe la renuncia de los Sres. Directores Javier Fernando Balseiro, Ramón Astor Catalán, Bernardino Antonio Olivera, Eduardo Freytes, Luis Alberto Gustavo Magaldi, Marcelo Arias, Rubén Eduardo Murray y Sergio Cornejo Remy, las cuales no han sido dolosas ni intempestivas y que se apruebe la gestión de los mencionados miembros del Directorio. Asimismo, propone que se ratifiquen las designaciones hechas por la Comisión Fiscalizadora el 31 de octubre de 2024, es decir, la designación del Sr. Ezequiel Martín Fernández Presidente, el Sr. Gastón Alemán Vicepresidente, los Sres. Juan Ignacio Abuchdid, Gonzalo Venancio, María José Van Morlegan, Ricardo Zurlo a sus cargos de Directores Titulares y al Sr. Haroldo Ramón Gavernet a su cargo de Director Suplente, conforme a la distribución de cargos del Acta de Directorio N°2905 del 31 de octubre de 2024. Luego de una breve deliberación, se resuelve por unanimidad de votos presentes: (i) aprobar la renuncia y la gestión de los Directores renunciantes; y (ii) ratificar la designación del Directorio resuelta por medio de la Reunión de la Comisión Fiscalizadora de fecha 31 de octubre de 2024 y la distribución de los cargos aprobada en la misma fecha mediante el Acta de Directorio N°2905 hasta la próxima Asamblea Ordinaria Anual de la Sociedad (votos computables: 81.603.254; votos afirmativos: 81.603.254; votos negativos: 0). Luego se pasa a considerar el </w:t>
      </w:r>
      <w:r w:rsidRPr="00D34F67">
        <w:rPr>
          <w:rFonts w:ascii="Garamond" w:hAnsi="Garamond"/>
          <w:b/>
          <w:bCs/>
          <w:sz w:val="24"/>
          <w:szCs w:val="24"/>
        </w:rPr>
        <w:t>tercer punto del Orden del Día</w:t>
      </w:r>
      <w:r w:rsidRPr="00D34F67">
        <w:rPr>
          <w:rFonts w:ascii="Garamond" w:hAnsi="Garamond"/>
          <w:sz w:val="24"/>
          <w:szCs w:val="24"/>
        </w:rPr>
        <w:t xml:space="preserve">: </w:t>
      </w:r>
      <w:r w:rsidRPr="00D34F67">
        <w:rPr>
          <w:rFonts w:ascii="Garamond" w:hAnsi="Garamond"/>
          <w:b/>
          <w:bCs/>
          <w:sz w:val="24"/>
          <w:szCs w:val="24"/>
        </w:rPr>
        <w:t xml:space="preserve">3°) </w:t>
      </w:r>
      <w:r w:rsidRPr="00D34F67">
        <w:rPr>
          <w:rFonts w:ascii="Garamond" w:hAnsi="Garamond"/>
          <w:b/>
          <w:bCs/>
          <w:sz w:val="24"/>
          <w:szCs w:val="24"/>
          <w:u w:val="single"/>
        </w:rPr>
        <w:t>Reorganización de la Comisión Fiscalizadora</w:t>
      </w:r>
      <w:r w:rsidRPr="00D34F67">
        <w:rPr>
          <w:rFonts w:ascii="Garamond" w:hAnsi="Garamond"/>
          <w:sz w:val="24"/>
          <w:szCs w:val="24"/>
        </w:rPr>
        <w:t xml:space="preserve">. Puesto el punto a consideración, el Sr. </w:t>
      </w:r>
      <w:proofErr w:type="gramStart"/>
      <w:r w:rsidRPr="00D34F67">
        <w:rPr>
          <w:rFonts w:ascii="Garamond" w:hAnsi="Garamond"/>
          <w:sz w:val="24"/>
          <w:szCs w:val="24"/>
        </w:rPr>
        <w:t>Vicepresidente</w:t>
      </w:r>
      <w:proofErr w:type="gramEnd"/>
      <w:r w:rsidRPr="00D34F67">
        <w:rPr>
          <w:rFonts w:ascii="Garamond" w:hAnsi="Garamond"/>
          <w:sz w:val="24"/>
          <w:szCs w:val="24"/>
        </w:rPr>
        <w:t xml:space="preserve"> mociona por mantener a los miembros de la Comisión Fiscalizadora hasta la próxima Asamblea Ordinaria Anual de la Sociedad. Luego de un intercambio de opiniones, se resuelve por unanimidad de votos presentes mantener la composición de la Comisión Fiscalizadora hasta la próxima Asamblea Ordinaria Anual de la Sociedad (votos computables: 81.603.254; votos afirmativos: 81.603.254; votos negativos: 0). A continuación, se pasa a considerar el </w:t>
      </w:r>
      <w:r w:rsidRPr="00D34F67">
        <w:rPr>
          <w:rFonts w:ascii="Garamond" w:hAnsi="Garamond"/>
          <w:b/>
          <w:bCs/>
          <w:sz w:val="24"/>
          <w:szCs w:val="24"/>
        </w:rPr>
        <w:t>cuarto punto de Orden del Día</w:t>
      </w:r>
      <w:r w:rsidRPr="00D34F67">
        <w:rPr>
          <w:rFonts w:ascii="Garamond" w:hAnsi="Garamond"/>
          <w:sz w:val="24"/>
          <w:szCs w:val="24"/>
        </w:rPr>
        <w:t xml:space="preserve">: </w:t>
      </w:r>
      <w:r w:rsidRPr="00D34F67">
        <w:rPr>
          <w:rFonts w:ascii="Garamond" w:hAnsi="Garamond"/>
          <w:b/>
          <w:bCs/>
          <w:sz w:val="24"/>
          <w:szCs w:val="24"/>
        </w:rPr>
        <w:t>4º) </w:t>
      </w:r>
      <w:r w:rsidRPr="00D34F67">
        <w:rPr>
          <w:rFonts w:ascii="Garamond" w:hAnsi="Garamond"/>
          <w:b/>
          <w:bCs/>
          <w:sz w:val="24"/>
          <w:szCs w:val="24"/>
          <w:u w:val="single"/>
        </w:rPr>
        <w:t>Consideración de la modificación de la denominación social y reforma del artículo primero del estatuto</w:t>
      </w:r>
      <w:r w:rsidRPr="00D34F67">
        <w:rPr>
          <w:rFonts w:ascii="Garamond" w:hAnsi="Garamond"/>
          <w:sz w:val="24"/>
          <w:szCs w:val="24"/>
        </w:rPr>
        <w:t>.</w:t>
      </w:r>
      <w:r w:rsidR="00D34F67">
        <w:rPr>
          <w:rFonts w:ascii="Garamond" w:hAnsi="Garamond"/>
          <w:sz w:val="24"/>
          <w:szCs w:val="24"/>
        </w:rPr>
        <w:t xml:space="preserve"> </w:t>
      </w:r>
      <w:r w:rsidRPr="00D34F67">
        <w:rPr>
          <w:rFonts w:ascii="Garamond" w:hAnsi="Garamond"/>
          <w:sz w:val="24"/>
          <w:szCs w:val="24"/>
        </w:rPr>
        <w:t xml:space="preserve">Toma la palabra el Sr. </w:t>
      </w:r>
      <w:proofErr w:type="gramStart"/>
      <w:r w:rsidRPr="00D34F67">
        <w:rPr>
          <w:rFonts w:ascii="Garamond" w:hAnsi="Garamond"/>
          <w:sz w:val="24"/>
          <w:szCs w:val="24"/>
        </w:rPr>
        <w:t>Vicepresidente</w:t>
      </w:r>
      <w:proofErr w:type="gramEnd"/>
      <w:r w:rsidRPr="00D34F67">
        <w:rPr>
          <w:rFonts w:ascii="Garamond" w:hAnsi="Garamond"/>
          <w:sz w:val="24"/>
          <w:szCs w:val="24"/>
        </w:rPr>
        <w:t xml:space="preserve"> y manifiesta </w:t>
      </w:r>
      <w:bookmarkStart w:id="1" w:name="_Hlk183689508"/>
      <w:r w:rsidRPr="00D34F67">
        <w:rPr>
          <w:rFonts w:ascii="Garamond" w:hAnsi="Garamond"/>
          <w:sz w:val="24"/>
          <w:szCs w:val="24"/>
        </w:rPr>
        <w:t>que con anterioridad a esta Asamblea, la Sociedad efectuó una presentación ante la CNV, mediante la cual se puso en conocimiento a dicho organismo público de la voluntad de la Sociedad de modificar su denominación social de “</w:t>
      </w:r>
      <w:r w:rsidRPr="00D34F67">
        <w:rPr>
          <w:rFonts w:ascii="Garamond" w:hAnsi="Garamond"/>
          <w:b/>
          <w:bCs/>
          <w:sz w:val="24"/>
          <w:szCs w:val="24"/>
        </w:rPr>
        <w:t>DYCASA SOCIEDAD ANÓNIMA</w:t>
      </w:r>
      <w:r w:rsidRPr="00D34F67">
        <w:rPr>
          <w:rFonts w:ascii="Garamond" w:hAnsi="Garamond"/>
          <w:sz w:val="24"/>
          <w:szCs w:val="24"/>
        </w:rPr>
        <w:t>” a “</w:t>
      </w:r>
      <w:r w:rsidRPr="00D34F67">
        <w:rPr>
          <w:rFonts w:ascii="Garamond" w:hAnsi="Garamond"/>
          <w:b/>
          <w:bCs/>
          <w:sz w:val="24"/>
          <w:szCs w:val="24"/>
        </w:rPr>
        <w:t>IEB CONSTRUCCIONES S.A.</w:t>
      </w:r>
      <w:r w:rsidRPr="00D34F67">
        <w:rPr>
          <w:rFonts w:ascii="Garamond" w:hAnsi="Garamond"/>
          <w:sz w:val="24"/>
          <w:szCs w:val="24"/>
        </w:rPr>
        <w:t>” y presentó el correspondiente proyecto de reforma de Estatuto Social de la Sociedad, conforme a lo que se detalla a continuación:</w:t>
      </w:r>
      <w:bookmarkEnd w:id="1"/>
      <w:r w:rsidRPr="00D34F67">
        <w:rPr>
          <w:rFonts w:ascii="Garamond" w:hAnsi="Garamond"/>
          <w:sz w:val="24"/>
          <w:szCs w:val="24"/>
        </w:rPr>
        <w:t xml:space="preserve"> </w:t>
      </w:r>
    </w:p>
    <w:tbl>
      <w:tblPr>
        <w:tblStyle w:val="Tablaconcuadrcula"/>
        <w:tblpPr w:leftFromText="141" w:rightFromText="141" w:vertAnchor="text" w:horzAnchor="margin" w:tblpY="55"/>
        <w:tblW w:w="5000" w:type="pct"/>
        <w:tblInd w:w="0" w:type="dxa"/>
        <w:tblLook w:val="04A0" w:firstRow="1" w:lastRow="0" w:firstColumn="1" w:lastColumn="0" w:noHBand="0" w:noVBand="1"/>
      </w:tblPr>
      <w:tblGrid>
        <w:gridCol w:w="4247"/>
        <w:gridCol w:w="4247"/>
      </w:tblGrid>
      <w:tr w:rsidR="00B91203" w:rsidRPr="00D34F67" w14:paraId="76D0C015" w14:textId="77777777" w:rsidTr="00040F32">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4960EE" w14:textId="77777777" w:rsidR="00B91203" w:rsidRPr="00D34F67" w:rsidRDefault="00B91203" w:rsidP="00D34F67">
            <w:pPr>
              <w:spacing w:after="160" w:line="360" w:lineRule="auto"/>
              <w:jc w:val="center"/>
              <w:rPr>
                <w:rFonts w:ascii="Garamond" w:hAnsi="Garamond"/>
                <w:b/>
                <w:bCs/>
                <w:sz w:val="24"/>
                <w:szCs w:val="24"/>
              </w:rPr>
            </w:pPr>
            <w:r w:rsidRPr="00D34F67">
              <w:rPr>
                <w:rFonts w:ascii="Garamond" w:hAnsi="Garamond"/>
                <w:b/>
                <w:bCs/>
                <w:sz w:val="24"/>
                <w:szCs w:val="24"/>
              </w:rPr>
              <w:lastRenderedPageBreak/>
              <w:t>Redacción actual</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1835B1" w14:textId="77777777" w:rsidR="00B91203" w:rsidRPr="00D34F67" w:rsidRDefault="00B91203" w:rsidP="00D34F67">
            <w:pPr>
              <w:spacing w:after="160" w:line="360" w:lineRule="auto"/>
              <w:jc w:val="center"/>
              <w:rPr>
                <w:rFonts w:ascii="Garamond" w:hAnsi="Garamond"/>
                <w:b/>
                <w:bCs/>
                <w:sz w:val="24"/>
                <w:szCs w:val="24"/>
              </w:rPr>
            </w:pPr>
            <w:r w:rsidRPr="00D34F67">
              <w:rPr>
                <w:rFonts w:ascii="Garamond" w:hAnsi="Garamond"/>
                <w:b/>
                <w:bCs/>
                <w:sz w:val="24"/>
                <w:szCs w:val="24"/>
              </w:rPr>
              <w:t>Proyecto de Reforma</w:t>
            </w:r>
          </w:p>
        </w:tc>
      </w:tr>
      <w:tr w:rsidR="00B91203" w:rsidRPr="00D34F67" w14:paraId="4F4C7814" w14:textId="77777777" w:rsidTr="00040F32">
        <w:tc>
          <w:tcPr>
            <w:tcW w:w="2500" w:type="pct"/>
            <w:tcBorders>
              <w:top w:val="single" w:sz="4" w:space="0" w:color="auto"/>
              <w:left w:val="single" w:sz="4" w:space="0" w:color="auto"/>
              <w:bottom w:val="single" w:sz="4" w:space="0" w:color="auto"/>
              <w:right w:val="single" w:sz="4" w:space="0" w:color="auto"/>
            </w:tcBorders>
            <w:hideMark/>
          </w:tcPr>
          <w:p w14:paraId="4165E9E1" w14:textId="77777777" w:rsidR="00B91203" w:rsidRPr="00D34F67" w:rsidRDefault="00B91203" w:rsidP="00040F32">
            <w:pPr>
              <w:spacing w:after="160" w:line="360" w:lineRule="auto"/>
              <w:jc w:val="both"/>
              <w:rPr>
                <w:rFonts w:ascii="Garamond" w:hAnsi="Garamond"/>
                <w:sz w:val="24"/>
                <w:szCs w:val="24"/>
              </w:rPr>
            </w:pPr>
            <w:r w:rsidRPr="00D34F67">
              <w:rPr>
                <w:rFonts w:ascii="Garamond" w:hAnsi="Garamond"/>
                <w:b/>
                <w:bCs/>
                <w:sz w:val="24"/>
                <w:szCs w:val="24"/>
              </w:rPr>
              <w:t xml:space="preserve">ARTICULO PRIMERO. Denominación: </w:t>
            </w:r>
            <w:r w:rsidRPr="00D34F67">
              <w:rPr>
                <w:rFonts w:ascii="Garamond" w:hAnsi="Garamond"/>
                <w:sz w:val="24"/>
                <w:szCs w:val="24"/>
              </w:rPr>
              <w:t xml:space="preserve">La sociedad se denomina </w:t>
            </w:r>
            <w:r w:rsidRPr="00D34F67">
              <w:rPr>
                <w:rFonts w:ascii="Garamond" w:hAnsi="Garamond"/>
                <w:b/>
                <w:bCs/>
                <w:sz w:val="24"/>
                <w:szCs w:val="24"/>
              </w:rPr>
              <w:t xml:space="preserve">DYCASA SOCIEDAD ANÓNIMA </w:t>
            </w:r>
            <w:r w:rsidRPr="00D34F67">
              <w:rPr>
                <w:rFonts w:ascii="Garamond" w:hAnsi="Garamond"/>
                <w:sz w:val="24"/>
                <w:szCs w:val="24"/>
              </w:rPr>
              <w:t>y es continuadora de DYCASA Dragados y Construcciones Argentina S.A. y de DYCASA Dragados y Construcciones Argentina Sociedad Anónima Industrial Comercial Inmobiliaria.</w:t>
            </w:r>
          </w:p>
        </w:tc>
        <w:tc>
          <w:tcPr>
            <w:tcW w:w="2500" w:type="pct"/>
            <w:tcBorders>
              <w:top w:val="single" w:sz="4" w:space="0" w:color="auto"/>
              <w:left w:val="single" w:sz="4" w:space="0" w:color="auto"/>
              <w:bottom w:val="single" w:sz="4" w:space="0" w:color="auto"/>
              <w:right w:val="single" w:sz="4" w:space="0" w:color="auto"/>
            </w:tcBorders>
            <w:hideMark/>
          </w:tcPr>
          <w:p w14:paraId="7DCA2723" w14:textId="77777777" w:rsidR="00B91203" w:rsidRPr="00D34F67" w:rsidRDefault="00B91203" w:rsidP="00040F32">
            <w:pPr>
              <w:spacing w:after="160" w:line="360" w:lineRule="auto"/>
              <w:jc w:val="both"/>
              <w:rPr>
                <w:rFonts w:ascii="Garamond" w:hAnsi="Garamond"/>
                <w:sz w:val="24"/>
                <w:szCs w:val="24"/>
              </w:rPr>
            </w:pPr>
            <w:bookmarkStart w:id="2" w:name="_Hlk183689519"/>
            <w:r w:rsidRPr="00D34F67">
              <w:rPr>
                <w:rFonts w:ascii="Garamond" w:hAnsi="Garamond"/>
                <w:b/>
                <w:bCs/>
                <w:sz w:val="24"/>
                <w:szCs w:val="24"/>
              </w:rPr>
              <w:t xml:space="preserve">ARTICULO PRIMERO. Denominación: </w:t>
            </w:r>
            <w:r w:rsidRPr="00D34F67">
              <w:rPr>
                <w:rFonts w:ascii="Garamond" w:hAnsi="Garamond"/>
                <w:sz w:val="24"/>
                <w:szCs w:val="24"/>
              </w:rPr>
              <w:t xml:space="preserve">La sociedad se denomina </w:t>
            </w:r>
            <w:r w:rsidRPr="00D34F67">
              <w:rPr>
                <w:rFonts w:ascii="Garamond" w:hAnsi="Garamond"/>
                <w:b/>
                <w:bCs/>
                <w:sz w:val="24"/>
                <w:szCs w:val="24"/>
              </w:rPr>
              <w:t>IEB Construcciones S.A.</w:t>
            </w:r>
            <w:r w:rsidRPr="00D34F67">
              <w:rPr>
                <w:rFonts w:ascii="Garamond" w:hAnsi="Garamond"/>
                <w:sz w:val="24"/>
                <w:szCs w:val="24"/>
              </w:rPr>
              <w:t xml:space="preserve"> y es continuadora de DYCASA SOCIEDAD ANÓNIMA</w:t>
            </w:r>
            <w:r w:rsidRPr="00D34F67">
              <w:rPr>
                <w:rFonts w:ascii="Garamond" w:hAnsi="Garamond"/>
                <w:b/>
                <w:bCs/>
                <w:sz w:val="24"/>
                <w:szCs w:val="24"/>
              </w:rPr>
              <w:t xml:space="preserve"> </w:t>
            </w:r>
            <w:r w:rsidRPr="00D34F67">
              <w:rPr>
                <w:rFonts w:ascii="Garamond" w:hAnsi="Garamond"/>
                <w:sz w:val="24"/>
                <w:szCs w:val="24"/>
              </w:rPr>
              <w:t>y de DYCASA Dragados y Construcciones Argentina S.A. y de DYCASA Dragados y Construcciones Argentina Sociedad Anónima Industrial Comercial Inmobiliaria.</w:t>
            </w:r>
            <w:bookmarkEnd w:id="2"/>
          </w:p>
        </w:tc>
      </w:tr>
    </w:tbl>
    <w:p w14:paraId="3BF3554B" w14:textId="2D4DCD7B" w:rsidR="00B91203" w:rsidRPr="00D34F67" w:rsidRDefault="00B91203" w:rsidP="00D34F67">
      <w:pPr>
        <w:spacing w:line="360" w:lineRule="auto"/>
        <w:jc w:val="both"/>
        <w:rPr>
          <w:rFonts w:ascii="Garamond" w:hAnsi="Garamond"/>
          <w:sz w:val="24"/>
          <w:szCs w:val="24"/>
        </w:rPr>
      </w:pPr>
      <w:bookmarkStart w:id="3" w:name="_Hlk183689545"/>
      <w:r w:rsidRPr="00D34F67">
        <w:rPr>
          <w:rFonts w:ascii="Garamond" w:hAnsi="Garamond"/>
          <w:sz w:val="24"/>
          <w:szCs w:val="24"/>
        </w:rPr>
        <w:t xml:space="preserve">En uso de la palabra, el Sr. </w:t>
      </w:r>
      <w:proofErr w:type="gramStart"/>
      <w:r w:rsidRPr="00D34F67">
        <w:rPr>
          <w:rFonts w:ascii="Garamond" w:hAnsi="Garamond"/>
          <w:sz w:val="24"/>
          <w:szCs w:val="24"/>
        </w:rPr>
        <w:t>Vicepresidente</w:t>
      </w:r>
      <w:proofErr w:type="gramEnd"/>
      <w:r w:rsidRPr="00D34F67">
        <w:rPr>
          <w:rFonts w:ascii="Garamond" w:hAnsi="Garamond"/>
          <w:sz w:val="24"/>
          <w:szCs w:val="24"/>
        </w:rPr>
        <w:t xml:space="preserve"> informa que a la fecha de la presente Asamblea, no existen observaciones por parte de CNV que se encuentren pendientes de subsanación. Por lo tanto, pone a consideración de los Sres. Accionistas la propuesta de cambio de denominación social y reforma de estatuto social referida</w:t>
      </w:r>
      <w:bookmarkEnd w:id="3"/>
      <w:r w:rsidRPr="00D34F67">
        <w:rPr>
          <w:rFonts w:ascii="Garamond" w:hAnsi="Garamond"/>
          <w:sz w:val="24"/>
          <w:szCs w:val="24"/>
        </w:rPr>
        <w:t>. Los accionistas por unanimidad  de votos presentes, resuelven: (i) aprobar el cambio de denominación social de “</w:t>
      </w:r>
      <w:r w:rsidRPr="00D34F67">
        <w:rPr>
          <w:rFonts w:ascii="Garamond" w:hAnsi="Garamond"/>
          <w:b/>
          <w:bCs/>
          <w:sz w:val="24"/>
          <w:szCs w:val="24"/>
        </w:rPr>
        <w:t>DYCASA SOCIEDAD ANONIMA</w:t>
      </w:r>
      <w:r w:rsidRPr="00D34F67">
        <w:rPr>
          <w:rFonts w:ascii="Garamond" w:hAnsi="Garamond"/>
          <w:sz w:val="24"/>
          <w:szCs w:val="24"/>
        </w:rPr>
        <w:t>” a “</w:t>
      </w:r>
      <w:r w:rsidRPr="00D34F67">
        <w:rPr>
          <w:rFonts w:ascii="Garamond" w:hAnsi="Garamond"/>
          <w:b/>
          <w:bCs/>
          <w:sz w:val="24"/>
          <w:szCs w:val="24"/>
        </w:rPr>
        <w:t>IEB CONSTRUCCIONES S.A.</w:t>
      </w:r>
      <w:r w:rsidRPr="00D34F67">
        <w:rPr>
          <w:rFonts w:ascii="Garamond" w:hAnsi="Garamond"/>
          <w:sz w:val="24"/>
          <w:szCs w:val="24"/>
        </w:rPr>
        <w:t>”; y (ii) reformar el artículo primero del estatuto de la Sociedad, el cual quedará redactado de la siguiente forma: “</w:t>
      </w:r>
      <w:r w:rsidRPr="00D34F67">
        <w:rPr>
          <w:rFonts w:ascii="Garamond" w:hAnsi="Garamond"/>
          <w:b/>
          <w:bCs/>
          <w:sz w:val="24"/>
          <w:szCs w:val="24"/>
        </w:rPr>
        <w:t>ARTÍCULO PRIMERO: Denominación</w:t>
      </w:r>
      <w:r w:rsidRPr="00D34F67">
        <w:rPr>
          <w:rFonts w:ascii="Garamond" w:hAnsi="Garamond"/>
          <w:sz w:val="24"/>
          <w:szCs w:val="24"/>
        </w:rPr>
        <w:t xml:space="preserve">: La sociedad se denomina </w:t>
      </w:r>
      <w:r w:rsidRPr="00D34F67">
        <w:rPr>
          <w:rFonts w:ascii="Garamond" w:hAnsi="Garamond"/>
          <w:b/>
          <w:bCs/>
          <w:sz w:val="24"/>
          <w:szCs w:val="24"/>
        </w:rPr>
        <w:t>IEB Construcciones S.A.</w:t>
      </w:r>
      <w:r w:rsidRPr="00D34F67">
        <w:rPr>
          <w:rFonts w:ascii="Garamond" w:hAnsi="Garamond"/>
          <w:sz w:val="24"/>
          <w:szCs w:val="24"/>
        </w:rPr>
        <w:t xml:space="preserve"> y es continuadora de DYCASA SOCIEDAD ANÓNIMA</w:t>
      </w:r>
      <w:r w:rsidRPr="00D34F67">
        <w:rPr>
          <w:rFonts w:ascii="Garamond" w:hAnsi="Garamond"/>
          <w:b/>
          <w:bCs/>
          <w:sz w:val="24"/>
          <w:szCs w:val="24"/>
        </w:rPr>
        <w:t xml:space="preserve"> </w:t>
      </w:r>
      <w:r w:rsidRPr="00D34F67">
        <w:rPr>
          <w:rFonts w:ascii="Garamond" w:hAnsi="Garamond"/>
          <w:sz w:val="24"/>
          <w:szCs w:val="24"/>
        </w:rPr>
        <w:t xml:space="preserve">y de DYCASA Dragados y Construcciones Argentina S.A. y de DYCASA Dragados y Construcciones Argentina Sociedad Anónima Industrial Comercial Inmobiliaria.” (votos computables: 81.603.254; votos afirmativos: 81.603.254; votos negativos: 0). Por último, se pasa a considerar el </w:t>
      </w:r>
      <w:r w:rsidRPr="00D34F67">
        <w:rPr>
          <w:rFonts w:ascii="Garamond" w:hAnsi="Garamond"/>
          <w:b/>
          <w:bCs/>
          <w:sz w:val="24"/>
          <w:szCs w:val="24"/>
        </w:rPr>
        <w:t>quinto y último punto del Orden del Día</w:t>
      </w:r>
      <w:r w:rsidRPr="00D34F67">
        <w:rPr>
          <w:rFonts w:ascii="Garamond" w:hAnsi="Garamond"/>
          <w:sz w:val="24"/>
          <w:szCs w:val="24"/>
        </w:rPr>
        <w:t xml:space="preserve">: </w:t>
      </w:r>
      <w:r w:rsidRPr="00D34F67">
        <w:rPr>
          <w:rFonts w:ascii="Garamond" w:hAnsi="Garamond"/>
          <w:b/>
          <w:bCs/>
          <w:sz w:val="24"/>
          <w:szCs w:val="24"/>
        </w:rPr>
        <w:t xml:space="preserve">5°) </w:t>
      </w:r>
      <w:r w:rsidRPr="00D34F67">
        <w:rPr>
          <w:rFonts w:ascii="Garamond" w:hAnsi="Garamond"/>
          <w:b/>
          <w:bCs/>
          <w:sz w:val="24"/>
          <w:szCs w:val="24"/>
          <w:u w:val="single"/>
        </w:rPr>
        <w:t>Autorizaciones</w:t>
      </w:r>
      <w:r w:rsidRPr="00D34F67">
        <w:rPr>
          <w:rFonts w:ascii="Garamond" w:hAnsi="Garamond"/>
          <w:sz w:val="24"/>
          <w:szCs w:val="24"/>
        </w:rPr>
        <w:t xml:space="preserve">. </w:t>
      </w:r>
      <w:r w:rsidRPr="00D34F67">
        <w:rPr>
          <w:rFonts w:ascii="Garamond" w:hAnsi="Garamond"/>
          <w:sz w:val="24"/>
          <w:szCs w:val="24"/>
          <w:lang w:val="es-ES_tradnl"/>
        </w:rPr>
        <w:t xml:space="preserve">El Sr. </w:t>
      </w:r>
      <w:proofErr w:type="gramStart"/>
      <w:r w:rsidRPr="00D34F67">
        <w:rPr>
          <w:rFonts w:ascii="Garamond" w:hAnsi="Garamond"/>
          <w:sz w:val="24"/>
          <w:szCs w:val="24"/>
        </w:rPr>
        <w:t>Vicepresidente</w:t>
      </w:r>
      <w:proofErr w:type="gramEnd"/>
      <w:r w:rsidRPr="00D34F67">
        <w:rPr>
          <w:rFonts w:ascii="Garamond" w:hAnsi="Garamond"/>
          <w:sz w:val="24"/>
          <w:szCs w:val="24"/>
          <w:lang w:val="es-ES_tradnl"/>
        </w:rPr>
        <w:t xml:space="preserve"> expresa que resulta necesario autorizar a ciertas personas a realizar las gestiones y tramitaciones administrativas relativas a las decisiones resueltas en la presente Asamblea. En particular, corresponde autorizarlos para contestar vistas, notificarse y realizar cuantos más actos sean necesarios ante la CNV, BYMA y Caja de Valores S.A. en relación con todo trámite que sea necesario realizar bajo el régimen de oferta pública y listado. En consecuencia, la Asamblea por unanimidad de votos presentes resuelve autorizar a los Sres. </w:t>
      </w:r>
      <w:r w:rsidRPr="00D34F67">
        <w:rPr>
          <w:rFonts w:ascii="Garamond" w:hAnsi="Garamond"/>
          <w:sz w:val="24"/>
          <w:szCs w:val="24"/>
        </w:rPr>
        <w:t xml:space="preserve">Diego Julián Razumny, Juan Pablo Bove, Federico Martín Otero, Federico Salim, Camila Evangelista, Esteban Bujan, Paula V. Cerizola, María Emilia Diaz, Inés Espina Rawson, Francisco Stéfano, Cristian Bruno, Manuela Cané, Sofía Elhorriburu, Rosa Urdaneta, Marcos Martínez Cuadrado, Consuelo Ortiz, Milagros Medinaceli, Lucas Podestá, Trinidad Morello, </w:t>
      </w:r>
      <w:r w:rsidRPr="00D34F67">
        <w:rPr>
          <w:rFonts w:ascii="Garamond" w:hAnsi="Garamond"/>
          <w:sz w:val="24"/>
          <w:szCs w:val="24"/>
        </w:rPr>
        <w:lastRenderedPageBreak/>
        <w:t xml:space="preserve">Agostina Jordán, Martin Scapini, Martín Castellaro </w:t>
      </w:r>
      <w:r w:rsidRPr="00D34F67">
        <w:rPr>
          <w:rFonts w:ascii="Garamond" w:hAnsi="Garamond"/>
          <w:sz w:val="24"/>
          <w:szCs w:val="24"/>
          <w:lang w:val="es-ES_tradnl"/>
        </w:rPr>
        <w:t xml:space="preserve">y/o a quienes ellos autoricen, para que uno cualquiera de ellos, actuando indistintamente, realice las presentaciones necesarias o convenientes ante la CNV, BYMA, la Bolsa de Comercio de Buenos Aires, Caja de Valores S.A. y todo otro organismo que pudiera corresponder, tomando vista de las actuaciones y teniendo indistintamente la facultad de contestarlas, presentar escritos, solicitudes y recursos, publicar edictos y avisos tanto en el Boletín Oficial de la República Argentina como en el Boletín Diario de la Bolsa de Comercio (Boletín Informativo de BCBA) y en cualquier otro diario y realizar cuantos más actos y trámites fuesen necesarios o convenientes, suscribiendo a tal efecto la documentación que resulte necesaria </w:t>
      </w:r>
      <w:r w:rsidRPr="00D34F67">
        <w:rPr>
          <w:rFonts w:ascii="Garamond" w:hAnsi="Garamond"/>
          <w:sz w:val="24"/>
          <w:szCs w:val="24"/>
        </w:rPr>
        <w:t>(votos computables: 81.603.254; votos afirmativos: 81.603.254; votos negativos: 0)</w:t>
      </w:r>
      <w:r w:rsidRPr="00D34F67">
        <w:rPr>
          <w:rFonts w:ascii="Garamond" w:hAnsi="Garamond"/>
          <w:sz w:val="24"/>
          <w:szCs w:val="24"/>
          <w:lang w:val="es-ES_tradnl"/>
        </w:rPr>
        <w:t>. No habiendo más asuntos que considerar, se da por finalizada la presente asamblea siendo las 10:12</w:t>
      </w:r>
      <w:r w:rsidRPr="00D34F67">
        <w:rPr>
          <w:rFonts w:ascii="Garamond" w:hAnsi="Garamond"/>
          <w:sz w:val="24"/>
          <w:szCs w:val="24"/>
        </w:rPr>
        <w:t xml:space="preserve"> horas.</w:t>
      </w:r>
    </w:p>
    <w:p w14:paraId="567FC824" w14:textId="3F197218" w:rsidR="00B91203" w:rsidRPr="00D34F67" w:rsidRDefault="00D34F67" w:rsidP="00D34F67">
      <w:pPr>
        <w:spacing w:line="360" w:lineRule="auto"/>
        <w:jc w:val="both"/>
        <w:rPr>
          <w:rFonts w:ascii="Garamond" w:hAnsi="Garamond"/>
          <w:sz w:val="24"/>
          <w:szCs w:val="24"/>
          <w:lang w:val="es-ES_tradnl"/>
        </w:rPr>
      </w:pPr>
      <w:r w:rsidRPr="00D34F67">
        <w:rPr>
          <w:rFonts w:ascii="Garamond" w:hAnsi="Garamond"/>
          <w:sz w:val="24"/>
          <w:szCs w:val="24"/>
          <w:lang w:val="es-ES_tradnl"/>
        </w:rPr>
        <w:t>Juan Ignacio Abuchdid</w:t>
      </w:r>
    </w:p>
    <w:p w14:paraId="43B3458B" w14:textId="6746754C" w:rsidR="00D34F67" w:rsidRPr="00D34F67" w:rsidRDefault="00D34F67" w:rsidP="00D34F67">
      <w:pPr>
        <w:spacing w:line="360" w:lineRule="auto"/>
        <w:jc w:val="both"/>
        <w:rPr>
          <w:rFonts w:ascii="Garamond" w:hAnsi="Garamond"/>
          <w:sz w:val="24"/>
          <w:szCs w:val="24"/>
          <w:lang w:val="es-ES_tradnl"/>
        </w:rPr>
      </w:pPr>
      <w:r w:rsidRPr="00D34F67">
        <w:rPr>
          <w:rFonts w:ascii="Garamond" w:hAnsi="Garamond"/>
          <w:sz w:val="24"/>
          <w:szCs w:val="24"/>
          <w:lang w:val="es-ES_tradnl"/>
        </w:rPr>
        <w:t>Juan Cruz Micele</w:t>
      </w:r>
    </w:p>
    <w:p w14:paraId="748A1278" w14:textId="5323270E" w:rsidR="00D34F67" w:rsidRPr="00D34F67" w:rsidRDefault="00D34F67" w:rsidP="00D34F67">
      <w:pPr>
        <w:spacing w:line="360" w:lineRule="auto"/>
        <w:jc w:val="both"/>
        <w:rPr>
          <w:rFonts w:ascii="Garamond" w:hAnsi="Garamond"/>
          <w:sz w:val="24"/>
          <w:szCs w:val="24"/>
          <w:lang w:val="es-ES_tradnl"/>
        </w:rPr>
      </w:pPr>
      <w:r w:rsidRPr="00D34F67">
        <w:rPr>
          <w:rFonts w:ascii="Garamond" w:hAnsi="Garamond"/>
          <w:sz w:val="24"/>
          <w:szCs w:val="24"/>
          <w:lang w:val="es-ES_tradnl"/>
        </w:rPr>
        <w:t>Ezequiel Martín Fernández</w:t>
      </w:r>
    </w:p>
    <w:sectPr w:rsidR="00D34F67" w:rsidRPr="00D34F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03"/>
    <w:rsid w:val="000F24AD"/>
    <w:rsid w:val="00582BBC"/>
    <w:rsid w:val="00887FE5"/>
    <w:rsid w:val="00894943"/>
    <w:rsid w:val="00B42291"/>
    <w:rsid w:val="00B852F8"/>
    <w:rsid w:val="00B91203"/>
    <w:rsid w:val="00C14E5F"/>
    <w:rsid w:val="00D34F67"/>
    <w:rsid w:val="00FE4B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523FF"/>
  <w15:chartTrackingRefBased/>
  <w15:docId w15:val="{A0C9A782-57B4-48B0-8019-334524F6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203"/>
    <w:pPr>
      <w:spacing w:after="200" w:line="276" w:lineRule="auto"/>
    </w:pPr>
    <w:rPr>
      <w:kern w:val="0"/>
      <w:sz w:val="22"/>
      <w:szCs w:val="22"/>
      <w14:ligatures w14:val="none"/>
    </w:rPr>
  </w:style>
  <w:style w:type="paragraph" w:styleId="Ttulo1">
    <w:name w:val="heading 1"/>
    <w:basedOn w:val="Normal"/>
    <w:next w:val="Normal"/>
    <w:link w:val="Ttulo1Car"/>
    <w:uiPriority w:val="9"/>
    <w:qFormat/>
    <w:rsid w:val="00B9120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B9120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B9120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B9120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B9120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B9120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B9120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B9120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B9120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120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120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120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120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120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120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120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120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1203"/>
    <w:rPr>
      <w:rFonts w:eastAsiaTheme="majorEastAsia" w:cstheme="majorBidi"/>
      <w:color w:val="272727" w:themeColor="text1" w:themeTint="D8"/>
    </w:rPr>
  </w:style>
  <w:style w:type="paragraph" w:styleId="Ttulo">
    <w:name w:val="Title"/>
    <w:basedOn w:val="Normal"/>
    <w:next w:val="Normal"/>
    <w:link w:val="TtuloCar"/>
    <w:uiPriority w:val="10"/>
    <w:qFormat/>
    <w:rsid w:val="00B9120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B912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120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B9120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1203"/>
    <w:pPr>
      <w:spacing w:before="160" w:after="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B91203"/>
    <w:rPr>
      <w:i/>
      <w:iCs/>
      <w:color w:val="404040" w:themeColor="text1" w:themeTint="BF"/>
    </w:rPr>
  </w:style>
  <w:style w:type="paragraph" w:styleId="Prrafodelista">
    <w:name w:val="List Paragraph"/>
    <w:basedOn w:val="Normal"/>
    <w:uiPriority w:val="34"/>
    <w:qFormat/>
    <w:rsid w:val="00B91203"/>
    <w:pPr>
      <w:spacing w:after="160"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B91203"/>
    <w:rPr>
      <w:i/>
      <w:iCs/>
      <w:color w:val="0F4761" w:themeColor="accent1" w:themeShade="BF"/>
    </w:rPr>
  </w:style>
  <w:style w:type="paragraph" w:styleId="Citadestacada">
    <w:name w:val="Intense Quote"/>
    <w:basedOn w:val="Normal"/>
    <w:next w:val="Normal"/>
    <w:link w:val="CitadestacadaCar"/>
    <w:uiPriority w:val="30"/>
    <w:qFormat/>
    <w:rsid w:val="00B9120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B91203"/>
    <w:rPr>
      <w:i/>
      <w:iCs/>
      <w:color w:val="0F4761" w:themeColor="accent1" w:themeShade="BF"/>
    </w:rPr>
  </w:style>
  <w:style w:type="character" w:styleId="Referenciaintensa">
    <w:name w:val="Intense Reference"/>
    <w:basedOn w:val="Fuentedeprrafopredeter"/>
    <w:uiPriority w:val="32"/>
    <w:qFormat/>
    <w:rsid w:val="00B91203"/>
    <w:rPr>
      <w:b/>
      <w:bCs/>
      <w:smallCaps/>
      <w:color w:val="0F4761" w:themeColor="accent1" w:themeShade="BF"/>
      <w:spacing w:val="5"/>
    </w:rPr>
  </w:style>
  <w:style w:type="table" w:styleId="Tablaconcuadrcula">
    <w:name w:val="Table Grid"/>
    <w:basedOn w:val="Tablanormal"/>
    <w:uiPriority w:val="39"/>
    <w:rsid w:val="00B912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50877">
      <w:bodyDiv w:val="1"/>
      <w:marLeft w:val="0"/>
      <w:marRight w:val="0"/>
      <w:marTop w:val="0"/>
      <w:marBottom w:val="0"/>
      <w:divBdr>
        <w:top w:val="none" w:sz="0" w:space="0" w:color="auto"/>
        <w:left w:val="none" w:sz="0" w:space="0" w:color="auto"/>
        <w:bottom w:val="none" w:sz="0" w:space="0" w:color="auto"/>
        <w:right w:val="none" w:sz="0" w:space="0" w:color="auto"/>
      </w:divBdr>
    </w:div>
    <w:div w:id="428703115">
      <w:bodyDiv w:val="1"/>
      <w:marLeft w:val="0"/>
      <w:marRight w:val="0"/>
      <w:marTop w:val="0"/>
      <w:marBottom w:val="0"/>
      <w:divBdr>
        <w:top w:val="none" w:sz="0" w:space="0" w:color="auto"/>
        <w:left w:val="none" w:sz="0" w:space="0" w:color="auto"/>
        <w:bottom w:val="none" w:sz="0" w:space="0" w:color="auto"/>
        <w:right w:val="none" w:sz="0" w:space="0" w:color="auto"/>
      </w:divBdr>
    </w:div>
    <w:div w:id="855193072">
      <w:bodyDiv w:val="1"/>
      <w:marLeft w:val="0"/>
      <w:marRight w:val="0"/>
      <w:marTop w:val="0"/>
      <w:marBottom w:val="0"/>
      <w:divBdr>
        <w:top w:val="none" w:sz="0" w:space="0" w:color="auto"/>
        <w:left w:val="none" w:sz="0" w:space="0" w:color="auto"/>
        <w:bottom w:val="none" w:sz="0" w:space="0" w:color="auto"/>
        <w:right w:val="none" w:sz="0" w:space="0" w:color="auto"/>
      </w:divBdr>
    </w:div>
    <w:div w:id="902787481">
      <w:bodyDiv w:val="1"/>
      <w:marLeft w:val="0"/>
      <w:marRight w:val="0"/>
      <w:marTop w:val="0"/>
      <w:marBottom w:val="0"/>
      <w:divBdr>
        <w:top w:val="none" w:sz="0" w:space="0" w:color="auto"/>
        <w:left w:val="none" w:sz="0" w:space="0" w:color="auto"/>
        <w:bottom w:val="none" w:sz="0" w:space="0" w:color="auto"/>
        <w:right w:val="none" w:sz="0" w:space="0" w:color="auto"/>
      </w:divBdr>
    </w:div>
    <w:div w:id="990521547">
      <w:bodyDiv w:val="1"/>
      <w:marLeft w:val="0"/>
      <w:marRight w:val="0"/>
      <w:marTop w:val="0"/>
      <w:marBottom w:val="0"/>
      <w:divBdr>
        <w:top w:val="none" w:sz="0" w:space="0" w:color="auto"/>
        <w:left w:val="none" w:sz="0" w:space="0" w:color="auto"/>
        <w:bottom w:val="none" w:sz="0" w:space="0" w:color="auto"/>
        <w:right w:val="none" w:sz="0" w:space="0" w:color="auto"/>
      </w:divBdr>
    </w:div>
    <w:div w:id="1004162046">
      <w:bodyDiv w:val="1"/>
      <w:marLeft w:val="0"/>
      <w:marRight w:val="0"/>
      <w:marTop w:val="0"/>
      <w:marBottom w:val="0"/>
      <w:divBdr>
        <w:top w:val="none" w:sz="0" w:space="0" w:color="auto"/>
        <w:left w:val="none" w:sz="0" w:space="0" w:color="auto"/>
        <w:bottom w:val="none" w:sz="0" w:space="0" w:color="auto"/>
        <w:right w:val="none" w:sz="0" w:space="0" w:color="auto"/>
      </w:divBdr>
    </w:div>
    <w:div w:id="1048795935">
      <w:bodyDiv w:val="1"/>
      <w:marLeft w:val="0"/>
      <w:marRight w:val="0"/>
      <w:marTop w:val="0"/>
      <w:marBottom w:val="0"/>
      <w:divBdr>
        <w:top w:val="none" w:sz="0" w:space="0" w:color="auto"/>
        <w:left w:val="none" w:sz="0" w:space="0" w:color="auto"/>
        <w:bottom w:val="none" w:sz="0" w:space="0" w:color="auto"/>
        <w:right w:val="none" w:sz="0" w:space="0" w:color="auto"/>
      </w:divBdr>
    </w:div>
    <w:div w:id="170520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1599</Words>
  <Characters>8797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Trinidad Morello</dc:creator>
  <cp:keywords/>
  <dc:description/>
  <cp:lastModifiedBy>Manuela Cané</cp:lastModifiedBy>
  <cp:revision>3</cp:revision>
  <dcterms:created xsi:type="dcterms:W3CDTF">2024-12-09T14:17:00Z</dcterms:created>
  <dcterms:modified xsi:type="dcterms:W3CDTF">2024-12-09T14:18:00Z</dcterms:modified>
</cp:coreProperties>
</file>