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D9FB1D" w14:textId="77777777" w:rsidR="002E0323" w:rsidRPr="00B17D35" w:rsidRDefault="00B17D35">
      <w:pPr>
        <w:pBdr>
          <w:top w:val="nil"/>
          <w:left w:val="nil"/>
          <w:bottom w:val="nil"/>
          <w:right w:val="nil"/>
          <w:between w:val="nil"/>
        </w:pBdr>
        <w:spacing w:line="240" w:lineRule="auto"/>
        <w:ind w:left="0" w:hanging="2"/>
        <w:jc w:val="center"/>
        <w:rPr>
          <w:color w:val="000000"/>
          <w:sz w:val="24"/>
          <w:szCs w:val="24"/>
        </w:rPr>
      </w:pPr>
      <w:r w:rsidRPr="00B17D35">
        <w:rPr>
          <w:b/>
          <w:color w:val="000000"/>
          <w:sz w:val="24"/>
          <w:szCs w:val="24"/>
          <w:u w:val="single"/>
        </w:rPr>
        <w:t>Acta de Directorio de Matba Rofex N° 23</w:t>
      </w:r>
    </w:p>
    <w:p w14:paraId="31836892" w14:textId="77777777" w:rsidR="002E0323" w:rsidRPr="00B17D35" w:rsidRDefault="002E0323">
      <w:pPr>
        <w:spacing w:line="240" w:lineRule="auto"/>
        <w:ind w:left="0" w:hanging="2"/>
        <w:jc w:val="both"/>
        <w:rPr>
          <w:color w:val="000000"/>
          <w:sz w:val="24"/>
          <w:szCs w:val="24"/>
        </w:rPr>
      </w:pPr>
    </w:p>
    <w:p w14:paraId="15E796C1" w14:textId="5E72B177" w:rsidR="002E0323" w:rsidRPr="00B17D35" w:rsidRDefault="00B17D35">
      <w:pPr>
        <w:spacing w:line="240" w:lineRule="auto"/>
        <w:ind w:left="0" w:hanging="2"/>
        <w:jc w:val="both"/>
        <w:rPr>
          <w:sz w:val="24"/>
          <w:szCs w:val="24"/>
        </w:rPr>
      </w:pPr>
      <w:r w:rsidRPr="00B17D35">
        <w:rPr>
          <w:color w:val="000000"/>
          <w:sz w:val="24"/>
          <w:szCs w:val="24"/>
        </w:rPr>
        <w:t>En la ciudad de Rosario, a 7 días del mes de septiembre de 2020, reunidos los señores Directores Titulares, Andrés Emilio Ponte y Marcelo José Rossi y el Sr. Miembro Titular de la Comisión Fiscalizadora Fernando Raúl José Viñals, como asimismo, los Sres. Marcos Andrés Hermansson, Francisco Javier María Fernández Candia, Luis Alberto Herrera, Ignacio María Bosch, Alfredo Rubén Conde, Juan Fabricio Silvestri, Ricardo Daniel Marra, Leandro Salvatierra, Sebastián M. Bravo y Gustavo C. Cortona, directores titulares que asisten a la presente reunión " a distancia" de conformidad con lo estipulado en el art. 14 del Estatuto Social, y conforme la autorización conferida en el Acta de Directorio N°1, el Sr. Presidente firmará en sus nombres el presente acta.  Asimismo, asisten a "distancia" los Sres. miembros de la Comisión Fiscalizadora Sergio M. Roldán y José María Ibarbia y conforme la autorización conferida en el Acta de Comisión Fiscalizadora N°7 el Sr. Viñals firmará en sus nombres el presente acta. Siendo las 16 horas se abre la sesión, para tratar los siguientes puntos:</w:t>
      </w:r>
      <w:r w:rsidRPr="00B17D35">
        <w:rPr>
          <w:b/>
          <w:sz w:val="24"/>
          <w:szCs w:val="24"/>
        </w:rPr>
        <w:t>……………………………………………………………………………………………………………………………</w:t>
      </w:r>
    </w:p>
    <w:p w14:paraId="708F35F0" w14:textId="77777777" w:rsidR="002E0323" w:rsidRPr="00B17D35" w:rsidRDefault="00B17D35">
      <w:pPr>
        <w:spacing w:line="240" w:lineRule="auto"/>
        <w:ind w:left="0" w:hanging="2"/>
        <w:jc w:val="both"/>
        <w:rPr>
          <w:sz w:val="24"/>
          <w:szCs w:val="24"/>
        </w:rPr>
      </w:pPr>
      <w:bookmarkStart w:id="0" w:name="_heading=h.g8qzg21pn1rp" w:colFirst="0" w:colLast="0"/>
      <w:bookmarkEnd w:id="0"/>
      <w:r w:rsidRPr="00B17D35">
        <w:rPr>
          <w:b/>
          <w:sz w:val="24"/>
          <w:szCs w:val="24"/>
        </w:rPr>
        <w:t xml:space="preserve">Estados Financieros Anuales al 30.06.20: </w:t>
      </w:r>
      <w:r w:rsidRPr="00B17D35">
        <w:rPr>
          <w:sz w:val="24"/>
          <w:szCs w:val="24"/>
        </w:rPr>
        <w:t>Se puso a consideración del Directorio los Estados Financieros de la Sociedad Consolidados e Individuales que incluyen: Estado de Situación Financiera, Estado de Resultados, Estado de Cambios del Patrimonio Neto, Estado de Flujo de Efectivo e Información Complementaria y la Reseña Informativa, documentos previamente distribuidos que corresponden al Ejercicio Económico Nro. 112 iniciado el 1° de julio de 2019. Tras una cuidadosa consideración y después de haberse tomado nota del Dictamen del Auditor Externo de los Estados Financieros referidos como así también de la opinión del Comité de Auditoría y la Comisión Fiscalizadora, el Directorio resolvió aprobar por unanimidad toda la documentación mencionada.</w:t>
      </w:r>
    </w:p>
    <w:p w14:paraId="4115317F" w14:textId="77777777" w:rsidR="002E0323" w:rsidRPr="00B17D35" w:rsidRDefault="00B17D35">
      <w:pPr>
        <w:spacing w:line="240" w:lineRule="auto"/>
        <w:ind w:left="0" w:hanging="2"/>
        <w:jc w:val="both"/>
        <w:rPr>
          <w:sz w:val="24"/>
          <w:szCs w:val="24"/>
        </w:rPr>
      </w:pPr>
      <w:bookmarkStart w:id="1" w:name="_heading=h.v7qlg7qznf12" w:colFirst="0" w:colLast="0"/>
      <w:bookmarkEnd w:id="1"/>
      <w:r w:rsidRPr="00B17D35">
        <w:rPr>
          <w:b/>
          <w:sz w:val="24"/>
          <w:szCs w:val="24"/>
        </w:rPr>
        <w:t>Memoria correspondiente al ejercicio finalizado el 30.06.20</w:t>
      </w:r>
      <w:r w:rsidRPr="00B17D35">
        <w:rPr>
          <w:sz w:val="24"/>
          <w:szCs w:val="24"/>
        </w:rPr>
        <w:t>: El Directorio aprobó la Memoria, con el respectivo Anexo donde se incluye el Reporte del Código de Gobierno Societario exigido por el Anexo IV, Título IV de las Normas (N.T. 2013) y mod. de la CNV, que a continuación se transcribe:</w:t>
      </w:r>
    </w:p>
    <w:p w14:paraId="6518B1F9" w14:textId="77777777" w:rsidR="002E0323" w:rsidRPr="00B17D35" w:rsidRDefault="00B17D35">
      <w:pPr>
        <w:spacing w:line="240" w:lineRule="auto"/>
        <w:ind w:left="0" w:hanging="2"/>
        <w:jc w:val="both"/>
        <w:rPr>
          <w:b/>
          <w:sz w:val="24"/>
          <w:szCs w:val="24"/>
        </w:rPr>
      </w:pPr>
      <w:bookmarkStart w:id="2" w:name="_heading=h.d58a8018uv1o" w:colFirst="0" w:colLast="0"/>
      <w:bookmarkEnd w:id="2"/>
      <w:r w:rsidRPr="00B17D35">
        <w:rPr>
          <w:b/>
          <w:sz w:val="24"/>
          <w:szCs w:val="24"/>
        </w:rPr>
        <w:t>“Memoria del Directorio</w:t>
      </w:r>
    </w:p>
    <w:p w14:paraId="7F707951" w14:textId="77777777" w:rsidR="002E0323" w:rsidRPr="00B17D35" w:rsidRDefault="00B17D35">
      <w:pPr>
        <w:spacing w:line="240" w:lineRule="auto"/>
        <w:ind w:left="0" w:hanging="2"/>
        <w:jc w:val="both"/>
        <w:rPr>
          <w:sz w:val="24"/>
          <w:szCs w:val="24"/>
        </w:rPr>
      </w:pPr>
      <w:r w:rsidRPr="00B17D35">
        <w:rPr>
          <w:sz w:val="24"/>
          <w:szCs w:val="24"/>
        </w:rPr>
        <w:t xml:space="preserve">Matba Rofex S.A. </w:t>
      </w:r>
    </w:p>
    <w:p w14:paraId="18EB0CCB" w14:textId="77777777" w:rsidR="002E0323" w:rsidRPr="00B17D35" w:rsidRDefault="00B17D35">
      <w:pPr>
        <w:spacing w:line="240" w:lineRule="auto"/>
        <w:ind w:left="0" w:hanging="2"/>
        <w:jc w:val="both"/>
        <w:rPr>
          <w:sz w:val="24"/>
          <w:szCs w:val="24"/>
        </w:rPr>
      </w:pPr>
      <w:r w:rsidRPr="00B17D35">
        <w:rPr>
          <w:sz w:val="24"/>
          <w:szCs w:val="24"/>
        </w:rPr>
        <w:t>Ejercicio N° 112- 1° de julio de 2019 a 30 de junio de 2020</w:t>
      </w:r>
    </w:p>
    <w:p w14:paraId="0C567EAC" w14:textId="77777777" w:rsidR="002E0323" w:rsidRPr="00B17D35" w:rsidRDefault="002E0323">
      <w:pPr>
        <w:spacing w:line="240" w:lineRule="auto"/>
        <w:ind w:left="0" w:hanging="2"/>
        <w:jc w:val="both"/>
        <w:rPr>
          <w:sz w:val="24"/>
          <w:szCs w:val="24"/>
        </w:rPr>
      </w:pPr>
    </w:p>
    <w:p w14:paraId="3BE26899" w14:textId="509E5BCD" w:rsidR="002E0323" w:rsidRPr="00B17D35" w:rsidRDefault="00B17D35">
      <w:pPr>
        <w:spacing w:line="240" w:lineRule="auto"/>
        <w:ind w:left="0" w:hanging="2"/>
        <w:jc w:val="both"/>
        <w:rPr>
          <w:sz w:val="24"/>
          <w:szCs w:val="24"/>
        </w:rPr>
      </w:pPr>
      <w:r w:rsidRPr="00B17D35">
        <w:rPr>
          <w:sz w:val="24"/>
          <w:szCs w:val="24"/>
        </w:rPr>
        <w:t>Señores Accionistas,</w:t>
      </w:r>
    </w:p>
    <w:p w14:paraId="4B764556" w14:textId="77777777" w:rsidR="00B17D35" w:rsidRPr="00B17D35" w:rsidRDefault="00B17D35" w:rsidP="00B17D35">
      <w:pPr>
        <w:ind w:left="0" w:hanging="2"/>
        <w:jc w:val="both"/>
        <w:rPr>
          <w:sz w:val="24"/>
          <w:szCs w:val="24"/>
        </w:rPr>
      </w:pPr>
      <w:r w:rsidRPr="00B17D35">
        <w:rPr>
          <w:sz w:val="24"/>
          <w:szCs w:val="24"/>
        </w:rPr>
        <w:t>En cumplimiento de las disposiciones legales y estatutarias, el Directorio somete a consideración de los señores accionistas la Memoria, los Estados Financieros que incluyen el Estado de Situación Financiera Individual y Consolidado, el Estado de Resultado Integral Individual y Consolidado, el Estado de Cambios en el Patrimonio Individual y Consolidado, el Estado de Flujos de Efectivo Individual y Consolidado, con sus notas y Anexos, Reseña Informativa, Informe de la Comisión Fiscalizadora y de los Auditores Externos, correspondientes al ejercicio finalizado el 30 de junio de 2020 de Matba Rofex SA (en adelante indistintamente, el “Mercado” o la “Sociedad”).</w:t>
      </w:r>
    </w:p>
    <w:p w14:paraId="134ECE4F" w14:textId="77777777" w:rsidR="00B17D35" w:rsidRPr="00B17D35" w:rsidRDefault="00B17D35" w:rsidP="00B17D35">
      <w:pPr>
        <w:ind w:left="0" w:hanging="2"/>
        <w:jc w:val="both"/>
        <w:rPr>
          <w:sz w:val="24"/>
          <w:szCs w:val="24"/>
        </w:rPr>
      </w:pPr>
    </w:p>
    <w:p w14:paraId="22581A09" w14:textId="1C804EF6" w:rsidR="00B17D35" w:rsidRPr="00B17D35" w:rsidRDefault="00B17D35" w:rsidP="00B17D35">
      <w:pPr>
        <w:numPr>
          <w:ilvl w:val="0"/>
          <w:numId w:val="14"/>
        </w:numPr>
        <w:tabs>
          <w:tab w:val="left" w:pos="142"/>
        </w:tabs>
        <w:suppressAutoHyphens w:val="0"/>
        <w:spacing w:line="240" w:lineRule="auto"/>
        <w:ind w:leftChars="0" w:left="0" w:firstLineChars="0" w:hanging="2"/>
        <w:jc w:val="both"/>
        <w:textDirection w:val="lrTb"/>
        <w:textAlignment w:val="auto"/>
        <w:outlineLvl w:val="9"/>
        <w:rPr>
          <w:sz w:val="24"/>
          <w:szCs w:val="24"/>
        </w:rPr>
      </w:pPr>
      <w:r w:rsidRPr="00B17D35">
        <w:rPr>
          <w:b/>
          <w:sz w:val="24"/>
          <w:szCs w:val="24"/>
        </w:rPr>
        <w:lastRenderedPageBreak/>
        <w:t xml:space="preserve">Fusión MATba Rofex SA </w:t>
      </w:r>
    </w:p>
    <w:p w14:paraId="719786F2" w14:textId="0161FC20" w:rsidR="00B17D35" w:rsidRPr="00B17D35" w:rsidRDefault="00B17D35" w:rsidP="00B17D35">
      <w:pPr>
        <w:tabs>
          <w:tab w:val="left" w:pos="142"/>
        </w:tabs>
        <w:ind w:left="0" w:hanging="2"/>
        <w:jc w:val="both"/>
        <w:rPr>
          <w:sz w:val="24"/>
          <w:szCs w:val="24"/>
        </w:rPr>
      </w:pPr>
      <w:r w:rsidRPr="00B17D35">
        <w:rPr>
          <w:sz w:val="24"/>
          <w:szCs w:val="24"/>
        </w:rPr>
        <w:t>Desde el punto de vista societario e histórico el hecho más trascendente durante el presente ejercicio fue la fusión del Matba S.A. con Rofex S.A. que coronó el proceso de unificación de ambos Mercados.  Esta fusión se realizó de conformidad con el artículo 83, inciso 4, de la Ley 19.550 y sus modificatorias y de conformidad con los artículos 77, 78 y concordantes de la Ley de Impuesto a las Ganancias (Ley N° 20.628 y sus modificatorias) y artículos 109 a 112 del decreto reglamentario, a fin de calificar como una reorganización libre de impuestos, y cuya fecha efectiva ocurrió el 1 de agosto de 2019 (en adelante, la “Fecha Efectiva”).</w:t>
      </w:r>
    </w:p>
    <w:p w14:paraId="541D78D5" w14:textId="662082E7" w:rsidR="00B17D35" w:rsidRPr="00B17D35" w:rsidRDefault="00B17D35" w:rsidP="00B17D35">
      <w:pPr>
        <w:tabs>
          <w:tab w:val="left" w:pos="142"/>
        </w:tabs>
        <w:ind w:left="0" w:hanging="2"/>
        <w:jc w:val="both"/>
        <w:rPr>
          <w:sz w:val="24"/>
          <w:szCs w:val="24"/>
        </w:rPr>
      </w:pPr>
      <w:r w:rsidRPr="00B17D35">
        <w:rPr>
          <w:sz w:val="24"/>
          <w:szCs w:val="24"/>
        </w:rPr>
        <w:t>A partir de esa fecha, se dio inicio a lo que fue un arduo proceso de parte de los directivos, Alta Gerencia y colaboradores de ambas sociedades. Se aprobó la reforma integral del Estatuto Social de la Sociedad, con efectos a partir del 1/8/2019 modificándose la denominación de la Sociedad por “MATBA ROFEX S.A.” y se trasladó de la sede social a la ciudad de Rosario, provincia de Santa Fe fijándose el domicilio en la calle Paraguay 777, Piso 15 estableciendo como oficina comercial a la que se encuentra en Bouchard 454 de CABA.</w:t>
      </w:r>
    </w:p>
    <w:p w14:paraId="782632EA" w14:textId="084AD607" w:rsidR="00B17D35" w:rsidRPr="00B17D35" w:rsidRDefault="00B17D35" w:rsidP="00B17D35">
      <w:pPr>
        <w:tabs>
          <w:tab w:val="left" w:pos="142"/>
        </w:tabs>
        <w:ind w:left="0" w:hanging="2"/>
        <w:jc w:val="both"/>
        <w:rPr>
          <w:sz w:val="24"/>
          <w:szCs w:val="24"/>
        </w:rPr>
      </w:pPr>
      <w:r w:rsidRPr="00B17D35">
        <w:rPr>
          <w:sz w:val="24"/>
          <w:szCs w:val="24"/>
        </w:rPr>
        <w:t xml:space="preserve">La nueva Sociedad emitió 94.920.000 acciones ordinarias escriturales de valor nominal $ 1 cada una y con derecho a un voto por acción de las Sociedad para ser entregadas en canje a los accionistas de ROFEX S.A. Adicionalmente, en fecha 3/7/2019 la Comisión Nacional de Valores aprobó el nuevo Reglamento Operativo e Interno que unifica las prácticas provenientes de ambas Sociedades. Por otra parte, y en esa misma fecha, la Comisión Nacional de Valores (en adelante la CNV) aprobó los Reglamentos de contratos financieros y autorizó la utilización del Sistema Informático de Negociación E-TRADER para su uso en la nueva Sociedad. Oportunamente, la CNV también aprobó determinados Avisos que migraron de la operatoria Rofex entre otros: “Reglamento de Membresía”; “Esquema de incentivos de liquidez. Proveedores de liquidez”; “Derechos de Registro de Negociación y de Clearing para todos los productos financieros”; “Modalidad Operativa de Negociación Previa”, entre otros. </w:t>
      </w:r>
    </w:p>
    <w:p w14:paraId="7146A2FC" w14:textId="3A01728E" w:rsidR="00B17D35" w:rsidRPr="00B17D35" w:rsidRDefault="00B17D35" w:rsidP="00B17D35">
      <w:pPr>
        <w:tabs>
          <w:tab w:val="left" w:pos="142"/>
        </w:tabs>
        <w:ind w:left="0" w:hanging="2"/>
        <w:jc w:val="both"/>
        <w:rPr>
          <w:sz w:val="24"/>
          <w:szCs w:val="24"/>
        </w:rPr>
      </w:pPr>
      <w:r w:rsidRPr="00B17D35">
        <w:rPr>
          <w:sz w:val="24"/>
          <w:szCs w:val="24"/>
        </w:rPr>
        <w:t>En el marco de esta nueva gestión se constituyeron los siguientes Comités con el fin de actuar como grupos de análisis con capacidad de presentar propuestas al Directorio y ejercer por delegación ciertas funciones. Los mismos se encuentran regulados en el Estatuto Social y el Reglamento de Directorio de la Sociedad:</w:t>
      </w:r>
    </w:p>
    <w:p w14:paraId="77DB34AB" w14:textId="00488041" w:rsidR="00B17D35" w:rsidRPr="00B17D35" w:rsidRDefault="00B17D35" w:rsidP="00B17D35">
      <w:pPr>
        <w:numPr>
          <w:ilvl w:val="0"/>
          <w:numId w:val="13"/>
        </w:numPr>
        <w:pBdr>
          <w:top w:val="nil"/>
          <w:left w:val="nil"/>
          <w:bottom w:val="nil"/>
          <w:right w:val="nil"/>
          <w:between w:val="nil"/>
        </w:pBdr>
        <w:tabs>
          <w:tab w:val="left" w:pos="142"/>
        </w:tabs>
        <w:suppressAutoHyphens w:val="0"/>
        <w:spacing w:line="240" w:lineRule="auto"/>
        <w:ind w:leftChars="0" w:left="0" w:firstLineChars="0" w:hanging="2"/>
        <w:jc w:val="both"/>
        <w:textDirection w:val="lrTb"/>
        <w:textAlignment w:val="auto"/>
        <w:outlineLvl w:val="9"/>
        <w:rPr>
          <w:sz w:val="24"/>
          <w:szCs w:val="24"/>
        </w:rPr>
      </w:pPr>
      <w:r w:rsidRPr="00B17D35">
        <w:rPr>
          <w:sz w:val="24"/>
          <w:szCs w:val="24"/>
        </w:rPr>
        <w:t>Comité de Auditoría, es el encargado de asistir al Directorio en sus funciones de vigilancia y control mediante la evaluación de los procedimientos contables, las relaciones con el Auditor Externo y la revisión de la arquitectura de control.</w:t>
      </w:r>
    </w:p>
    <w:p w14:paraId="6FF6DAC2" w14:textId="006B9244" w:rsidR="00B17D35" w:rsidRPr="00B17D35" w:rsidRDefault="00B17D35" w:rsidP="00B17D35">
      <w:pPr>
        <w:numPr>
          <w:ilvl w:val="0"/>
          <w:numId w:val="13"/>
        </w:numPr>
        <w:pBdr>
          <w:top w:val="nil"/>
          <w:left w:val="nil"/>
          <w:bottom w:val="nil"/>
          <w:right w:val="nil"/>
          <w:between w:val="nil"/>
        </w:pBdr>
        <w:tabs>
          <w:tab w:val="left" w:pos="142"/>
        </w:tabs>
        <w:suppressAutoHyphens w:val="0"/>
        <w:spacing w:line="240" w:lineRule="auto"/>
        <w:ind w:leftChars="0" w:left="0" w:firstLineChars="0" w:hanging="2"/>
        <w:jc w:val="both"/>
        <w:textDirection w:val="lrTb"/>
        <w:textAlignment w:val="auto"/>
        <w:outlineLvl w:val="9"/>
        <w:rPr>
          <w:sz w:val="24"/>
          <w:szCs w:val="24"/>
        </w:rPr>
      </w:pPr>
      <w:r w:rsidRPr="00B17D35">
        <w:rPr>
          <w:sz w:val="24"/>
          <w:szCs w:val="24"/>
        </w:rPr>
        <w:t>Comité de Riesgos e Inversiones, es el encargado de monitorear cada uno de los riesgos, financieros o no financieros a los que se encuentra expuesta la sociedad, las técnicas utilizadas para su medición y administración y la razonabilidad y conveniencia de las inversiones a realizar por la entidad.</w:t>
      </w:r>
    </w:p>
    <w:p w14:paraId="6C332AD4" w14:textId="77777777" w:rsidR="00B17D35" w:rsidRPr="00B17D35" w:rsidRDefault="00B17D35" w:rsidP="00B17D35">
      <w:pPr>
        <w:numPr>
          <w:ilvl w:val="0"/>
          <w:numId w:val="13"/>
        </w:numPr>
        <w:tabs>
          <w:tab w:val="left" w:pos="142"/>
        </w:tabs>
        <w:suppressAutoHyphens w:val="0"/>
        <w:spacing w:line="240" w:lineRule="auto"/>
        <w:ind w:leftChars="0" w:left="0" w:firstLineChars="0" w:hanging="2"/>
        <w:jc w:val="both"/>
        <w:textDirection w:val="lrTb"/>
        <w:textAlignment w:val="auto"/>
        <w:outlineLvl w:val="9"/>
        <w:rPr>
          <w:sz w:val="24"/>
          <w:szCs w:val="24"/>
        </w:rPr>
      </w:pPr>
      <w:r w:rsidRPr="00B17D35">
        <w:rPr>
          <w:sz w:val="24"/>
          <w:szCs w:val="24"/>
        </w:rPr>
        <w:t>Comité de Remuneraciones y Nominaciones, quienes son los encargados de asistir al Directorio en sus funciones de nombramiento, reelección, cese y retribución equitativa de los Directores y miembros del Comité Ejecutivo de la compañía, emitiendo recomendaciones sobre la retribución de los mismos.</w:t>
      </w:r>
    </w:p>
    <w:p w14:paraId="01FEE5A7" w14:textId="77777777" w:rsidR="00B17D35" w:rsidRPr="00B17D35" w:rsidRDefault="00B17D35" w:rsidP="00B17D35">
      <w:pPr>
        <w:tabs>
          <w:tab w:val="left" w:pos="142"/>
        </w:tabs>
        <w:ind w:left="0" w:hanging="2"/>
        <w:jc w:val="both"/>
        <w:rPr>
          <w:sz w:val="24"/>
          <w:szCs w:val="24"/>
        </w:rPr>
      </w:pPr>
    </w:p>
    <w:p w14:paraId="2EF720B3" w14:textId="2414AFBF" w:rsidR="00B17D35" w:rsidRPr="00B17D35" w:rsidRDefault="00B17D35" w:rsidP="00B17D35">
      <w:pPr>
        <w:numPr>
          <w:ilvl w:val="0"/>
          <w:numId w:val="13"/>
        </w:numPr>
        <w:pBdr>
          <w:top w:val="nil"/>
          <w:left w:val="nil"/>
          <w:bottom w:val="nil"/>
          <w:right w:val="nil"/>
          <w:between w:val="nil"/>
        </w:pBdr>
        <w:tabs>
          <w:tab w:val="left" w:pos="142"/>
        </w:tabs>
        <w:suppressAutoHyphens w:val="0"/>
        <w:spacing w:line="240" w:lineRule="auto"/>
        <w:ind w:leftChars="0" w:left="0" w:firstLineChars="0" w:hanging="2"/>
        <w:jc w:val="both"/>
        <w:textDirection w:val="lrTb"/>
        <w:textAlignment w:val="auto"/>
        <w:outlineLvl w:val="9"/>
        <w:rPr>
          <w:sz w:val="24"/>
          <w:szCs w:val="24"/>
        </w:rPr>
      </w:pPr>
      <w:r w:rsidRPr="00B17D35">
        <w:rPr>
          <w:sz w:val="24"/>
          <w:szCs w:val="24"/>
        </w:rPr>
        <w:lastRenderedPageBreak/>
        <w:t>Comités de Productos y Mercados Agropecuario y Financiero, son los encargados de asistir y presentar propuestas al Directorio relativas a la reglamentación de los distintos segmentos de la operatoria siendo que cada comité está orientado a un tipo de productos, desplegando sus funciones en relación a los productos agropecuarios y financieros.</w:t>
      </w:r>
    </w:p>
    <w:p w14:paraId="0DB69E9C" w14:textId="52D47BE0" w:rsidR="00B17D35" w:rsidRPr="00B17D35" w:rsidRDefault="00B17D35" w:rsidP="00B17D35">
      <w:pPr>
        <w:numPr>
          <w:ilvl w:val="0"/>
          <w:numId w:val="13"/>
        </w:numPr>
        <w:pBdr>
          <w:top w:val="nil"/>
          <w:left w:val="nil"/>
          <w:bottom w:val="nil"/>
          <w:right w:val="nil"/>
          <w:between w:val="nil"/>
        </w:pBdr>
        <w:tabs>
          <w:tab w:val="left" w:pos="142"/>
        </w:tabs>
        <w:suppressAutoHyphens w:val="0"/>
        <w:spacing w:line="240" w:lineRule="auto"/>
        <w:ind w:leftChars="0" w:left="0" w:firstLineChars="0" w:hanging="2"/>
        <w:jc w:val="both"/>
        <w:textDirection w:val="lrTb"/>
        <w:textAlignment w:val="auto"/>
        <w:outlineLvl w:val="9"/>
        <w:rPr>
          <w:sz w:val="24"/>
          <w:szCs w:val="24"/>
        </w:rPr>
      </w:pPr>
      <w:r w:rsidRPr="00B17D35">
        <w:rPr>
          <w:sz w:val="24"/>
          <w:szCs w:val="24"/>
        </w:rPr>
        <w:t>Comité de Innovación y Tecnología, es el encargado de asesorar al Directorio en la definición de políticas y estrategias en materia de inversiones en tecnología y proyectos de innovación.</w:t>
      </w:r>
    </w:p>
    <w:p w14:paraId="4C4A68AC" w14:textId="78DE7925" w:rsidR="00B17D35" w:rsidRPr="00D21C89" w:rsidRDefault="00B17D35" w:rsidP="00B17D35">
      <w:pPr>
        <w:numPr>
          <w:ilvl w:val="0"/>
          <w:numId w:val="13"/>
        </w:numPr>
        <w:pBdr>
          <w:top w:val="nil"/>
          <w:left w:val="nil"/>
          <w:bottom w:val="nil"/>
          <w:right w:val="nil"/>
          <w:between w:val="nil"/>
        </w:pBdr>
        <w:shd w:val="clear" w:color="auto" w:fill="FFFFFF"/>
        <w:tabs>
          <w:tab w:val="left" w:pos="142"/>
        </w:tabs>
        <w:suppressAutoHyphens w:val="0"/>
        <w:spacing w:line="240" w:lineRule="auto"/>
        <w:ind w:leftChars="0" w:left="0" w:firstLineChars="0" w:hanging="2"/>
        <w:jc w:val="both"/>
        <w:textDirection w:val="lrTb"/>
        <w:textAlignment w:val="auto"/>
        <w:outlineLvl w:val="9"/>
        <w:rPr>
          <w:sz w:val="24"/>
          <w:szCs w:val="24"/>
        </w:rPr>
      </w:pPr>
      <w:r w:rsidRPr="00D21C89">
        <w:rPr>
          <w:sz w:val="24"/>
          <w:szCs w:val="24"/>
        </w:rPr>
        <w:t>Comité de Riesgo del Sistema de Clearing, este Comité se integró a los fines de dar cumplimiento con lo dispuesto por la Resolución General de CNV N° 817/2019 de Infraestructura de Mercados en lo que refiere a la constitución de un Comité de Riesgo. El Comité es el encargado de evaluar y proponer las políticas de gestión y control de riesgos al sistema de clearing, así como asesorar al Directorio de la sociedad sobre todas las medidas que puedan afectar a la gestión de riesgos del Mercado.</w:t>
      </w:r>
    </w:p>
    <w:p w14:paraId="231D526B" w14:textId="2DEE4D07" w:rsidR="00B17D35" w:rsidRPr="00B17D35" w:rsidRDefault="00B17D35" w:rsidP="00B17D35">
      <w:pPr>
        <w:numPr>
          <w:ilvl w:val="0"/>
          <w:numId w:val="14"/>
        </w:numPr>
        <w:pBdr>
          <w:top w:val="nil"/>
          <w:left w:val="nil"/>
          <w:bottom w:val="nil"/>
          <w:right w:val="nil"/>
          <w:between w:val="nil"/>
        </w:pBdr>
        <w:tabs>
          <w:tab w:val="left" w:pos="142"/>
        </w:tabs>
        <w:suppressAutoHyphens w:val="0"/>
        <w:spacing w:line="240" w:lineRule="auto"/>
        <w:ind w:leftChars="0" w:left="0" w:firstLineChars="0" w:hanging="2"/>
        <w:jc w:val="both"/>
        <w:textDirection w:val="lrTb"/>
        <w:textAlignment w:val="auto"/>
        <w:outlineLvl w:val="9"/>
        <w:rPr>
          <w:sz w:val="24"/>
          <w:szCs w:val="24"/>
        </w:rPr>
      </w:pPr>
      <w:r w:rsidRPr="00B17D35">
        <w:rPr>
          <w:b/>
          <w:color w:val="000000"/>
          <w:sz w:val="24"/>
          <w:szCs w:val="24"/>
        </w:rPr>
        <w:t>Mercado unificado e integración de operaciones</w:t>
      </w:r>
    </w:p>
    <w:p w14:paraId="2123D1ED" w14:textId="16FDD575" w:rsidR="00B17D35" w:rsidRPr="00B17D35" w:rsidRDefault="00B17D35" w:rsidP="00B17D35">
      <w:pPr>
        <w:ind w:left="0" w:hanging="2"/>
        <w:jc w:val="both"/>
        <w:rPr>
          <w:sz w:val="24"/>
          <w:szCs w:val="24"/>
        </w:rPr>
      </w:pPr>
      <w:r w:rsidRPr="00B17D35">
        <w:rPr>
          <w:sz w:val="24"/>
          <w:szCs w:val="24"/>
        </w:rPr>
        <w:t>El surgimiento de Matba Rofex representó un hito transformador para el mercado de capitales argentino, ya que consolidó la operatoria de futuros y opciones bajo una misma compañía. Las operaciones en conjunto iniciaron el 1° de agosto de 2019 y dos meses después, el 4 de Octubre de 2019, comenzó la primera fase de la migración de la negociación de todos los futuros y opciones a la única plataforma, PTP (Primary Trading Platform) provista por Primary, empresa de tecnología del Grupo. Este proceso de migración fue íntegramente completado en Marzo de 2020, con muy buena recepción de los usuarios y sin impacto negativo en el nivel de operaciones.</w:t>
      </w:r>
    </w:p>
    <w:p w14:paraId="61D98462" w14:textId="09DA78B4" w:rsidR="00B17D35" w:rsidRPr="00B17D35" w:rsidRDefault="00B17D35" w:rsidP="00D21C89">
      <w:pPr>
        <w:ind w:left="0" w:hanging="2"/>
        <w:jc w:val="both"/>
        <w:rPr>
          <w:sz w:val="24"/>
          <w:szCs w:val="24"/>
        </w:rPr>
      </w:pPr>
      <w:r w:rsidRPr="00B17D35">
        <w:rPr>
          <w:sz w:val="24"/>
          <w:szCs w:val="24"/>
        </w:rPr>
        <w:t>De igual manera es objetivo del Mercado completar en los últimos meses de 2020 la integración de las funciones de liquidación y cámara contraparte central, hoy distribuidas en Argentina Clearing y en Matba Rofex, como consecuencia de la fusión. Esto sentará las bases para fuertes aumentos de la operatoria tanto de productos agropecuarios como financieros, dadas las eficiencias que se esperan generar en los Agentes tanto en los márgenes de garantías como en los procesos operativos.</w:t>
      </w:r>
    </w:p>
    <w:p w14:paraId="70804BEB" w14:textId="70044AC9" w:rsidR="00B17D35" w:rsidRPr="00B17D35" w:rsidRDefault="00B17D35" w:rsidP="00B17D35">
      <w:pPr>
        <w:numPr>
          <w:ilvl w:val="0"/>
          <w:numId w:val="14"/>
        </w:numPr>
        <w:pBdr>
          <w:top w:val="nil"/>
          <w:left w:val="nil"/>
          <w:bottom w:val="nil"/>
          <w:right w:val="nil"/>
          <w:between w:val="nil"/>
        </w:pBdr>
        <w:tabs>
          <w:tab w:val="left" w:pos="142"/>
        </w:tabs>
        <w:suppressAutoHyphens w:val="0"/>
        <w:spacing w:line="240" w:lineRule="auto"/>
        <w:ind w:leftChars="0" w:left="0" w:firstLineChars="0" w:hanging="2"/>
        <w:jc w:val="both"/>
        <w:textDirection w:val="lrTb"/>
        <w:textAlignment w:val="auto"/>
        <w:outlineLvl w:val="9"/>
        <w:rPr>
          <w:sz w:val="24"/>
          <w:szCs w:val="24"/>
        </w:rPr>
      </w:pPr>
      <w:r w:rsidRPr="00B17D35">
        <w:rPr>
          <w:b/>
          <w:color w:val="000000"/>
          <w:sz w:val="24"/>
          <w:szCs w:val="24"/>
        </w:rPr>
        <w:t xml:space="preserve">Actividad de la Sociedad </w:t>
      </w:r>
    </w:p>
    <w:p w14:paraId="04ED6F89" w14:textId="77777777" w:rsidR="00B17D35" w:rsidRPr="00B17D35" w:rsidRDefault="00B17D35" w:rsidP="00B17D35">
      <w:pPr>
        <w:ind w:left="0" w:hanging="2"/>
        <w:jc w:val="both"/>
        <w:rPr>
          <w:sz w:val="24"/>
          <w:szCs w:val="24"/>
        </w:rPr>
      </w:pPr>
      <w:r w:rsidRPr="00B17D35">
        <w:rPr>
          <w:sz w:val="24"/>
          <w:szCs w:val="24"/>
        </w:rPr>
        <w:t xml:space="preserve">Durante el ejercicio bajo análisis se registraron 116,3 millones de contratos de futuros y opciones sobre </w:t>
      </w:r>
      <w:r w:rsidRPr="00B17D35">
        <w:rPr>
          <w:b/>
          <w:sz w:val="24"/>
          <w:szCs w:val="24"/>
        </w:rPr>
        <w:t>productos financieros</w:t>
      </w:r>
      <w:r w:rsidRPr="00B17D35">
        <w:rPr>
          <w:sz w:val="24"/>
          <w:szCs w:val="24"/>
        </w:rPr>
        <w:t>, lo cual representó una caída del 50,8% en relación al volumen registrado en el período equivalente anterior para el ejercicio de Matba Rofex (recordemos que el ejercicio de ROFEX se iniciaba el 1° de Agosto y finalizaba el 31 de Julio, por lo cual los datos del ejercicio 2018-2019 presentados en esta Memoria no coinciden con el ejercicio comercial de ROFEX).</w:t>
      </w:r>
    </w:p>
    <w:p w14:paraId="23DC834F" w14:textId="77777777" w:rsidR="00B17D35" w:rsidRPr="00B17D35" w:rsidRDefault="00B17D35" w:rsidP="00B17D35">
      <w:pPr>
        <w:ind w:left="0" w:hanging="2"/>
        <w:jc w:val="both"/>
        <w:rPr>
          <w:sz w:val="24"/>
          <w:szCs w:val="24"/>
        </w:rPr>
      </w:pPr>
      <w:r w:rsidRPr="00B17D35">
        <w:rPr>
          <w:sz w:val="24"/>
          <w:szCs w:val="24"/>
        </w:rPr>
        <w:t xml:space="preserve">La caída en el volumen se explica mayormente por la retracción en los negocios en futuros de dólar, luego de la imposición de controles de cambio a fines de agosto de 2019, por lo que la negociación de los mismos cayó un 51,7% en relación al ejercicio anterior. En el caso de futuros sobre índices accionarios, el volumen ascendió a 2,3 millones de contratos, lo que representó una baja del 3,9%. </w:t>
      </w:r>
    </w:p>
    <w:p w14:paraId="5DA62B70" w14:textId="77777777" w:rsidR="00B17D35" w:rsidRPr="00B17D35" w:rsidRDefault="00B17D35" w:rsidP="00B17D35">
      <w:pPr>
        <w:ind w:left="0" w:hanging="2"/>
        <w:jc w:val="both"/>
        <w:rPr>
          <w:sz w:val="24"/>
          <w:szCs w:val="24"/>
        </w:rPr>
      </w:pPr>
      <w:r w:rsidRPr="00B17D35">
        <w:rPr>
          <w:sz w:val="24"/>
          <w:szCs w:val="24"/>
        </w:rPr>
        <w:t xml:space="preserve">Por su parte, las operaciones registradas con futuros sobre petróleo crudo WTI, Oro y futuros sobre la acción de Grupo Financiero Galicia, cerraron el ejercicio con un importante </w:t>
      </w:r>
      <w:r w:rsidRPr="00B17D35">
        <w:rPr>
          <w:sz w:val="24"/>
          <w:szCs w:val="24"/>
        </w:rPr>
        <w:lastRenderedPageBreak/>
        <w:t xml:space="preserve">crecimiento, destacándose el caso de Galicia con un volumen que quintuplicó los negocios registrados en el ejercicio anterior. </w:t>
      </w:r>
    </w:p>
    <w:p w14:paraId="29047D3A" w14:textId="6FB5F23C" w:rsidR="00B17D35" w:rsidRPr="00B17D35" w:rsidRDefault="00B17D35" w:rsidP="00B17D35">
      <w:pPr>
        <w:ind w:left="0" w:hanging="2"/>
        <w:jc w:val="both"/>
        <w:rPr>
          <w:sz w:val="24"/>
          <w:szCs w:val="24"/>
        </w:rPr>
      </w:pPr>
      <w:r w:rsidRPr="00B17D35">
        <w:rPr>
          <w:sz w:val="24"/>
          <w:szCs w:val="24"/>
        </w:rPr>
        <w:t xml:space="preserve">En cuanto al interés abierto promedio diario para todo el ejercicio, también explicado mayormente por la evolución de los futuros de dólar, mostró un retroceso del 38,3% en relación al ejercicio anterior. </w:t>
      </w:r>
    </w:p>
    <w:p w14:paraId="2C44F542" w14:textId="77777777" w:rsidR="00B17D35" w:rsidRPr="00B17D35" w:rsidRDefault="00B17D35" w:rsidP="00B17D35">
      <w:pPr>
        <w:ind w:left="0" w:hanging="2"/>
        <w:jc w:val="center"/>
        <w:rPr>
          <w:sz w:val="24"/>
          <w:szCs w:val="24"/>
        </w:rPr>
      </w:pPr>
      <w:r w:rsidRPr="00B17D35">
        <w:rPr>
          <w:noProof/>
          <w:sz w:val="24"/>
          <w:szCs w:val="24"/>
        </w:rPr>
        <w:drawing>
          <wp:inline distT="19050" distB="19050" distL="19050" distR="19050" wp14:anchorId="79CDCB2F" wp14:editId="66F8C9FA">
            <wp:extent cx="4649625" cy="3462098"/>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649625" cy="3462098"/>
                    </a:xfrm>
                    <a:prstGeom prst="rect">
                      <a:avLst/>
                    </a:prstGeom>
                    <a:ln/>
                  </pic:spPr>
                </pic:pic>
              </a:graphicData>
            </a:graphic>
          </wp:inline>
        </w:drawing>
      </w:r>
    </w:p>
    <w:p w14:paraId="6C81C0FC" w14:textId="77777777" w:rsidR="00B17D35" w:rsidRPr="00B17D35" w:rsidRDefault="00B17D35" w:rsidP="00B17D35">
      <w:pPr>
        <w:ind w:left="0" w:hanging="2"/>
        <w:jc w:val="both"/>
        <w:rPr>
          <w:sz w:val="24"/>
          <w:szCs w:val="24"/>
        </w:rPr>
      </w:pPr>
    </w:p>
    <w:p w14:paraId="427CAAE0" w14:textId="321AD352" w:rsidR="00B17D35" w:rsidRPr="00B17D35" w:rsidRDefault="00B17D35" w:rsidP="00B17D35">
      <w:pPr>
        <w:ind w:left="0" w:hanging="2"/>
        <w:jc w:val="both"/>
        <w:rPr>
          <w:sz w:val="24"/>
          <w:szCs w:val="24"/>
        </w:rPr>
      </w:pPr>
      <w:r w:rsidRPr="00B17D35">
        <w:rPr>
          <w:sz w:val="24"/>
          <w:szCs w:val="24"/>
        </w:rPr>
        <w:t xml:space="preserve">Con respecto a los </w:t>
      </w:r>
      <w:r w:rsidRPr="00B17D35">
        <w:rPr>
          <w:b/>
          <w:sz w:val="24"/>
          <w:szCs w:val="24"/>
        </w:rPr>
        <w:t>productos agropecuarios</w:t>
      </w:r>
      <w:r w:rsidRPr="00B17D35">
        <w:rPr>
          <w:sz w:val="24"/>
          <w:szCs w:val="24"/>
        </w:rPr>
        <w:t>, el volumen negociado en el ejercicio 2019-2020 ascendió a 48,9 millones de toneladas, un 2,9% por encima del volumen registrado en el ejercicio anterior (para el ejercicio 2018-2019 se consolidó el volumen registrado en productos agropecuarios de MATba y ROFEX). De ese total, 41,28 millones de toneladas correspondieron a futuros, un 10,7% más que el ejercicio anterior, y 7,6 millones de toneladas a opciones, un 25,4% menos que el tonelaje registrado en el ejercicio anterior.</w:t>
      </w:r>
    </w:p>
    <w:p w14:paraId="7325FDEA" w14:textId="4A29BD71" w:rsidR="00B17D35" w:rsidRPr="00B17D35" w:rsidRDefault="00B17D35" w:rsidP="00B17D35">
      <w:pPr>
        <w:ind w:left="0" w:hanging="2"/>
        <w:jc w:val="both"/>
        <w:rPr>
          <w:sz w:val="24"/>
          <w:szCs w:val="24"/>
        </w:rPr>
      </w:pPr>
      <w:r w:rsidRPr="00B17D35">
        <w:rPr>
          <w:sz w:val="24"/>
          <w:szCs w:val="24"/>
        </w:rPr>
        <w:t>En el análisis por producto, los futuros y opciones de Soja (Soja en dólares con entrega, Soja Mini, Soja Fábrica y Soja Chicago), cerraron el ejercicio con un tonelaje levemente superior al ejercicio anterior (+0,5%). Se destaca el caso de los futuros y opciones de Maíz (Maíz con entrega y Maíz Mini), con un crecimiento del 27,4%, totalizando un registro de 13,8 millones de toneladas. En tanto que, en los futuros y opciones sobre Trigo (Trigo con entrega y Trigo Mini), el volumen operado tuvo un retroceso del 18%, totalizando 7,9 millones de toneladas.</w:t>
      </w:r>
    </w:p>
    <w:p w14:paraId="56181681" w14:textId="3E556AEC" w:rsidR="00B17D35" w:rsidRPr="00B17D35" w:rsidRDefault="00B17D35" w:rsidP="00B17D35">
      <w:pPr>
        <w:ind w:left="0" w:hanging="2"/>
        <w:jc w:val="both"/>
        <w:rPr>
          <w:sz w:val="24"/>
          <w:szCs w:val="24"/>
        </w:rPr>
      </w:pPr>
      <w:r w:rsidRPr="00B17D35">
        <w:rPr>
          <w:sz w:val="24"/>
          <w:szCs w:val="24"/>
        </w:rPr>
        <w:t xml:space="preserve">En cuanto al interés abierto de los futuros y opciones agropecuarios, el promedio diario para el ejercicio 2019-2020 fue un 8,1% superior al interés abierto promedio diario del ejercicio 2018-2019. Desagregado por producto, el interés abierto promedio diario en futuros y opciones de Soja mostró un retroceso del 7%, en tanto que en los futuros y opciones de Trigo se observó la caída más pronunciada, con un retroceso del 22,6%. Por el </w:t>
      </w:r>
      <w:r w:rsidRPr="00B17D35">
        <w:rPr>
          <w:sz w:val="24"/>
          <w:szCs w:val="24"/>
        </w:rPr>
        <w:lastRenderedPageBreak/>
        <w:t xml:space="preserve">contrario, el interés abierto promedio en los futuros y opciones de Maíz experimentó un fuerte crecimiento, del 81%, que compensó la caída en soja y trigo. </w:t>
      </w:r>
    </w:p>
    <w:p w14:paraId="75242D39" w14:textId="77777777" w:rsidR="00B17D35" w:rsidRPr="00B17D35" w:rsidRDefault="00B17D35" w:rsidP="00B17D35">
      <w:pPr>
        <w:ind w:left="0" w:hanging="2"/>
        <w:jc w:val="center"/>
        <w:rPr>
          <w:sz w:val="24"/>
          <w:szCs w:val="24"/>
        </w:rPr>
      </w:pPr>
      <w:r w:rsidRPr="00B17D35">
        <w:rPr>
          <w:noProof/>
          <w:sz w:val="24"/>
          <w:szCs w:val="24"/>
        </w:rPr>
        <w:drawing>
          <wp:inline distT="19050" distB="19050" distL="19050" distR="19050" wp14:anchorId="7169580E" wp14:editId="716401ED">
            <wp:extent cx="4666545" cy="3104833"/>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4666545" cy="3104833"/>
                    </a:xfrm>
                    <a:prstGeom prst="rect">
                      <a:avLst/>
                    </a:prstGeom>
                    <a:ln/>
                  </pic:spPr>
                </pic:pic>
              </a:graphicData>
            </a:graphic>
          </wp:inline>
        </w:drawing>
      </w:r>
    </w:p>
    <w:p w14:paraId="4243CC68" w14:textId="6DF3B586" w:rsidR="00B17D35" w:rsidRPr="00B17D35" w:rsidRDefault="00B17D35" w:rsidP="00B17D35">
      <w:pPr>
        <w:ind w:left="0" w:hanging="2"/>
        <w:jc w:val="both"/>
        <w:rPr>
          <w:sz w:val="24"/>
          <w:szCs w:val="24"/>
        </w:rPr>
      </w:pPr>
      <w:r w:rsidRPr="00B17D35">
        <w:rPr>
          <w:sz w:val="24"/>
          <w:szCs w:val="24"/>
        </w:rPr>
        <w:t>En el ámbito internacional, en el último informe anual de la Futures Industry Association (FIA), correspondiente al año 2019, Matba Rofex ocupó el puesto 23 en el ranking mundial de mercados de futuros, conservando la posición ocupada por ROFEX el año anterior. En cuanto al ranking por producto, como viene ocurriendo desde hace más de diez años, el futuro de Dólar de Matba Rofex, se ubicó dentro del top 10 de contratos de monedas más negociados a nivel mundial, ocupando el puesto número 7.</w:t>
      </w:r>
    </w:p>
    <w:tbl>
      <w:tblPr>
        <w:tblW w:w="8520" w:type="dxa"/>
        <w:tblBorders>
          <w:top w:val="nil"/>
          <w:left w:val="nil"/>
          <w:bottom w:val="nil"/>
          <w:right w:val="nil"/>
          <w:insideH w:val="nil"/>
          <w:insideV w:val="nil"/>
        </w:tblBorders>
        <w:tblLayout w:type="fixed"/>
        <w:tblLook w:val="0600" w:firstRow="0" w:lastRow="0" w:firstColumn="0" w:lastColumn="0" w:noHBand="1" w:noVBand="1"/>
      </w:tblPr>
      <w:tblGrid>
        <w:gridCol w:w="630"/>
        <w:gridCol w:w="4455"/>
        <w:gridCol w:w="1155"/>
        <w:gridCol w:w="1155"/>
        <w:gridCol w:w="1125"/>
      </w:tblGrid>
      <w:tr w:rsidR="00B17D35" w:rsidRPr="00B17D35" w14:paraId="1667B6B6" w14:textId="77777777" w:rsidTr="00B17D35">
        <w:trPr>
          <w:trHeight w:val="300"/>
        </w:trPr>
        <w:tc>
          <w:tcPr>
            <w:tcW w:w="630" w:type="dxa"/>
            <w:tcBorders>
              <w:top w:val="single" w:sz="6" w:space="0" w:color="000000"/>
              <w:left w:val="single" w:sz="6" w:space="0" w:color="000000"/>
              <w:bottom w:val="single" w:sz="6" w:space="0" w:color="000000"/>
              <w:right w:val="single" w:sz="6" w:space="0" w:color="000000"/>
            </w:tcBorders>
            <w:shd w:val="clear" w:color="auto" w:fill="C0C0C0"/>
            <w:tcMar>
              <w:top w:w="0" w:type="dxa"/>
              <w:left w:w="40" w:type="dxa"/>
              <w:bottom w:w="0" w:type="dxa"/>
              <w:right w:w="40" w:type="dxa"/>
            </w:tcMar>
            <w:vAlign w:val="bottom"/>
          </w:tcPr>
          <w:p w14:paraId="3E058720" w14:textId="77777777" w:rsidR="00B17D35" w:rsidRPr="00B17D35" w:rsidRDefault="00B17D35" w:rsidP="00B17D35">
            <w:pPr>
              <w:widowControl w:val="0"/>
              <w:spacing w:line="276" w:lineRule="auto"/>
              <w:ind w:left="0" w:hanging="2"/>
              <w:jc w:val="center"/>
              <w:rPr>
                <w:sz w:val="16"/>
                <w:szCs w:val="16"/>
              </w:rPr>
            </w:pPr>
            <w:r w:rsidRPr="00B17D35">
              <w:rPr>
                <w:b/>
                <w:sz w:val="16"/>
                <w:szCs w:val="16"/>
              </w:rPr>
              <w:t>Puesto</w:t>
            </w:r>
          </w:p>
        </w:tc>
        <w:tc>
          <w:tcPr>
            <w:tcW w:w="4455" w:type="dxa"/>
            <w:tcBorders>
              <w:top w:val="single" w:sz="6" w:space="0" w:color="000000"/>
              <w:left w:val="single" w:sz="6" w:space="0" w:color="CCCCCC"/>
              <w:bottom w:val="single" w:sz="6" w:space="0" w:color="000000"/>
              <w:right w:val="single" w:sz="6" w:space="0" w:color="000000"/>
            </w:tcBorders>
            <w:shd w:val="clear" w:color="auto" w:fill="C0C0C0"/>
            <w:tcMar>
              <w:top w:w="0" w:type="dxa"/>
              <w:left w:w="40" w:type="dxa"/>
              <w:bottom w:w="0" w:type="dxa"/>
              <w:right w:w="40" w:type="dxa"/>
            </w:tcMar>
            <w:vAlign w:val="bottom"/>
          </w:tcPr>
          <w:p w14:paraId="751DAC31" w14:textId="77777777" w:rsidR="00B17D35" w:rsidRPr="00B17D35" w:rsidRDefault="00B17D35" w:rsidP="00B17D35">
            <w:pPr>
              <w:widowControl w:val="0"/>
              <w:spacing w:line="276" w:lineRule="auto"/>
              <w:ind w:left="0" w:hanging="2"/>
              <w:jc w:val="center"/>
              <w:rPr>
                <w:sz w:val="16"/>
                <w:szCs w:val="16"/>
              </w:rPr>
            </w:pPr>
            <w:r w:rsidRPr="00B17D35">
              <w:rPr>
                <w:b/>
                <w:sz w:val="16"/>
                <w:szCs w:val="16"/>
              </w:rPr>
              <w:t>Contrato</w:t>
            </w:r>
          </w:p>
        </w:tc>
        <w:tc>
          <w:tcPr>
            <w:tcW w:w="1155" w:type="dxa"/>
            <w:tcBorders>
              <w:top w:val="single" w:sz="6" w:space="0" w:color="000000"/>
              <w:left w:val="single" w:sz="6" w:space="0" w:color="CCCCCC"/>
              <w:bottom w:val="single" w:sz="6" w:space="0" w:color="000000"/>
              <w:right w:val="single" w:sz="6" w:space="0" w:color="000000"/>
            </w:tcBorders>
            <w:shd w:val="clear" w:color="auto" w:fill="C0C0C0"/>
            <w:tcMar>
              <w:top w:w="0" w:type="dxa"/>
              <w:left w:w="40" w:type="dxa"/>
              <w:bottom w:w="0" w:type="dxa"/>
              <w:right w:w="40" w:type="dxa"/>
            </w:tcMar>
            <w:vAlign w:val="bottom"/>
          </w:tcPr>
          <w:p w14:paraId="0E63BE47" w14:textId="77777777" w:rsidR="00B17D35" w:rsidRPr="00B17D35" w:rsidRDefault="00B17D35" w:rsidP="00B17D35">
            <w:pPr>
              <w:widowControl w:val="0"/>
              <w:spacing w:line="276" w:lineRule="auto"/>
              <w:ind w:left="0" w:hanging="2"/>
              <w:jc w:val="center"/>
              <w:rPr>
                <w:sz w:val="16"/>
                <w:szCs w:val="16"/>
              </w:rPr>
            </w:pPr>
            <w:r w:rsidRPr="00B17D35">
              <w:rPr>
                <w:b/>
                <w:sz w:val="16"/>
                <w:szCs w:val="16"/>
              </w:rPr>
              <w:t>Volumen 2019</w:t>
            </w:r>
          </w:p>
        </w:tc>
        <w:tc>
          <w:tcPr>
            <w:tcW w:w="1155" w:type="dxa"/>
            <w:tcBorders>
              <w:top w:val="single" w:sz="6" w:space="0" w:color="000000"/>
              <w:left w:val="single" w:sz="6" w:space="0" w:color="CCCCCC"/>
              <w:bottom w:val="single" w:sz="6" w:space="0" w:color="000000"/>
              <w:right w:val="single" w:sz="6" w:space="0" w:color="000000"/>
            </w:tcBorders>
            <w:shd w:val="clear" w:color="auto" w:fill="C0C0C0"/>
            <w:tcMar>
              <w:top w:w="0" w:type="dxa"/>
              <w:left w:w="40" w:type="dxa"/>
              <w:bottom w:w="0" w:type="dxa"/>
              <w:right w:w="40" w:type="dxa"/>
            </w:tcMar>
            <w:vAlign w:val="bottom"/>
          </w:tcPr>
          <w:p w14:paraId="2387619E" w14:textId="77777777" w:rsidR="00B17D35" w:rsidRPr="00B17D35" w:rsidRDefault="00B17D35" w:rsidP="00B17D35">
            <w:pPr>
              <w:widowControl w:val="0"/>
              <w:spacing w:line="276" w:lineRule="auto"/>
              <w:ind w:left="0" w:hanging="2"/>
              <w:jc w:val="center"/>
              <w:rPr>
                <w:sz w:val="16"/>
                <w:szCs w:val="16"/>
              </w:rPr>
            </w:pPr>
            <w:r w:rsidRPr="00B17D35">
              <w:rPr>
                <w:b/>
                <w:sz w:val="16"/>
                <w:szCs w:val="16"/>
              </w:rPr>
              <w:t>Volumen 2018</w:t>
            </w:r>
          </w:p>
        </w:tc>
        <w:tc>
          <w:tcPr>
            <w:tcW w:w="1125" w:type="dxa"/>
            <w:tcBorders>
              <w:top w:val="single" w:sz="6" w:space="0" w:color="000000"/>
              <w:left w:val="single" w:sz="6" w:space="0" w:color="CCCCCC"/>
              <w:bottom w:val="single" w:sz="6" w:space="0" w:color="000000"/>
              <w:right w:val="single" w:sz="6" w:space="0" w:color="000000"/>
            </w:tcBorders>
            <w:shd w:val="clear" w:color="auto" w:fill="C0C0C0"/>
            <w:tcMar>
              <w:top w:w="0" w:type="dxa"/>
              <w:left w:w="40" w:type="dxa"/>
              <w:bottom w:w="0" w:type="dxa"/>
              <w:right w:w="40" w:type="dxa"/>
            </w:tcMar>
            <w:vAlign w:val="bottom"/>
          </w:tcPr>
          <w:p w14:paraId="1BB8AA3D" w14:textId="77777777" w:rsidR="00B17D35" w:rsidRPr="00B17D35" w:rsidRDefault="00B17D35" w:rsidP="00B17D35">
            <w:pPr>
              <w:widowControl w:val="0"/>
              <w:spacing w:line="276" w:lineRule="auto"/>
              <w:ind w:left="0" w:hanging="2"/>
              <w:jc w:val="center"/>
              <w:rPr>
                <w:sz w:val="16"/>
                <w:szCs w:val="16"/>
              </w:rPr>
            </w:pPr>
            <w:r w:rsidRPr="00B17D35">
              <w:rPr>
                <w:b/>
                <w:sz w:val="16"/>
                <w:szCs w:val="16"/>
              </w:rPr>
              <w:t>Variación</w:t>
            </w:r>
          </w:p>
        </w:tc>
      </w:tr>
      <w:tr w:rsidR="00B17D35" w:rsidRPr="00B17D35" w14:paraId="49EA950A" w14:textId="77777777" w:rsidTr="00B17D35">
        <w:trPr>
          <w:trHeight w:val="300"/>
        </w:trPr>
        <w:tc>
          <w:tcPr>
            <w:tcW w:w="63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3D921B6" w14:textId="77777777" w:rsidR="00B17D35" w:rsidRPr="00B17D35" w:rsidRDefault="00B17D35" w:rsidP="00B17D35">
            <w:pPr>
              <w:widowControl w:val="0"/>
              <w:spacing w:line="276" w:lineRule="auto"/>
              <w:ind w:left="0" w:hanging="2"/>
              <w:jc w:val="center"/>
              <w:rPr>
                <w:sz w:val="16"/>
                <w:szCs w:val="16"/>
              </w:rPr>
            </w:pPr>
            <w:r w:rsidRPr="00B17D35">
              <w:rPr>
                <w:sz w:val="16"/>
                <w:szCs w:val="16"/>
              </w:rPr>
              <w:t>1</w:t>
            </w:r>
          </w:p>
        </w:tc>
        <w:tc>
          <w:tcPr>
            <w:tcW w:w="44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BEF026E" w14:textId="77777777" w:rsidR="00B17D35" w:rsidRPr="00B17D35" w:rsidRDefault="00B17D35" w:rsidP="00B17D35">
            <w:pPr>
              <w:widowControl w:val="0"/>
              <w:spacing w:line="276" w:lineRule="auto"/>
              <w:ind w:left="0" w:hanging="2"/>
              <w:rPr>
                <w:sz w:val="16"/>
                <w:szCs w:val="16"/>
              </w:rPr>
            </w:pPr>
            <w:r w:rsidRPr="00B17D35">
              <w:rPr>
                <w:sz w:val="16"/>
                <w:szCs w:val="16"/>
              </w:rPr>
              <w:t>US Dollar/Indian Rupee Options, National Stock Exchange of India</w:t>
            </w:r>
          </w:p>
        </w:tc>
        <w:tc>
          <w:tcPr>
            <w:tcW w:w="11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B3D2274" w14:textId="77777777" w:rsidR="00B17D35" w:rsidRPr="00B17D35" w:rsidRDefault="00B17D35" w:rsidP="00B17D35">
            <w:pPr>
              <w:widowControl w:val="0"/>
              <w:spacing w:line="276" w:lineRule="auto"/>
              <w:ind w:left="0" w:hanging="2"/>
              <w:jc w:val="right"/>
              <w:rPr>
                <w:sz w:val="16"/>
                <w:szCs w:val="16"/>
              </w:rPr>
            </w:pPr>
            <w:r w:rsidRPr="00B17D35">
              <w:rPr>
                <w:sz w:val="16"/>
                <w:szCs w:val="16"/>
              </w:rPr>
              <w:t>648.945.670</w:t>
            </w:r>
          </w:p>
        </w:tc>
        <w:tc>
          <w:tcPr>
            <w:tcW w:w="11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35FBCF1" w14:textId="77777777" w:rsidR="00B17D35" w:rsidRPr="00B17D35" w:rsidRDefault="00B17D35" w:rsidP="00B17D35">
            <w:pPr>
              <w:widowControl w:val="0"/>
              <w:spacing w:line="276" w:lineRule="auto"/>
              <w:ind w:left="0" w:hanging="2"/>
              <w:jc w:val="right"/>
              <w:rPr>
                <w:sz w:val="16"/>
                <w:szCs w:val="16"/>
              </w:rPr>
            </w:pPr>
            <w:r w:rsidRPr="00B17D35">
              <w:rPr>
                <w:sz w:val="16"/>
                <w:szCs w:val="16"/>
              </w:rPr>
              <w:t>484.853.286</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AE04CAE" w14:textId="77777777" w:rsidR="00B17D35" w:rsidRPr="00B17D35" w:rsidRDefault="00B17D35" w:rsidP="00B17D35">
            <w:pPr>
              <w:widowControl w:val="0"/>
              <w:spacing w:line="276" w:lineRule="auto"/>
              <w:ind w:left="0" w:hanging="2"/>
              <w:jc w:val="right"/>
              <w:rPr>
                <w:sz w:val="16"/>
                <w:szCs w:val="16"/>
              </w:rPr>
            </w:pPr>
            <w:r w:rsidRPr="00B17D35">
              <w:rPr>
                <w:sz w:val="16"/>
                <w:szCs w:val="16"/>
              </w:rPr>
              <w:t>33,8%</w:t>
            </w:r>
          </w:p>
        </w:tc>
      </w:tr>
      <w:tr w:rsidR="00B17D35" w:rsidRPr="00B17D35" w14:paraId="6FCE133A" w14:textId="77777777" w:rsidTr="00B17D35">
        <w:trPr>
          <w:trHeight w:val="300"/>
        </w:trPr>
        <w:tc>
          <w:tcPr>
            <w:tcW w:w="63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76474B4" w14:textId="77777777" w:rsidR="00B17D35" w:rsidRPr="00B17D35" w:rsidRDefault="00B17D35" w:rsidP="00B17D35">
            <w:pPr>
              <w:widowControl w:val="0"/>
              <w:spacing w:line="276" w:lineRule="auto"/>
              <w:ind w:left="0" w:hanging="2"/>
              <w:jc w:val="center"/>
              <w:rPr>
                <w:sz w:val="16"/>
                <w:szCs w:val="16"/>
              </w:rPr>
            </w:pPr>
            <w:r w:rsidRPr="00B17D35">
              <w:rPr>
                <w:sz w:val="16"/>
                <w:szCs w:val="16"/>
              </w:rPr>
              <w:t>2</w:t>
            </w:r>
          </w:p>
        </w:tc>
        <w:tc>
          <w:tcPr>
            <w:tcW w:w="44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3DDEF96" w14:textId="77777777" w:rsidR="00B17D35" w:rsidRPr="00B17D35" w:rsidRDefault="00B17D35" w:rsidP="00B17D35">
            <w:pPr>
              <w:widowControl w:val="0"/>
              <w:spacing w:line="276" w:lineRule="auto"/>
              <w:ind w:left="0" w:hanging="2"/>
              <w:rPr>
                <w:sz w:val="16"/>
                <w:szCs w:val="16"/>
              </w:rPr>
            </w:pPr>
            <w:r w:rsidRPr="00B17D35">
              <w:rPr>
                <w:sz w:val="16"/>
                <w:szCs w:val="16"/>
              </w:rPr>
              <w:t>US Dollar/Indian Rupee Options, BSE</w:t>
            </w:r>
          </w:p>
        </w:tc>
        <w:tc>
          <w:tcPr>
            <w:tcW w:w="11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43D314C" w14:textId="77777777" w:rsidR="00B17D35" w:rsidRPr="00B17D35" w:rsidRDefault="00B17D35" w:rsidP="00B17D35">
            <w:pPr>
              <w:widowControl w:val="0"/>
              <w:spacing w:line="276" w:lineRule="auto"/>
              <w:ind w:left="0" w:hanging="2"/>
              <w:jc w:val="right"/>
              <w:rPr>
                <w:sz w:val="16"/>
                <w:szCs w:val="16"/>
              </w:rPr>
            </w:pPr>
            <w:r w:rsidRPr="00B17D35">
              <w:rPr>
                <w:sz w:val="16"/>
                <w:szCs w:val="16"/>
              </w:rPr>
              <w:t>597.155.819</w:t>
            </w:r>
          </w:p>
        </w:tc>
        <w:tc>
          <w:tcPr>
            <w:tcW w:w="11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A990859" w14:textId="77777777" w:rsidR="00B17D35" w:rsidRPr="00B17D35" w:rsidRDefault="00B17D35" w:rsidP="00B17D35">
            <w:pPr>
              <w:widowControl w:val="0"/>
              <w:spacing w:line="276" w:lineRule="auto"/>
              <w:ind w:left="0" w:hanging="2"/>
              <w:jc w:val="right"/>
              <w:rPr>
                <w:sz w:val="16"/>
                <w:szCs w:val="16"/>
              </w:rPr>
            </w:pPr>
            <w:r w:rsidRPr="00B17D35">
              <w:rPr>
                <w:sz w:val="16"/>
                <w:szCs w:val="16"/>
              </w:rPr>
              <w:t>559.489.717</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BE23312" w14:textId="77777777" w:rsidR="00B17D35" w:rsidRPr="00B17D35" w:rsidRDefault="00B17D35" w:rsidP="00B17D35">
            <w:pPr>
              <w:widowControl w:val="0"/>
              <w:spacing w:line="276" w:lineRule="auto"/>
              <w:ind w:left="0" w:hanging="2"/>
              <w:jc w:val="right"/>
              <w:rPr>
                <w:sz w:val="16"/>
                <w:szCs w:val="16"/>
              </w:rPr>
            </w:pPr>
            <w:r w:rsidRPr="00B17D35">
              <w:rPr>
                <w:sz w:val="16"/>
                <w:szCs w:val="16"/>
              </w:rPr>
              <w:t>6,7%</w:t>
            </w:r>
          </w:p>
        </w:tc>
      </w:tr>
      <w:tr w:rsidR="00B17D35" w:rsidRPr="00B17D35" w14:paraId="6DED537C" w14:textId="77777777" w:rsidTr="00B17D35">
        <w:trPr>
          <w:trHeight w:val="300"/>
        </w:trPr>
        <w:tc>
          <w:tcPr>
            <w:tcW w:w="63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FC4822B" w14:textId="77777777" w:rsidR="00B17D35" w:rsidRPr="00B17D35" w:rsidRDefault="00B17D35" w:rsidP="00B17D35">
            <w:pPr>
              <w:widowControl w:val="0"/>
              <w:spacing w:line="276" w:lineRule="auto"/>
              <w:ind w:left="0" w:hanging="2"/>
              <w:jc w:val="center"/>
              <w:rPr>
                <w:sz w:val="16"/>
                <w:szCs w:val="16"/>
              </w:rPr>
            </w:pPr>
            <w:r w:rsidRPr="00B17D35">
              <w:rPr>
                <w:sz w:val="16"/>
                <w:szCs w:val="16"/>
              </w:rPr>
              <w:t>3</w:t>
            </w:r>
          </w:p>
        </w:tc>
        <w:tc>
          <w:tcPr>
            <w:tcW w:w="44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0C28D41" w14:textId="77777777" w:rsidR="00B17D35" w:rsidRPr="00B17D35" w:rsidRDefault="00B17D35" w:rsidP="00B17D35">
            <w:pPr>
              <w:widowControl w:val="0"/>
              <w:spacing w:line="276" w:lineRule="auto"/>
              <w:ind w:left="0" w:hanging="2"/>
              <w:rPr>
                <w:sz w:val="16"/>
                <w:szCs w:val="16"/>
              </w:rPr>
            </w:pPr>
            <w:r w:rsidRPr="00B17D35">
              <w:rPr>
                <w:sz w:val="16"/>
                <w:szCs w:val="16"/>
              </w:rPr>
              <w:t>US Dollar/Indian Rupee Futures, National Stock Exchange of India</w:t>
            </w:r>
          </w:p>
        </w:tc>
        <w:tc>
          <w:tcPr>
            <w:tcW w:w="11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2B1C418" w14:textId="77777777" w:rsidR="00B17D35" w:rsidRPr="00B17D35" w:rsidRDefault="00B17D35" w:rsidP="00B17D35">
            <w:pPr>
              <w:widowControl w:val="0"/>
              <w:spacing w:line="276" w:lineRule="auto"/>
              <w:ind w:left="0" w:hanging="2"/>
              <w:jc w:val="right"/>
              <w:rPr>
                <w:sz w:val="16"/>
                <w:szCs w:val="16"/>
              </w:rPr>
            </w:pPr>
            <w:r w:rsidRPr="00B17D35">
              <w:rPr>
                <w:sz w:val="16"/>
                <w:szCs w:val="16"/>
              </w:rPr>
              <w:t>551.281.470</w:t>
            </w:r>
          </w:p>
        </w:tc>
        <w:tc>
          <w:tcPr>
            <w:tcW w:w="11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8BC7926" w14:textId="77777777" w:rsidR="00B17D35" w:rsidRPr="00B17D35" w:rsidRDefault="00B17D35" w:rsidP="00B17D35">
            <w:pPr>
              <w:widowControl w:val="0"/>
              <w:spacing w:line="276" w:lineRule="auto"/>
              <w:ind w:left="0" w:hanging="2"/>
              <w:jc w:val="right"/>
              <w:rPr>
                <w:sz w:val="16"/>
                <w:szCs w:val="16"/>
              </w:rPr>
            </w:pPr>
            <w:r w:rsidRPr="00B17D35">
              <w:rPr>
                <w:sz w:val="16"/>
                <w:szCs w:val="16"/>
              </w:rPr>
              <w:t>537.847.778</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1809BFE" w14:textId="77777777" w:rsidR="00B17D35" w:rsidRPr="00B17D35" w:rsidRDefault="00B17D35" w:rsidP="00B17D35">
            <w:pPr>
              <w:widowControl w:val="0"/>
              <w:spacing w:line="276" w:lineRule="auto"/>
              <w:ind w:left="0" w:hanging="2"/>
              <w:jc w:val="right"/>
              <w:rPr>
                <w:sz w:val="16"/>
                <w:szCs w:val="16"/>
              </w:rPr>
            </w:pPr>
            <w:r w:rsidRPr="00B17D35">
              <w:rPr>
                <w:sz w:val="16"/>
                <w:szCs w:val="16"/>
              </w:rPr>
              <w:t>2,5%</w:t>
            </w:r>
          </w:p>
        </w:tc>
      </w:tr>
      <w:tr w:rsidR="00B17D35" w:rsidRPr="00B17D35" w14:paraId="7A057CB8" w14:textId="77777777" w:rsidTr="00B17D35">
        <w:trPr>
          <w:trHeight w:val="300"/>
        </w:trPr>
        <w:tc>
          <w:tcPr>
            <w:tcW w:w="63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4A8B1C2" w14:textId="77777777" w:rsidR="00B17D35" w:rsidRPr="00B17D35" w:rsidRDefault="00B17D35" w:rsidP="00B17D35">
            <w:pPr>
              <w:widowControl w:val="0"/>
              <w:spacing w:line="276" w:lineRule="auto"/>
              <w:ind w:left="0" w:hanging="2"/>
              <w:jc w:val="center"/>
              <w:rPr>
                <w:sz w:val="16"/>
                <w:szCs w:val="16"/>
              </w:rPr>
            </w:pPr>
            <w:r w:rsidRPr="00B17D35">
              <w:rPr>
                <w:sz w:val="16"/>
                <w:szCs w:val="16"/>
              </w:rPr>
              <w:t>4</w:t>
            </w:r>
          </w:p>
        </w:tc>
        <w:tc>
          <w:tcPr>
            <w:tcW w:w="44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6B8471B" w14:textId="77777777" w:rsidR="00B17D35" w:rsidRPr="00B17D35" w:rsidRDefault="00B17D35" w:rsidP="00B17D35">
            <w:pPr>
              <w:widowControl w:val="0"/>
              <w:spacing w:line="276" w:lineRule="auto"/>
              <w:ind w:left="0" w:hanging="2"/>
              <w:rPr>
                <w:sz w:val="16"/>
                <w:szCs w:val="16"/>
              </w:rPr>
            </w:pPr>
            <w:r w:rsidRPr="00B17D35">
              <w:rPr>
                <w:sz w:val="16"/>
                <w:szCs w:val="16"/>
              </w:rPr>
              <w:t>US Dollar/Indian Rupee Futures, BSE</w:t>
            </w:r>
          </w:p>
        </w:tc>
        <w:tc>
          <w:tcPr>
            <w:tcW w:w="11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68C924D" w14:textId="77777777" w:rsidR="00B17D35" w:rsidRPr="00B17D35" w:rsidRDefault="00B17D35" w:rsidP="00B17D35">
            <w:pPr>
              <w:widowControl w:val="0"/>
              <w:spacing w:line="276" w:lineRule="auto"/>
              <w:ind w:left="0" w:hanging="2"/>
              <w:jc w:val="right"/>
              <w:rPr>
                <w:sz w:val="16"/>
                <w:szCs w:val="16"/>
              </w:rPr>
            </w:pPr>
            <w:r w:rsidRPr="00B17D35">
              <w:rPr>
                <w:sz w:val="16"/>
                <w:szCs w:val="16"/>
              </w:rPr>
              <w:t>385.270.880</w:t>
            </w:r>
          </w:p>
        </w:tc>
        <w:tc>
          <w:tcPr>
            <w:tcW w:w="11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9D5765A" w14:textId="77777777" w:rsidR="00B17D35" w:rsidRPr="00B17D35" w:rsidRDefault="00B17D35" w:rsidP="00B17D35">
            <w:pPr>
              <w:widowControl w:val="0"/>
              <w:spacing w:line="276" w:lineRule="auto"/>
              <w:ind w:left="0" w:hanging="2"/>
              <w:jc w:val="right"/>
              <w:rPr>
                <w:sz w:val="16"/>
                <w:szCs w:val="16"/>
              </w:rPr>
            </w:pPr>
            <w:r w:rsidRPr="00B17D35">
              <w:rPr>
                <w:sz w:val="16"/>
                <w:szCs w:val="16"/>
              </w:rPr>
              <w:t>453.709.423</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D2A477E" w14:textId="77777777" w:rsidR="00B17D35" w:rsidRPr="00B17D35" w:rsidRDefault="00B17D35" w:rsidP="00B17D35">
            <w:pPr>
              <w:widowControl w:val="0"/>
              <w:spacing w:line="276" w:lineRule="auto"/>
              <w:ind w:left="0" w:hanging="2"/>
              <w:jc w:val="right"/>
              <w:rPr>
                <w:sz w:val="16"/>
                <w:szCs w:val="16"/>
              </w:rPr>
            </w:pPr>
            <w:r w:rsidRPr="00B17D35">
              <w:rPr>
                <w:sz w:val="16"/>
                <w:szCs w:val="16"/>
              </w:rPr>
              <w:t>-15,1%</w:t>
            </w:r>
          </w:p>
        </w:tc>
      </w:tr>
      <w:tr w:rsidR="00B17D35" w:rsidRPr="00B17D35" w14:paraId="35DC57EE" w14:textId="77777777" w:rsidTr="00B17D35">
        <w:trPr>
          <w:trHeight w:val="300"/>
        </w:trPr>
        <w:tc>
          <w:tcPr>
            <w:tcW w:w="63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F8E97C7" w14:textId="77777777" w:rsidR="00B17D35" w:rsidRPr="00B17D35" w:rsidRDefault="00B17D35" w:rsidP="00B17D35">
            <w:pPr>
              <w:widowControl w:val="0"/>
              <w:spacing w:line="276" w:lineRule="auto"/>
              <w:ind w:left="0" w:hanging="2"/>
              <w:jc w:val="center"/>
              <w:rPr>
                <w:sz w:val="16"/>
                <w:szCs w:val="16"/>
              </w:rPr>
            </w:pPr>
            <w:r w:rsidRPr="00B17D35">
              <w:rPr>
                <w:sz w:val="16"/>
                <w:szCs w:val="16"/>
              </w:rPr>
              <w:t>5</w:t>
            </w:r>
          </w:p>
        </w:tc>
        <w:tc>
          <w:tcPr>
            <w:tcW w:w="44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C618DB9" w14:textId="77777777" w:rsidR="00B17D35" w:rsidRPr="00B17D35" w:rsidRDefault="00B17D35" w:rsidP="00B17D35">
            <w:pPr>
              <w:widowControl w:val="0"/>
              <w:spacing w:line="276" w:lineRule="auto"/>
              <w:ind w:left="0" w:hanging="2"/>
              <w:rPr>
                <w:sz w:val="16"/>
                <w:szCs w:val="16"/>
              </w:rPr>
            </w:pPr>
            <w:r w:rsidRPr="00B17D35">
              <w:rPr>
                <w:sz w:val="16"/>
                <w:szCs w:val="16"/>
              </w:rPr>
              <w:t>US Dollar/Russian Ruble Futures, Moscow Exchange</w:t>
            </w:r>
          </w:p>
        </w:tc>
        <w:tc>
          <w:tcPr>
            <w:tcW w:w="11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586E9A5" w14:textId="77777777" w:rsidR="00B17D35" w:rsidRPr="00B17D35" w:rsidRDefault="00B17D35" w:rsidP="00B17D35">
            <w:pPr>
              <w:widowControl w:val="0"/>
              <w:spacing w:line="276" w:lineRule="auto"/>
              <w:ind w:left="0" w:hanging="2"/>
              <w:jc w:val="right"/>
              <w:rPr>
                <w:sz w:val="16"/>
                <w:szCs w:val="16"/>
              </w:rPr>
            </w:pPr>
            <w:r w:rsidRPr="00B17D35">
              <w:rPr>
                <w:sz w:val="16"/>
                <w:szCs w:val="16"/>
              </w:rPr>
              <w:t>384.155.770</w:t>
            </w:r>
          </w:p>
        </w:tc>
        <w:tc>
          <w:tcPr>
            <w:tcW w:w="11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3BE26F3" w14:textId="77777777" w:rsidR="00B17D35" w:rsidRPr="00B17D35" w:rsidRDefault="00B17D35" w:rsidP="00B17D35">
            <w:pPr>
              <w:widowControl w:val="0"/>
              <w:spacing w:line="276" w:lineRule="auto"/>
              <w:ind w:left="0" w:hanging="2"/>
              <w:jc w:val="right"/>
              <w:rPr>
                <w:sz w:val="16"/>
                <w:szCs w:val="16"/>
              </w:rPr>
            </w:pPr>
            <w:r w:rsidRPr="00B17D35">
              <w:rPr>
                <w:sz w:val="16"/>
                <w:szCs w:val="16"/>
              </w:rPr>
              <w:t>496.225.103</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0E9011B" w14:textId="77777777" w:rsidR="00B17D35" w:rsidRPr="00B17D35" w:rsidRDefault="00B17D35" w:rsidP="00B17D35">
            <w:pPr>
              <w:widowControl w:val="0"/>
              <w:spacing w:line="276" w:lineRule="auto"/>
              <w:ind w:left="0" w:hanging="2"/>
              <w:jc w:val="right"/>
              <w:rPr>
                <w:sz w:val="16"/>
                <w:szCs w:val="16"/>
              </w:rPr>
            </w:pPr>
            <w:r w:rsidRPr="00B17D35">
              <w:rPr>
                <w:sz w:val="16"/>
                <w:szCs w:val="16"/>
              </w:rPr>
              <w:t>-22,6%</w:t>
            </w:r>
          </w:p>
        </w:tc>
      </w:tr>
      <w:tr w:rsidR="00B17D35" w:rsidRPr="00B17D35" w14:paraId="2025D93B" w14:textId="77777777" w:rsidTr="00B17D35">
        <w:trPr>
          <w:trHeight w:val="300"/>
        </w:trPr>
        <w:tc>
          <w:tcPr>
            <w:tcW w:w="63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1260752" w14:textId="77777777" w:rsidR="00B17D35" w:rsidRPr="00B17D35" w:rsidRDefault="00B17D35" w:rsidP="00B17D35">
            <w:pPr>
              <w:widowControl w:val="0"/>
              <w:spacing w:line="276" w:lineRule="auto"/>
              <w:ind w:left="0" w:hanging="2"/>
              <w:jc w:val="center"/>
              <w:rPr>
                <w:sz w:val="16"/>
                <w:szCs w:val="16"/>
              </w:rPr>
            </w:pPr>
            <w:r w:rsidRPr="00B17D35">
              <w:rPr>
                <w:sz w:val="16"/>
                <w:szCs w:val="16"/>
              </w:rPr>
              <w:t>6</w:t>
            </w:r>
          </w:p>
        </w:tc>
        <w:tc>
          <w:tcPr>
            <w:tcW w:w="44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AF3C808" w14:textId="77777777" w:rsidR="00B17D35" w:rsidRPr="00B17D35" w:rsidRDefault="00B17D35" w:rsidP="00B17D35">
            <w:pPr>
              <w:widowControl w:val="0"/>
              <w:spacing w:line="276" w:lineRule="auto"/>
              <w:ind w:left="0" w:hanging="2"/>
              <w:rPr>
                <w:sz w:val="16"/>
                <w:szCs w:val="16"/>
              </w:rPr>
            </w:pPr>
            <w:r w:rsidRPr="00B17D35">
              <w:rPr>
                <w:sz w:val="16"/>
                <w:szCs w:val="16"/>
              </w:rPr>
              <w:t>Mini US Dollar Futures, B3</w:t>
            </w:r>
          </w:p>
        </w:tc>
        <w:tc>
          <w:tcPr>
            <w:tcW w:w="11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54D9C52" w14:textId="77777777" w:rsidR="00B17D35" w:rsidRPr="00B17D35" w:rsidRDefault="00B17D35" w:rsidP="00B17D35">
            <w:pPr>
              <w:widowControl w:val="0"/>
              <w:spacing w:line="276" w:lineRule="auto"/>
              <w:ind w:left="0" w:hanging="2"/>
              <w:jc w:val="right"/>
              <w:rPr>
                <w:sz w:val="16"/>
                <w:szCs w:val="16"/>
              </w:rPr>
            </w:pPr>
            <w:r w:rsidRPr="00B17D35">
              <w:rPr>
                <w:sz w:val="16"/>
                <w:szCs w:val="16"/>
              </w:rPr>
              <w:t>340.261.685</w:t>
            </w:r>
          </w:p>
        </w:tc>
        <w:tc>
          <w:tcPr>
            <w:tcW w:w="11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D72BF38" w14:textId="77777777" w:rsidR="00B17D35" w:rsidRPr="00B17D35" w:rsidRDefault="00B17D35" w:rsidP="00B17D35">
            <w:pPr>
              <w:widowControl w:val="0"/>
              <w:spacing w:line="276" w:lineRule="auto"/>
              <w:ind w:left="0" w:hanging="2"/>
              <w:jc w:val="right"/>
              <w:rPr>
                <w:sz w:val="16"/>
                <w:szCs w:val="16"/>
              </w:rPr>
            </w:pPr>
            <w:r w:rsidRPr="00B17D35">
              <w:rPr>
                <w:sz w:val="16"/>
                <w:szCs w:val="16"/>
              </w:rPr>
              <w:t>266.982.975</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61EA17C" w14:textId="77777777" w:rsidR="00B17D35" w:rsidRPr="00B17D35" w:rsidRDefault="00B17D35" w:rsidP="00B17D35">
            <w:pPr>
              <w:widowControl w:val="0"/>
              <w:spacing w:line="276" w:lineRule="auto"/>
              <w:ind w:left="0" w:hanging="2"/>
              <w:jc w:val="right"/>
              <w:rPr>
                <w:sz w:val="16"/>
                <w:szCs w:val="16"/>
              </w:rPr>
            </w:pPr>
            <w:r w:rsidRPr="00B17D35">
              <w:rPr>
                <w:sz w:val="16"/>
                <w:szCs w:val="16"/>
              </w:rPr>
              <w:t>27,4%</w:t>
            </w:r>
          </w:p>
        </w:tc>
      </w:tr>
      <w:tr w:rsidR="00B17D35" w:rsidRPr="00B17D35" w14:paraId="58F55AB2" w14:textId="77777777" w:rsidTr="00B17D35">
        <w:trPr>
          <w:trHeight w:val="300"/>
        </w:trPr>
        <w:tc>
          <w:tcPr>
            <w:tcW w:w="63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70B7556" w14:textId="77777777" w:rsidR="00B17D35" w:rsidRPr="00B17D35" w:rsidRDefault="00B17D35" w:rsidP="00B17D35">
            <w:pPr>
              <w:widowControl w:val="0"/>
              <w:spacing w:line="276" w:lineRule="auto"/>
              <w:ind w:left="0" w:hanging="2"/>
              <w:jc w:val="center"/>
              <w:rPr>
                <w:sz w:val="16"/>
                <w:szCs w:val="16"/>
              </w:rPr>
            </w:pPr>
            <w:r w:rsidRPr="00B17D35">
              <w:rPr>
                <w:b/>
                <w:sz w:val="16"/>
                <w:szCs w:val="16"/>
              </w:rPr>
              <w:t>7</w:t>
            </w:r>
          </w:p>
        </w:tc>
        <w:tc>
          <w:tcPr>
            <w:tcW w:w="44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DA15A54" w14:textId="77777777" w:rsidR="00B17D35" w:rsidRPr="00B17D35" w:rsidRDefault="00B17D35" w:rsidP="00B17D35">
            <w:pPr>
              <w:widowControl w:val="0"/>
              <w:spacing w:line="276" w:lineRule="auto"/>
              <w:ind w:left="0" w:hanging="2"/>
              <w:rPr>
                <w:sz w:val="16"/>
                <w:szCs w:val="16"/>
              </w:rPr>
            </w:pPr>
            <w:r w:rsidRPr="00B17D35">
              <w:rPr>
                <w:b/>
                <w:sz w:val="16"/>
                <w:szCs w:val="16"/>
              </w:rPr>
              <w:t>US Dollar Futures, MATba ROFEX</w:t>
            </w:r>
          </w:p>
        </w:tc>
        <w:tc>
          <w:tcPr>
            <w:tcW w:w="11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2132C8B" w14:textId="77777777" w:rsidR="00B17D35" w:rsidRPr="00B17D35" w:rsidRDefault="00B17D35" w:rsidP="00B17D35">
            <w:pPr>
              <w:widowControl w:val="0"/>
              <w:spacing w:line="276" w:lineRule="auto"/>
              <w:ind w:left="0" w:hanging="2"/>
              <w:jc w:val="right"/>
              <w:rPr>
                <w:sz w:val="16"/>
                <w:szCs w:val="16"/>
              </w:rPr>
            </w:pPr>
            <w:r w:rsidRPr="00B17D35">
              <w:rPr>
                <w:b/>
                <w:sz w:val="16"/>
                <w:szCs w:val="16"/>
              </w:rPr>
              <w:t>206.104.436</w:t>
            </w:r>
          </w:p>
        </w:tc>
        <w:tc>
          <w:tcPr>
            <w:tcW w:w="11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4A0BD24" w14:textId="77777777" w:rsidR="00B17D35" w:rsidRPr="00B17D35" w:rsidRDefault="00B17D35" w:rsidP="00B17D35">
            <w:pPr>
              <w:widowControl w:val="0"/>
              <w:spacing w:line="276" w:lineRule="auto"/>
              <w:ind w:left="0" w:hanging="2"/>
              <w:jc w:val="right"/>
              <w:rPr>
                <w:sz w:val="16"/>
                <w:szCs w:val="16"/>
              </w:rPr>
            </w:pPr>
            <w:r w:rsidRPr="00B17D35">
              <w:rPr>
                <w:b/>
                <w:sz w:val="16"/>
                <w:szCs w:val="16"/>
              </w:rPr>
              <w:t>189.223.855</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584F69B" w14:textId="77777777" w:rsidR="00B17D35" w:rsidRPr="00B17D35" w:rsidRDefault="00B17D35" w:rsidP="00B17D35">
            <w:pPr>
              <w:widowControl w:val="0"/>
              <w:spacing w:line="276" w:lineRule="auto"/>
              <w:ind w:left="0" w:hanging="2"/>
              <w:jc w:val="right"/>
              <w:rPr>
                <w:sz w:val="16"/>
                <w:szCs w:val="16"/>
              </w:rPr>
            </w:pPr>
            <w:r w:rsidRPr="00B17D35">
              <w:rPr>
                <w:b/>
                <w:sz w:val="16"/>
                <w:szCs w:val="16"/>
              </w:rPr>
              <w:t>8,9%</w:t>
            </w:r>
          </w:p>
        </w:tc>
      </w:tr>
      <w:tr w:rsidR="00B17D35" w:rsidRPr="00B17D35" w14:paraId="502F8780" w14:textId="77777777" w:rsidTr="00B17D35">
        <w:trPr>
          <w:trHeight w:val="300"/>
        </w:trPr>
        <w:tc>
          <w:tcPr>
            <w:tcW w:w="63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7A535F4" w14:textId="77777777" w:rsidR="00B17D35" w:rsidRPr="00B17D35" w:rsidRDefault="00B17D35" w:rsidP="00B17D35">
            <w:pPr>
              <w:widowControl w:val="0"/>
              <w:spacing w:line="276" w:lineRule="auto"/>
              <w:ind w:left="0" w:hanging="2"/>
              <w:jc w:val="center"/>
              <w:rPr>
                <w:sz w:val="16"/>
                <w:szCs w:val="16"/>
              </w:rPr>
            </w:pPr>
            <w:r w:rsidRPr="00B17D35">
              <w:rPr>
                <w:sz w:val="16"/>
                <w:szCs w:val="16"/>
              </w:rPr>
              <w:t>8</w:t>
            </w:r>
          </w:p>
        </w:tc>
        <w:tc>
          <w:tcPr>
            <w:tcW w:w="44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813C2EE" w14:textId="77777777" w:rsidR="00B17D35" w:rsidRPr="00B17D35" w:rsidRDefault="00B17D35" w:rsidP="00B17D35">
            <w:pPr>
              <w:widowControl w:val="0"/>
              <w:spacing w:line="276" w:lineRule="auto"/>
              <w:ind w:left="0" w:hanging="2"/>
              <w:rPr>
                <w:sz w:val="16"/>
                <w:szCs w:val="16"/>
              </w:rPr>
            </w:pPr>
            <w:r w:rsidRPr="00B17D35">
              <w:rPr>
                <w:sz w:val="16"/>
                <w:szCs w:val="16"/>
              </w:rPr>
              <w:t>US Dollar Futures, B3</w:t>
            </w:r>
          </w:p>
        </w:tc>
        <w:tc>
          <w:tcPr>
            <w:tcW w:w="11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92A16E1" w14:textId="77777777" w:rsidR="00B17D35" w:rsidRPr="00B17D35" w:rsidRDefault="00B17D35" w:rsidP="00B17D35">
            <w:pPr>
              <w:widowControl w:val="0"/>
              <w:spacing w:line="276" w:lineRule="auto"/>
              <w:ind w:left="0" w:hanging="2"/>
              <w:jc w:val="right"/>
              <w:rPr>
                <w:sz w:val="16"/>
                <w:szCs w:val="16"/>
              </w:rPr>
            </w:pPr>
            <w:r w:rsidRPr="00B17D35">
              <w:rPr>
                <w:sz w:val="16"/>
                <w:szCs w:val="16"/>
              </w:rPr>
              <w:t>94.587.950</w:t>
            </w:r>
          </w:p>
        </w:tc>
        <w:tc>
          <w:tcPr>
            <w:tcW w:w="11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EBC774D" w14:textId="77777777" w:rsidR="00B17D35" w:rsidRPr="00B17D35" w:rsidRDefault="00B17D35" w:rsidP="00B17D35">
            <w:pPr>
              <w:widowControl w:val="0"/>
              <w:spacing w:line="276" w:lineRule="auto"/>
              <w:ind w:left="0" w:hanging="2"/>
              <w:jc w:val="right"/>
              <w:rPr>
                <w:sz w:val="16"/>
                <w:szCs w:val="16"/>
              </w:rPr>
            </w:pPr>
            <w:r w:rsidRPr="00B17D35">
              <w:rPr>
                <w:sz w:val="16"/>
                <w:szCs w:val="16"/>
              </w:rPr>
              <w:t>91.695.866</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F399C57" w14:textId="77777777" w:rsidR="00B17D35" w:rsidRPr="00B17D35" w:rsidRDefault="00B17D35" w:rsidP="00B17D35">
            <w:pPr>
              <w:widowControl w:val="0"/>
              <w:spacing w:line="276" w:lineRule="auto"/>
              <w:ind w:left="0" w:hanging="2"/>
              <w:jc w:val="right"/>
              <w:rPr>
                <w:sz w:val="16"/>
                <w:szCs w:val="16"/>
              </w:rPr>
            </w:pPr>
            <w:r w:rsidRPr="00B17D35">
              <w:rPr>
                <w:sz w:val="16"/>
                <w:szCs w:val="16"/>
              </w:rPr>
              <w:t>3,2%</w:t>
            </w:r>
          </w:p>
        </w:tc>
      </w:tr>
      <w:tr w:rsidR="00B17D35" w:rsidRPr="00B17D35" w14:paraId="6933EDC9" w14:textId="77777777" w:rsidTr="00B17D35">
        <w:trPr>
          <w:trHeight w:val="300"/>
        </w:trPr>
        <w:tc>
          <w:tcPr>
            <w:tcW w:w="63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A6E27CB" w14:textId="77777777" w:rsidR="00B17D35" w:rsidRPr="00B17D35" w:rsidRDefault="00B17D35" w:rsidP="00B17D35">
            <w:pPr>
              <w:widowControl w:val="0"/>
              <w:spacing w:line="276" w:lineRule="auto"/>
              <w:ind w:left="0" w:hanging="2"/>
              <w:jc w:val="center"/>
              <w:rPr>
                <w:sz w:val="16"/>
                <w:szCs w:val="16"/>
              </w:rPr>
            </w:pPr>
            <w:r w:rsidRPr="00B17D35">
              <w:rPr>
                <w:sz w:val="16"/>
                <w:szCs w:val="16"/>
              </w:rPr>
              <w:t>9</w:t>
            </w:r>
          </w:p>
        </w:tc>
        <w:tc>
          <w:tcPr>
            <w:tcW w:w="44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EF97EF8" w14:textId="77777777" w:rsidR="00B17D35" w:rsidRPr="00B17D35" w:rsidRDefault="00B17D35" w:rsidP="00B17D35">
            <w:pPr>
              <w:widowControl w:val="0"/>
              <w:spacing w:line="276" w:lineRule="auto"/>
              <w:ind w:left="0" w:hanging="2"/>
              <w:rPr>
                <w:sz w:val="16"/>
                <w:szCs w:val="16"/>
              </w:rPr>
            </w:pPr>
            <w:r w:rsidRPr="00B17D35">
              <w:rPr>
                <w:sz w:val="16"/>
                <w:szCs w:val="16"/>
              </w:rPr>
              <w:t>US Dollar Futures, Korea Exchange</w:t>
            </w:r>
          </w:p>
        </w:tc>
        <w:tc>
          <w:tcPr>
            <w:tcW w:w="11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488E355" w14:textId="77777777" w:rsidR="00B17D35" w:rsidRPr="00B17D35" w:rsidRDefault="00B17D35" w:rsidP="00B17D35">
            <w:pPr>
              <w:widowControl w:val="0"/>
              <w:spacing w:line="276" w:lineRule="auto"/>
              <w:ind w:left="0" w:hanging="2"/>
              <w:jc w:val="right"/>
              <w:rPr>
                <w:sz w:val="16"/>
                <w:szCs w:val="16"/>
              </w:rPr>
            </w:pPr>
            <w:r w:rsidRPr="00B17D35">
              <w:rPr>
                <w:sz w:val="16"/>
                <w:szCs w:val="16"/>
              </w:rPr>
              <w:t>85.556.591</w:t>
            </w:r>
          </w:p>
        </w:tc>
        <w:tc>
          <w:tcPr>
            <w:tcW w:w="11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2861BCE" w14:textId="77777777" w:rsidR="00B17D35" w:rsidRPr="00B17D35" w:rsidRDefault="00B17D35" w:rsidP="00B17D35">
            <w:pPr>
              <w:widowControl w:val="0"/>
              <w:spacing w:line="276" w:lineRule="auto"/>
              <w:ind w:left="0" w:hanging="2"/>
              <w:jc w:val="right"/>
              <w:rPr>
                <w:sz w:val="16"/>
                <w:szCs w:val="16"/>
              </w:rPr>
            </w:pPr>
            <w:r w:rsidRPr="00B17D35">
              <w:rPr>
                <w:sz w:val="16"/>
                <w:szCs w:val="16"/>
              </w:rPr>
              <w:t>74.821.050</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DE58533" w14:textId="77777777" w:rsidR="00B17D35" w:rsidRPr="00B17D35" w:rsidRDefault="00B17D35" w:rsidP="00B17D35">
            <w:pPr>
              <w:widowControl w:val="0"/>
              <w:spacing w:line="276" w:lineRule="auto"/>
              <w:ind w:left="0" w:hanging="2"/>
              <w:jc w:val="right"/>
              <w:rPr>
                <w:sz w:val="16"/>
                <w:szCs w:val="16"/>
              </w:rPr>
            </w:pPr>
            <w:r w:rsidRPr="00B17D35">
              <w:rPr>
                <w:sz w:val="16"/>
                <w:szCs w:val="16"/>
              </w:rPr>
              <w:t>14,3%</w:t>
            </w:r>
          </w:p>
        </w:tc>
      </w:tr>
      <w:tr w:rsidR="00B17D35" w:rsidRPr="00B17D35" w14:paraId="2983AA0B" w14:textId="77777777" w:rsidTr="00B17D35">
        <w:trPr>
          <w:trHeight w:val="300"/>
        </w:trPr>
        <w:tc>
          <w:tcPr>
            <w:tcW w:w="63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8362665" w14:textId="77777777" w:rsidR="00B17D35" w:rsidRPr="00B17D35" w:rsidRDefault="00B17D35" w:rsidP="00B17D35">
            <w:pPr>
              <w:widowControl w:val="0"/>
              <w:spacing w:line="276" w:lineRule="auto"/>
              <w:ind w:left="0" w:hanging="2"/>
              <w:jc w:val="center"/>
              <w:rPr>
                <w:sz w:val="16"/>
                <w:szCs w:val="16"/>
              </w:rPr>
            </w:pPr>
            <w:r w:rsidRPr="00B17D35">
              <w:rPr>
                <w:sz w:val="16"/>
                <w:szCs w:val="16"/>
              </w:rPr>
              <w:t>10</w:t>
            </w:r>
          </w:p>
        </w:tc>
        <w:tc>
          <w:tcPr>
            <w:tcW w:w="44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06B9329" w14:textId="77777777" w:rsidR="00B17D35" w:rsidRPr="00B17D35" w:rsidRDefault="00B17D35" w:rsidP="00B17D35">
            <w:pPr>
              <w:widowControl w:val="0"/>
              <w:spacing w:line="276" w:lineRule="auto"/>
              <w:ind w:left="0" w:hanging="2"/>
              <w:rPr>
                <w:sz w:val="16"/>
                <w:szCs w:val="16"/>
              </w:rPr>
            </w:pPr>
            <w:r w:rsidRPr="00B17D35">
              <w:rPr>
                <w:sz w:val="16"/>
                <w:szCs w:val="16"/>
              </w:rPr>
              <w:t>Turkish Lira/US Dollar Futures, Borsa Istanbul</w:t>
            </w:r>
          </w:p>
        </w:tc>
        <w:tc>
          <w:tcPr>
            <w:tcW w:w="11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9F954A6" w14:textId="77777777" w:rsidR="00B17D35" w:rsidRPr="00B17D35" w:rsidRDefault="00B17D35" w:rsidP="00B17D35">
            <w:pPr>
              <w:widowControl w:val="0"/>
              <w:spacing w:line="276" w:lineRule="auto"/>
              <w:ind w:left="0" w:hanging="2"/>
              <w:jc w:val="right"/>
              <w:rPr>
                <w:sz w:val="16"/>
                <w:szCs w:val="16"/>
              </w:rPr>
            </w:pPr>
            <w:r w:rsidRPr="00B17D35">
              <w:rPr>
                <w:sz w:val="16"/>
                <w:szCs w:val="16"/>
              </w:rPr>
              <w:t>63.063.667</w:t>
            </w:r>
          </w:p>
        </w:tc>
        <w:tc>
          <w:tcPr>
            <w:tcW w:w="11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D314C74" w14:textId="77777777" w:rsidR="00B17D35" w:rsidRPr="00B17D35" w:rsidRDefault="00B17D35" w:rsidP="00B17D35">
            <w:pPr>
              <w:widowControl w:val="0"/>
              <w:spacing w:line="276" w:lineRule="auto"/>
              <w:ind w:left="0" w:hanging="2"/>
              <w:jc w:val="right"/>
              <w:rPr>
                <w:sz w:val="16"/>
                <w:szCs w:val="16"/>
              </w:rPr>
            </w:pPr>
            <w:r w:rsidRPr="00B17D35">
              <w:rPr>
                <w:sz w:val="16"/>
                <w:szCs w:val="16"/>
              </w:rPr>
              <w:t>91.295.379</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74EEA69" w14:textId="77777777" w:rsidR="00B17D35" w:rsidRPr="00B17D35" w:rsidRDefault="00B17D35" w:rsidP="00B17D35">
            <w:pPr>
              <w:widowControl w:val="0"/>
              <w:spacing w:line="276" w:lineRule="auto"/>
              <w:ind w:left="0" w:hanging="2"/>
              <w:jc w:val="right"/>
              <w:rPr>
                <w:sz w:val="16"/>
                <w:szCs w:val="16"/>
              </w:rPr>
            </w:pPr>
            <w:r w:rsidRPr="00B17D35">
              <w:rPr>
                <w:sz w:val="16"/>
                <w:szCs w:val="16"/>
              </w:rPr>
              <w:t>-30,9%</w:t>
            </w:r>
          </w:p>
        </w:tc>
      </w:tr>
    </w:tbl>
    <w:p w14:paraId="51D4875C" w14:textId="2B057233" w:rsidR="00B17D35" w:rsidRPr="00B17D35" w:rsidRDefault="00B17D35" w:rsidP="00B17D35">
      <w:pPr>
        <w:pBdr>
          <w:top w:val="nil"/>
          <w:left w:val="nil"/>
          <w:bottom w:val="nil"/>
          <w:right w:val="nil"/>
          <w:between w:val="nil"/>
        </w:pBdr>
        <w:tabs>
          <w:tab w:val="left" w:pos="142"/>
        </w:tabs>
        <w:ind w:left="0" w:hanging="2"/>
        <w:jc w:val="both"/>
        <w:rPr>
          <w:b/>
          <w:sz w:val="24"/>
          <w:szCs w:val="24"/>
        </w:rPr>
      </w:pPr>
      <w:r w:rsidRPr="00B17D35">
        <w:rPr>
          <w:sz w:val="24"/>
          <w:szCs w:val="24"/>
        </w:rPr>
        <w:t>Por su parte, el contrato de Soja Matba Rofex, se ubicó en el puesto número 4 dentro del ranking de contratos de futuros de soja más operados a nivel mundial.</w:t>
      </w:r>
    </w:p>
    <w:p w14:paraId="499E8514" w14:textId="01C89B8F" w:rsidR="00B17D35" w:rsidRPr="00D21C89" w:rsidRDefault="00B17D35" w:rsidP="00B17D35">
      <w:pPr>
        <w:numPr>
          <w:ilvl w:val="0"/>
          <w:numId w:val="11"/>
        </w:numPr>
        <w:pBdr>
          <w:top w:val="nil"/>
          <w:left w:val="nil"/>
          <w:bottom w:val="nil"/>
          <w:right w:val="nil"/>
          <w:between w:val="nil"/>
        </w:pBdr>
        <w:tabs>
          <w:tab w:val="left" w:pos="142"/>
        </w:tabs>
        <w:suppressAutoHyphens w:val="0"/>
        <w:spacing w:line="240" w:lineRule="auto"/>
        <w:ind w:leftChars="0" w:left="0" w:firstLineChars="0" w:hanging="2"/>
        <w:jc w:val="both"/>
        <w:textDirection w:val="lrTb"/>
        <w:textAlignment w:val="auto"/>
        <w:outlineLvl w:val="9"/>
        <w:rPr>
          <w:sz w:val="24"/>
          <w:szCs w:val="24"/>
        </w:rPr>
      </w:pPr>
      <w:r w:rsidRPr="00D21C89">
        <w:rPr>
          <w:b/>
          <w:color w:val="000000"/>
          <w:sz w:val="24"/>
          <w:szCs w:val="24"/>
        </w:rPr>
        <w:t>Aislamiento social, preventivo y obligatorio. COVID-19</w:t>
      </w:r>
    </w:p>
    <w:p w14:paraId="5C1A4F2F" w14:textId="0AFAC887" w:rsidR="00B17D35" w:rsidRPr="00B17D35" w:rsidRDefault="00B17D35" w:rsidP="00B17D35">
      <w:pPr>
        <w:tabs>
          <w:tab w:val="left" w:pos="142"/>
        </w:tabs>
        <w:ind w:left="0" w:hanging="2"/>
        <w:jc w:val="both"/>
        <w:rPr>
          <w:sz w:val="24"/>
          <w:szCs w:val="24"/>
        </w:rPr>
      </w:pPr>
      <w:r w:rsidRPr="00B17D35">
        <w:rPr>
          <w:sz w:val="24"/>
          <w:szCs w:val="24"/>
        </w:rPr>
        <w:t xml:space="preserve">Promediando este ejercicio se propagó de manera mundial el virus COVID-19 y el mundo comenzó a tomar distintas medidas para frenar su propagación. En Argentina se estableció la cuarentena obligatoria en fecha 20 de marzo y hasta el cierre de este ejercicio continúa vigente. La Sociedad tomó distintas medidas para asegurar el funcionamiento de la </w:t>
      </w:r>
      <w:r w:rsidRPr="00B17D35">
        <w:rPr>
          <w:sz w:val="24"/>
          <w:szCs w:val="24"/>
        </w:rPr>
        <w:lastRenderedPageBreak/>
        <w:t xml:space="preserve">operatoria en función de lo decretado por el Poder Ejecutivo Nacional; y de conformidad con lo solicitado por la CNV. </w:t>
      </w:r>
    </w:p>
    <w:p w14:paraId="15D79FAE" w14:textId="51EB86C8" w:rsidR="00B17D35" w:rsidRPr="00B17D35" w:rsidRDefault="00B17D35" w:rsidP="00B17D35">
      <w:pPr>
        <w:tabs>
          <w:tab w:val="left" w:pos="142"/>
        </w:tabs>
        <w:ind w:left="0" w:hanging="2"/>
        <w:jc w:val="both"/>
        <w:rPr>
          <w:sz w:val="24"/>
          <w:szCs w:val="24"/>
        </w:rPr>
      </w:pPr>
      <w:r w:rsidRPr="00B17D35">
        <w:rPr>
          <w:sz w:val="24"/>
          <w:szCs w:val="24"/>
        </w:rPr>
        <w:t>El Grupo Matba Rofex se anticipó y activó el 16 de marzo un plan de contingencia, que persiste al cierre del presente ejercicio, limitando la actividad en sus oficinas en Argentina y Uruguay, e implementando el trabajo remoto en el 100% de su plantilla de empleados.</w:t>
      </w:r>
    </w:p>
    <w:p w14:paraId="31B771F4" w14:textId="539E9925" w:rsidR="00B17D35" w:rsidRPr="00B17D35" w:rsidRDefault="00B17D35" w:rsidP="00B17D35">
      <w:pPr>
        <w:tabs>
          <w:tab w:val="left" w:pos="142"/>
        </w:tabs>
        <w:ind w:left="0" w:hanging="2"/>
        <w:jc w:val="both"/>
        <w:rPr>
          <w:sz w:val="24"/>
          <w:szCs w:val="24"/>
        </w:rPr>
      </w:pPr>
      <w:r w:rsidRPr="00B17D35">
        <w:rPr>
          <w:sz w:val="24"/>
          <w:szCs w:val="24"/>
        </w:rPr>
        <w:t>En las últimas décadas Matba Rofex ha enfocado su negocio en el desarrollo de tecnología para facilitar el acceso a los mercados, ofreciendo plataformas de negociación eficientes. Un reflejo de tal inversión en tecnología así como en recursos humanos, ha sido el correcto funcionamiento de la actividad durante el período de cuarentena obligatoria establecido por el Gobierno argentino, así como de los sistemas y servicios de las otras empresas del Grupo, que continúan brindando soporte técnico a través de sus canales de contacto habituales.</w:t>
      </w:r>
    </w:p>
    <w:p w14:paraId="18F5B357" w14:textId="06660F44" w:rsidR="00B17D35" w:rsidRPr="00B17D35" w:rsidRDefault="00B17D35" w:rsidP="00B17D35">
      <w:pPr>
        <w:tabs>
          <w:tab w:val="left" w:pos="142"/>
        </w:tabs>
        <w:ind w:left="0" w:hanging="2"/>
        <w:jc w:val="both"/>
        <w:rPr>
          <w:sz w:val="24"/>
          <w:szCs w:val="24"/>
        </w:rPr>
      </w:pPr>
      <w:r w:rsidRPr="00B17D35">
        <w:rPr>
          <w:sz w:val="24"/>
          <w:szCs w:val="24"/>
        </w:rPr>
        <w:t xml:space="preserve">La posibilidad de tener una operación de todas las líneas de productos en forma remota y en modalidad home-office, sumada a la adaptación rápida de los colaboradores a este realidad implica la necesidad de un replanteo hacia el futuro de los formatos de trabajo adecuados y la potencial reformulación de los espacios físicos sobre los que opera el grupo Matba Rofex. </w:t>
      </w:r>
    </w:p>
    <w:p w14:paraId="4E342ACC" w14:textId="6D07BAF0" w:rsidR="00B17D35" w:rsidRPr="00B17D35" w:rsidRDefault="00B17D35" w:rsidP="00B17D35">
      <w:pPr>
        <w:tabs>
          <w:tab w:val="left" w:pos="142"/>
        </w:tabs>
        <w:ind w:left="0" w:hanging="2"/>
        <w:jc w:val="both"/>
        <w:rPr>
          <w:b/>
          <w:sz w:val="24"/>
          <w:szCs w:val="24"/>
        </w:rPr>
      </w:pPr>
      <w:r w:rsidRPr="00B17D35">
        <w:rPr>
          <w:sz w:val="24"/>
          <w:szCs w:val="24"/>
        </w:rPr>
        <w:t>Por otra parte, y a medida que el cese en las restricciones fue modificándose se aprobó una política de regreso inicial para cada oficina dependiendo de las restricciones establecidas por el Poder Ejecutivo en cada jurisdicción la cual actualmente está en constante revisión.</w:t>
      </w:r>
    </w:p>
    <w:p w14:paraId="4F032CD5" w14:textId="55481C79" w:rsidR="00B17D35" w:rsidRPr="00B17D35" w:rsidRDefault="00B17D35" w:rsidP="00B17D35">
      <w:pPr>
        <w:numPr>
          <w:ilvl w:val="0"/>
          <w:numId w:val="12"/>
        </w:numPr>
        <w:pBdr>
          <w:top w:val="nil"/>
          <w:left w:val="nil"/>
          <w:bottom w:val="nil"/>
          <w:right w:val="nil"/>
          <w:between w:val="nil"/>
        </w:pBdr>
        <w:tabs>
          <w:tab w:val="left" w:pos="142"/>
        </w:tabs>
        <w:suppressAutoHyphens w:val="0"/>
        <w:spacing w:line="240" w:lineRule="auto"/>
        <w:ind w:leftChars="0" w:left="0" w:firstLineChars="0" w:hanging="2"/>
        <w:jc w:val="both"/>
        <w:textDirection w:val="lrTb"/>
        <w:textAlignment w:val="auto"/>
        <w:outlineLvl w:val="9"/>
        <w:rPr>
          <w:b/>
          <w:sz w:val="20"/>
          <w:szCs w:val="20"/>
        </w:rPr>
      </w:pPr>
      <w:r w:rsidRPr="00B17D35">
        <w:rPr>
          <w:b/>
          <w:color w:val="000000"/>
          <w:sz w:val="24"/>
          <w:szCs w:val="24"/>
        </w:rPr>
        <w:t>Programa Nuevos Operadores</w:t>
      </w:r>
    </w:p>
    <w:p w14:paraId="56E3583E" w14:textId="5C9B84A1" w:rsidR="00B17D35" w:rsidRPr="00B17D35" w:rsidRDefault="00B17D35" w:rsidP="00B17D35">
      <w:pPr>
        <w:tabs>
          <w:tab w:val="left" w:pos="142"/>
        </w:tabs>
        <w:ind w:left="0" w:hanging="2"/>
        <w:jc w:val="both"/>
        <w:rPr>
          <w:sz w:val="24"/>
          <w:szCs w:val="24"/>
        </w:rPr>
      </w:pPr>
      <w:r w:rsidRPr="00B17D35">
        <w:rPr>
          <w:sz w:val="24"/>
          <w:szCs w:val="24"/>
        </w:rPr>
        <w:t>La primera edición del Programa de Nuevos Operadores ROFEX (NOR) fue lanzada en el año 2015, con el objetivo de seleccionar y formar personas con el potencial para desarrollar una carrera como operadores en el Mercado, promover la liquidez y difusión de la operatoria de futuros y opciones, y contar con un canal de feedback sobre los productos y servicios ofrecidos por el Mercado. Desde entonces, a raíz del éxito de esta iniciativa, el Directorio de ROFEX impulsó la realización sucesiva de 4 ediciones anuales. En marzo de 2019, en pleno proceso de integración con MATba, ambos mercados lanzaron en conjunto la 5ta edición del Programa, incorporando a la oferta el Programa NOR Agropecuario, con el objetivo de incluir en los alcances del Programa la nueva oferta integral de futuros y opciones surgida de la fusión de ambas instituciones. Ya con la fusión concretada entre ambos mercados, en marzo de 2020 Matba Rofex lanzó la sexta edición del Programa con el objetivo de incorporar 70 participantes, permitiendo a los postulantes, al igual que en la quinta edición, optar por participar dentro del segmento Agropecuario o del segmento Financiero.</w:t>
      </w:r>
    </w:p>
    <w:p w14:paraId="78489BAA" w14:textId="2540B71E" w:rsidR="00B17D35" w:rsidRPr="00B17D35" w:rsidRDefault="00B17D35" w:rsidP="00B17D35">
      <w:pPr>
        <w:tabs>
          <w:tab w:val="left" w:pos="142"/>
        </w:tabs>
        <w:ind w:left="0" w:hanging="2"/>
        <w:jc w:val="both"/>
        <w:rPr>
          <w:sz w:val="24"/>
          <w:szCs w:val="24"/>
        </w:rPr>
      </w:pPr>
      <w:r w:rsidRPr="00B17D35">
        <w:rPr>
          <w:sz w:val="24"/>
          <w:szCs w:val="24"/>
        </w:rPr>
        <w:t xml:space="preserve">Haciendo un repaso de los logros del Programa, desde la primera edición, en total se registraron </w:t>
      </w:r>
      <w:r w:rsidRPr="00B17D35">
        <w:rPr>
          <w:b/>
          <w:sz w:val="24"/>
          <w:szCs w:val="24"/>
        </w:rPr>
        <w:t>3.500 postulaciones</w:t>
      </w:r>
      <w:r w:rsidRPr="00B17D35">
        <w:rPr>
          <w:sz w:val="24"/>
          <w:szCs w:val="24"/>
        </w:rPr>
        <w:t xml:space="preserve"> a través del Micrositio del Programa disponible en la web institucional de Matba Rofex. Del total de postulantes, </w:t>
      </w:r>
      <w:r w:rsidRPr="00B17D35">
        <w:rPr>
          <w:b/>
          <w:sz w:val="24"/>
          <w:szCs w:val="24"/>
        </w:rPr>
        <w:t>243 resultaron seleccionados</w:t>
      </w:r>
      <w:r w:rsidRPr="00B17D35">
        <w:rPr>
          <w:sz w:val="24"/>
          <w:szCs w:val="24"/>
        </w:rPr>
        <w:t xml:space="preserve">, a quienes se les abrió una cuenta Comitente a través de </w:t>
      </w:r>
      <w:r w:rsidRPr="00B17D35">
        <w:rPr>
          <w:b/>
          <w:sz w:val="24"/>
          <w:szCs w:val="24"/>
        </w:rPr>
        <w:t>37 ALyCs</w:t>
      </w:r>
      <w:r w:rsidRPr="00B17D35">
        <w:rPr>
          <w:sz w:val="24"/>
          <w:szCs w:val="24"/>
        </w:rPr>
        <w:t xml:space="preserve"> que actuaron como mentores y liquidadores de los NOR en el marco del Programa, con fondos aportados por el Mercado. Estos números incluyen los 66 NOR que está previsto incorporar para la 6ta edición del Programa, lanzada en marzo de 2020 y cuyas operaciones se iniciaron en Julio </w:t>
      </w:r>
      <w:r w:rsidRPr="00B17D35">
        <w:rPr>
          <w:sz w:val="24"/>
          <w:szCs w:val="24"/>
        </w:rPr>
        <w:lastRenderedPageBreak/>
        <w:t>de 2020 con cuentas abiertas en 17 ALyCs. Adicionalmente, desde la quinta edición del Programa, con la incorporación del segmento Agro, existe la posibilidad de que Acopios y Cooperativas de todo el país actúen como mentores de los NOR Agro. De esta manera, desde el Programa NOR V, 3 acopios se sumaron al Programa como Mentores.</w:t>
      </w:r>
    </w:p>
    <w:p w14:paraId="5C730FA1" w14:textId="553C0B40" w:rsidR="00B17D35" w:rsidRPr="00B17D35" w:rsidRDefault="00B17D35" w:rsidP="00D21C89">
      <w:pPr>
        <w:tabs>
          <w:tab w:val="left" w:pos="142"/>
        </w:tabs>
        <w:ind w:left="0" w:hanging="2"/>
        <w:jc w:val="both"/>
        <w:rPr>
          <w:sz w:val="24"/>
          <w:szCs w:val="24"/>
        </w:rPr>
      </w:pPr>
      <w:r w:rsidRPr="00B17D35">
        <w:rPr>
          <w:sz w:val="24"/>
          <w:szCs w:val="24"/>
        </w:rPr>
        <w:t>Otro dato para destacar, es que de los 194 participantes que pasaron por las cinco primeras ediciones, 22 consiguieron trabajo en ALyCs o como Portfolio Managers de FCI. Adicionalmente, la base de postulantes registradas para el Programa, han servido para recomendar perfiles a las búsquedas para cubrir distintas posiciones en compañías vinculadas al ecosistema del mercado de capitales.</w:t>
      </w:r>
    </w:p>
    <w:p w14:paraId="31D0F5DD" w14:textId="57A2642C" w:rsidR="00B17D35" w:rsidRPr="00B17D35" w:rsidRDefault="00B17D35" w:rsidP="00B17D35">
      <w:pPr>
        <w:numPr>
          <w:ilvl w:val="0"/>
          <w:numId w:val="14"/>
        </w:numPr>
        <w:pBdr>
          <w:top w:val="nil"/>
          <w:left w:val="nil"/>
          <w:bottom w:val="nil"/>
          <w:right w:val="nil"/>
          <w:between w:val="nil"/>
        </w:pBdr>
        <w:tabs>
          <w:tab w:val="left" w:pos="142"/>
        </w:tabs>
        <w:suppressAutoHyphens w:val="0"/>
        <w:spacing w:line="240" w:lineRule="auto"/>
        <w:ind w:leftChars="0" w:left="0" w:firstLineChars="0" w:hanging="2"/>
        <w:jc w:val="both"/>
        <w:textDirection w:val="lrTb"/>
        <w:textAlignment w:val="auto"/>
        <w:outlineLvl w:val="9"/>
        <w:rPr>
          <w:color w:val="000000"/>
          <w:sz w:val="24"/>
          <w:szCs w:val="24"/>
        </w:rPr>
      </w:pPr>
      <w:r w:rsidRPr="00B17D35">
        <w:rPr>
          <w:b/>
          <w:color w:val="000000"/>
          <w:sz w:val="24"/>
          <w:szCs w:val="24"/>
        </w:rPr>
        <w:t>Índice CCL</w:t>
      </w:r>
    </w:p>
    <w:p w14:paraId="7A88F22A" w14:textId="7B886C44" w:rsidR="00B17D35" w:rsidRPr="00B17D35" w:rsidRDefault="00B17D35" w:rsidP="00D21C89">
      <w:pPr>
        <w:pBdr>
          <w:top w:val="nil"/>
          <w:left w:val="nil"/>
          <w:bottom w:val="nil"/>
          <w:right w:val="nil"/>
          <w:between w:val="nil"/>
        </w:pBdr>
        <w:tabs>
          <w:tab w:val="left" w:pos="142"/>
        </w:tabs>
        <w:ind w:left="0" w:hanging="2"/>
        <w:jc w:val="both"/>
        <w:rPr>
          <w:b/>
          <w:sz w:val="20"/>
          <w:szCs w:val="20"/>
        </w:rPr>
      </w:pPr>
      <w:r w:rsidRPr="00B17D35">
        <w:rPr>
          <w:color w:val="000000"/>
          <w:sz w:val="24"/>
          <w:szCs w:val="24"/>
        </w:rPr>
        <w:t>En Febrero de 2020 Matba Rofex presentó su índice CCL, un indicador financiero que refleja las paridades cambiarias del Peso argentino en relación al Dólar estadounidense, en base a las cotizaciones efectivas de valores negociables de renta fija y variable. Además del indudable carácter informativo de este índice por la sólida metodología con la cual está calculado, cabe destacar que esta herramienta podría servir como subyacente de un nuevo contrato de futuros o de otro tipo de derivados OTC.</w:t>
      </w:r>
    </w:p>
    <w:p w14:paraId="2BC36994" w14:textId="0FC04C6C" w:rsidR="00B17D35" w:rsidRPr="00B17D35" w:rsidRDefault="00B17D35" w:rsidP="00B17D35">
      <w:pPr>
        <w:numPr>
          <w:ilvl w:val="0"/>
          <w:numId w:val="14"/>
        </w:numPr>
        <w:pBdr>
          <w:top w:val="nil"/>
          <w:left w:val="nil"/>
          <w:bottom w:val="nil"/>
          <w:right w:val="nil"/>
          <w:between w:val="nil"/>
        </w:pBdr>
        <w:tabs>
          <w:tab w:val="left" w:pos="142"/>
        </w:tabs>
        <w:suppressAutoHyphens w:val="0"/>
        <w:spacing w:line="240" w:lineRule="auto"/>
        <w:ind w:leftChars="0" w:left="0" w:firstLineChars="0" w:hanging="2"/>
        <w:jc w:val="both"/>
        <w:textDirection w:val="lrTb"/>
        <w:textAlignment w:val="auto"/>
        <w:outlineLvl w:val="9"/>
        <w:rPr>
          <w:sz w:val="24"/>
          <w:szCs w:val="24"/>
        </w:rPr>
      </w:pPr>
      <w:r w:rsidRPr="00B17D35">
        <w:rPr>
          <w:b/>
          <w:color w:val="000000"/>
          <w:sz w:val="24"/>
          <w:szCs w:val="24"/>
        </w:rPr>
        <w:t>Mercado FCI Matba Rofex</w:t>
      </w:r>
    </w:p>
    <w:p w14:paraId="21500E31" w14:textId="5F408B85" w:rsidR="00B17D35" w:rsidRPr="00B17D35" w:rsidRDefault="00B17D35" w:rsidP="00B17D35">
      <w:pPr>
        <w:tabs>
          <w:tab w:val="left" w:pos="142"/>
        </w:tabs>
        <w:ind w:left="0" w:hanging="2"/>
        <w:jc w:val="both"/>
        <w:rPr>
          <w:sz w:val="24"/>
          <w:szCs w:val="24"/>
        </w:rPr>
      </w:pPr>
      <w:r w:rsidRPr="00B17D35">
        <w:rPr>
          <w:sz w:val="24"/>
          <w:szCs w:val="24"/>
        </w:rPr>
        <w:t>En octubre de 2018 ROFEX y Argentina Clearing, en conformidad con la RG Nro. 748 de la Comisión Nacional de Valores, incorporaron la posibilidad de ofrecimiento de cuotapartes de Fondos Comunes de Inversión Abiertos en el ámbito del Mercado.</w:t>
      </w:r>
    </w:p>
    <w:p w14:paraId="173D26D4" w14:textId="77777777" w:rsidR="00B17D35" w:rsidRPr="00B17D35" w:rsidRDefault="00B17D35" w:rsidP="00B17D35">
      <w:pPr>
        <w:tabs>
          <w:tab w:val="left" w:pos="142"/>
        </w:tabs>
        <w:ind w:left="0" w:hanging="2"/>
        <w:jc w:val="both"/>
        <w:rPr>
          <w:sz w:val="24"/>
          <w:szCs w:val="24"/>
        </w:rPr>
      </w:pPr>
      <w:r w:rsidRPr="00B17D35">
        <w:rPr>
          <w:sz w:val="24"/>
          <w:szCs w:val="24"/>
        </w:rPr>
        <w:t>Al cierre de este ejercicio se han dado de alta:</w:t>
      </w:r>
    </w:p>
    <w:p w14:paraId="20073FE6" w14:textId="77777777" w:rsidR="00B17D35" w:rsidRPr="00B17D35" w:rsidRDefault="00B17D35" w:rsidP="00B17D35">
      <w:pPr>
        <w:numPr>
          <w:ilvl w:val="0"/>
          <w:numId w:val="14"/>
        </w:numPr>
        <w:pBdr>
          <w:top w:val="nil"/>
          <w:left w:val="nil"/>
          <w:bottom w:val="nil"/>
          <w:right w:val="nil"/>
          <w:between w:val="nil"/>
        </w:pBdr>
        <w:tabs>
          <w:tab w:val="left" w:pos="142"/>
        </w:tabs>
        <w:suppressAutoHyphens w:val="0"/>
        <w:spacing w:line="240" w:lineRule="auto"/>
        <w:ind w:leftChars="0" w:left="0" w:firstLineChars="0" w:hanging="2"/>
        <w:jc w:val="both"/>
        <w:textDirection w:val="lrTb"/>
        <w:textAlignment w:val="auto"/>
        <w:outlineLvl w:val="9"/>
        <w:rPr>
          <w:color w:val="000000"/>
          <w:sz w:val="24"/>
          <w:szCs w:val="24"/>
        </w:rPr>
      </w:pPr>
      <w:r w:rsidRPr="00B17D35">
        <w:rPr>
          <w:color w:val="000000"/>
          <w:sz w:val="24"/>
          <w:szCs w:val="24"/>
        </w:rPr>
        <w:t>52 ACDIs (Agentes Colocadores y Distribuidores Integrales)</w:t>
      </w:r>
    </w:p>
    <w:p w14:paraId="512B2CD3" w14:textId="77777777" w:rsidR="00B17D35" w:rsidRPr="00B17D35" w:rsidRDefault="00B17D35" w:rsidP="00B17D35">
      <w:pPr>
        <w:numPr>
          <w:ilvl w:val="0"/>
          <w:numId w:val="14"/>
        </w:numPr>
        <w:pBdr>
          <w:top w:val="nil"/>
          <w:left w:val="nil"/>
          <w:bottom w:val="nil"/>
          <w:right w:val="nil"/>
          <w:between w:val="nil"/>
        </w:pBdr>
        <w:tabs>
          <w:tab w:val="left" w:pos="142"/>
        </w:tabs>
        <w:suppressAutoHyphens w:val="0"/>
        <w:spacing w:line="240" w:lineRule="auto"/>
        <w:ind w:leftChars="0" w:left="0" w:firstLineChars="0" w:hanging="2"/>
        <w:jc w:val="both"/>
        <w:textDirection w:val="lrTb"/>
        <w:textAlignment w:val="auto"/>
        <w:outlineLvl w:val="9"/>
        <w:rPr>
          <w:color w:val="000000"/>
          <w:sz w:val="24"/>
          <w:szCs w:val="24"/>
        </w:rPr>
      </w:pPr>
      <w:r w:rsidRPr="00B17D35">
        <w:rPr>
          <w:color w:val="000000"/>
          <w:sz w:val="24"/>
          <w:szCs w:val="24"/>
        </w:rPr>
        <w:t>14 Sociedades Gerente</w:t>
      </w:r>
    </w:p>
    <w:p w14:paraId="05027A39" w14:textId="38621BBF" w:rsidR="00B17D35" w:rsidRPr="00B17D35" w:rsidRDefault="00B17D35" w:rsidP="00B17D35">
      <w:pPr>
        <w:numPr>
          <w:ilvl w:val="0"/>
          <w:numId w:val="14"/>
        </w:numPr>
        <w:pBdr>
          <w:top w:val="nil"/>
          <w:left w:val="nil"/>
          <w:bottom w:val="nil"/>
          <w:right w:val="nil"/>
          <w:between w:val="nil"/>
        </w:pBdr>
        <w:tabs>
          <w:tab w:val="left" w:pos="142"/>
        </w:tabs>
        <w:suppressAutoHyphens w:val="0"/>
        <w:spacing w:line="240" w:lineRule="auto"/>
        <w:ind w:leftChars="0" w:left="0" w:firstLineChars="0" w:hanging="2"/>
        <w:jc w:val="both"/>
        <w:textDirection w:val="lrTb"/>
        <w:textAlignment w:val="auto"/>
        <w:outlineLvl w:val="9"/>
        <w:rPr>
          <w:sz w:val="24"/>
          <w:szCs w:val="24"/>
        </w:rPr>
      </w:pPr>
      <w:r w:rsidRPr="00B17D35">
        <w:rPr>
          <w:color w:val="000000"/>
          <w:sz w:val="24"/>
          <w:szCs w:val="24"/>
        </w:rPr>
        <w:t>7 Sociedades Depositarias</w:t>
      </w:r>
    </w:p>
    <w:p w14:paraId="5C74E825" w14:textId="2AD77196" w:rsidR="00B17D35" w:rsidRPr="00B17D35" w:rsidRDefault="00B17D35" w:rsidP="00B17D35">
      <w:pPr>
        <w:tabs>
          <w:tab w:val="left" w:pos="142"/>
        </w:tabs>
        <w:ind w:left="0" w:hanging="2"/>
        <w:jc w:val="both"/>
        <w:rPr>
          <w:sz w:val="20"/>
          <w:szCs w:val="20"/>
        </w:rPr>
      </w:pPr>
      <w:r w:rsidRPr="00B17D35">
        <w:rPr>
          <w:sz w:val="24"/>
          <w:szCs w:val="24"/>
        </w:rPr>
        <w:t>Por otra parte, también forma parte de la oferta de servicios del Mercado de FCI la registración de cuotapartes de FCI colocadas por ACDIs. Este servicio en particular, que es brindado por Argentina Clearing y que es soportado en la Sociedad Gerente y ACDI por tecnología brindada por Sistemas Esco, ha sostenido su crecimiento tanto en cantidad de cuentas como en monto de los fondos invertidos. Esto se debe a la incorporación de la posibilidad de invertir en FCI por parte de billeteras digitales, como por ejemplo Mercado Pago y Ualá. A la fecha de la presente Memoria se han abierto más de 2.5 millones de cuentas de nuevos inversores mediante este canal.</w:t>
      </w:r>
    </w:p>
    <w:p w14:paraId="06336C79" w14:textId="77777777" w:rsidR="00D21C89" w:rsidRDefault="00B17D35" w:rsidP="00D21C89">
      <w:pPr>
        <w:numPr>
          <w:ilvl w:val="0"/>
          <w:numId w:val="14"/>
        </w:numPr>
        <w:pBdr>
          <w:top w:val="nil"/>
          <w:left w:val="nil"/>
          <w:bottom w:val="nil"/>
          <w:right w:val="nil"/>
          <w:between w:val="nil"/>
        </w:pBdr>
        <w:tabs>
          <w:tab w:val="left" w:pos="142"/>
        </w:tabs>
        <w:suppressAutoHyphens w:val="0"/>
        <w:spacing w:line="240" w:lineRule="auto"/>
        <w:ind w:leftChars="0" w:left="0" w:firstLineChars="0" w:firstLine="0"/>
        <w:jc w:val="both"/>
        <w:textDirection w:val="lrTb"/>
        <w:textAlignment w:val="auto"/>
        <w:outlineLvl w:val="9"/>
        <w:rPr>
          <w:sz w:val="24"/>
          <w:szCs w:val="24"/>
        </w:rPr>
      </w:pPr>
      <w:r w:rsidRPr="00D21C89">
        <w:rPr>
          <w:b/>
          <w:color w:val="000000"/>
          <w:sz w:val="24"/>
          <w:szCs w:val="24"/>
        </w:rPr>
        <w:t>Sustentabilidad</w:t>
      </w:r>
    </w:p>
    <w:p w14:paraId="2D4FF0A2" w14:textId="77777777" w:rsidR="00D21C89" w:rsidRDefault="00B17D35" w:rsidP="00D21C89">
      <w:pPr>
        <w:pBdr>
          <w:top w:val="nil"/>
          <w:left w:val="nil"/>
          <w:bottom w:val="nil"/>
          <w:right w:val="nil"/>
          <w:between w:val="nil"/>
        </w:pBdr>
        <w:tabs>
          <w:tab w:val="left" w:pos="142"/>
        </w:tabs>
        <w:suppressAutoHyphens w:val="0"/>
        <w:spacing w:line="240" w:lineRule="auto"/>
        <w:ind w:leftChars="0" w:left="0" w:firstLineChars="0" w:firstLine="0"/>
        <w:jc w:val="both"/>
        <w:textDirection w:val="lrTb"/>
        <w:textAlignment w:val="auto"/>
        <w:outlineLvl w:val="9"/>
        <w:rPr>
          <w:sz w:val="24"/>
          <w:szCs w:val="24"/>
        </w:rPr>
      </w:pPr>
      <w:r w:rsidRPr="00D21C89">
        <w:rPr>
          <w:sz w:val="24"/>
          <w:szCs w:val="24"/>
        </w:rPr>
        <w:t>Dentro de las iniciativas del ejercicio, Matba Rofex presentó su Primer Reporte de Sustentabilidad como mercado integrado, correspondiente a la actividad del año 2019. </w:t>
      </w:r>
      <w:r w:rsidRPr="00B17D35">
        <w:rPr>
          <w:sz w:val="24"/>
          <w:szCs w:val="24"/>
        </w:rPr>
        <w:t>Convencidos del potencial del Mercado de Capitales para contribuir al crecimiento y al desarrollo sostenible, Matba Rofex se propuso integrar la visión de sustentabilidad en el planeamiento estratégico del Grupo, reflejando este tema en la gestión de riesgos y de gobierno corporativo, promoviendo el compromiso de los colaboradores y directores con el desarrollo sostenible. </w:t>
      </w:r>
    </w:p>
    <w:p w14:paraId="7A9B3C6E" w14:textId="799A3E2B" w:rsidR="00B17D35" w:rsidRPr="00B17D35" w:rsidRDefault="00B17D35" w:rsidP="00D21C89">
      <w:pPr>
        <w:pBdr>
          <w:top w:val="nil"/>
          <w:left w:val="nil"/>
          <w:bottom w:val="nil"/>
          <w:right w:val="nil"/>
          <w:between w:val="nil"/>
        </w:pBdr>
        <w:tabs>
          <w:tab w:val="left" w:pos="142"/>
        </w:tabs>
        <w:suppressAutoHyphens w:val="0"/>
        <w:spacing w:line="240" w:lineRule="auto"/>
        <w:ind w:leftChars="0" w:left="0" w:firstLineChars="0" w:firstLine="0"/>
        <w:jc w:val="both"/>
        <w:textDirection w:val="lrTb"/>
        <w:textAlignment w:val="auto"/>
        <w:outlineLvl w:val="9"/>
        <w:rPr>
          <w:sz w:val="24"/>
          <w:szCs w:val="24"/>
        </w:rPr>
      </w:pPr>
      <w:r w:rsidRPr="00B17D35">
        <w:rPr>
          <w:sz w:val="24"/>
          <w:szCs w:val="24"/>
        </w:rPr>
        <w:t xml:space="preserve">Este Reporte se encuentra alineado a las mejores prácticas internacionales como los Estándares de la Global Reporting Initiative (GRI) y los indicadores de la Sustainable </w:t>
      </w:r>
      <w:r w:rsidRPr="00B17D35">
        <w:rPr>
          <w:sz w:val="24"/>
          <w:szCs w:val="24"/>
        </w:rPr>
        <w:lastRenderedPageBreak/>
        <w:t xml:space="preserve">Accounting Standards Board (SASB). El Reporte de Sustentabilidad se encuentra disponible en el siguiente link: </w:t>
      </w:r>
    </w:p>
    <w:p w14:paraId="74ECCCA1" w14:textId="3801F2C2" w:rsidR="00B17D35" w:rsidRPr="00B17D35" w:rsidRDefault="00B17D35" w:rsidP="00B17D35">
      <w:pPr>
        <w:tabs>
          <w:tab w:val="left" w:pos="142"/>
        </w:tabs>
        <w:ind w:left="0" w:hanging="2"/>
        <w:jc w:val="both"/>
        <w:rPr>
          <w:sz w:val="24"/>
          <w:szCs w:val="24"/>
        </w:rPr>
      </w:pPr>
      <w:hyperlink r:id="rId8">
        <w:r w:rsidRPr="00B17D35">
          <w:rPr>
            <w:color w:val="0000FF"/>
            <w:u w:val="single"/>
          </w:rPr>
          <w:t>https://www.matbarofex.com.ar/documentos/prensa/reporte-de-sustentabilidad-2019</w:t>
        </w:r>
      </w:hyperlink>
      <w:r w:rsidRPr="00B17D35">
        <w:t xml:space="preserve"> </w:t>
      </w:r>
    </w:p>
    <w:p w14:paraId="4EBB4652" w14:textId="3DCAC6E1" w:rsidR="00B17D35" w:rsidRPr="00B17D35" w:rsidRDefault="00B17D35" w:rsidP="00B17D35">
      <w:pPr>
        <w:tabs>
          <w:tab w:val="left" w:pos="142"/>
        </w:tabs>
        <w:ind w:left="0" w:hanging="2"/>
        <w:jc w:val="both"/>
        <w:rPr>
          <w:sz w:val="24"/>
          <w:szCs w:val="24"/>
        </w:rPr>
      </w:pPr>
      <w:r w:rsidRPr="00B17D35">
        <w:rPr>
          <w:sz w:val="24"/>
          <w:szCs w:val="24"/>
        </w:rPr>
        <w:t>Dado que el reporte amplía notablemente la información acerca de las distintas políticas y el perfil corporativo de Matba Rofex, recomendamos a todos los accionistas su lectura.</w:t>
      </w:r>
    </w:p>
    <w:p w14:paraId="7D363363" w14:textId="43171829" w:rsidR="00B17D35" w:rsidRPr="00B17D35" w:rsidRDefault="00B17D35" w:rsidP="00B17D35">
      <w:pPr>
        <w:tabs>
          <w:tab w:val="left" w:pos="142"/>
        </w:tabs>
        <w:ind w:left="0" w:hanging="2"/>
        <w:jc w:val="both"/>
        <w:rPr>
          <w:sz w:val="24"/>
          <w:szCs w:val="24"/>
        </w:rPr>
      </w:pPr>
      <w:r w:rsidRPr="00B17D35">
        <w:rPr>
          <w:sz w:val="24"/>
          <w:szCs w:val="24"/>
        </w:rPr>
        <w:t>Adicionalmente, la entidad se ha incorporado a la SSE (Sustainable Stock Exchange Initiative), en calidad de miembro observador. La iniciativa SSE es un programa de colaboración de las Naciones Unidas, cuya misión es proporcionar una plataforma global para explorar de qué manera las Bolsas pueden mejorar el desempeño en temas de ESG (medio ambiente, gobierno social y corporativo) y fomentar la inversión sostenible. Sus miembros asociados son Bolsas que listan acciones, mientras que los miembros observadores incluyen Bolsas de commodities y futuros, como el Chicago Mercantile Exchange, Chicago Board Options Exchange y la Bolsa de Comercio de Rosario.</w:t>
      </w:r>
    </w:p>
    <w:p w14:paraId="235E6556" w14:textId="77777777" w:rsidR="00B17D35" w:rsidRPr="00B17D35" w:rsidRDefault="00B17D35" w:rsidP="00B17D35">
      <w:pPr>
        <w:numPr>
          <w:ilvl w:val="0"/>
          <w:numId w:val="14"/>
        </w:numPr>
        <w:tabs>
          <w:tab w:val="left" w:pos="142"/>
        </w:tabs>
        <w:suppressAutoHyphens w:val="0"/>
        <w:spacing w:line="240" w:lineRule="auto"/>
        <w:ind w:leftChars="0" w:left="0" w:firstLineChars="0" w:hanging="2"/>
        <w:jc w:val="both"/>
        <w:textDirection w:val="lrTb"/>
        <w:textAlignment w:val="auto"/>
        <w:outlineLvl w:val="9"/>
        <w:rPr>
          <w:b/>
          <w:color w:val="000000"/>
        </w:rPr>
      </w:pPr>
      <w:r w:rsidRPr="00B17D35">
        <w:rPr>
          <w:b/>
          <w:sz w:val="24"/>
          <w:szCs w:val="24"/>
        </w:rPr>
        <w:t>Gobierno Societario</w:t>
      </w:r>
    </w:p>
    <w:p w14:paraId="4C197EB4" w14:textId="273C8DBE" w:rsidR="00B17D35" w:rsidRPr="00B17D35" w:rsidRDefault="00B17D35" w:rsidP="00B17D35">
      <w:pPr>
        <w:tabs>
          <w:tab w:val="left" w:pos="142"/>
        </w:tabs>
        <w:ind w:left="0" w:hanging="2"/>
        <w:jc w:val="both"/>
        <w:rPr>
          <w:sz w:val="24"/>
          <w:szCs w:val="24"/>
        </w:rPr>
      </w:pPr>
      <w:r w:rsidRPr="00B17D35">
        <w:rPr>
          <w:sz w:val="24"/>
          <w:szCs w:val="24"/>
        </w:rPr>
        <w:t xml:space="preserve">La CNV mediante la RG N° 797/19 actualizó el Código de Gobierno Societario que deben presentar las sociedades que se encuentran autorizadas a negociar sus valores en oferta pública con el objeto de fortalecer a este instrumento como protección de los derechos de los inversores, acreedores y público en general incentivando así una cultura de buena gobernanza. </w:t>
      </w:r>
    </w:p>
    <w:p w14:paraId="76A9D570" w14:textId="591669FE" w:rsidR="00B17D35" w:rsidRPr="00B17D35" w:rsidRDefault="00B17D35" w:rsidP="00B17D35">
      <w:pPr>
        <w:tabs>
          <w:tab w:val="left" w:pos="142"/>
        </w:tabs>
        <w:ind w:left="0" w:hanging="2"/>
        <w:jc w:val="both"/>
        <w:rPr>
          <w:sz w:val="24"/>
          <w:szCs w:val="24"/>
        </w:rPr>
      </w:pPr>
      <w:r w:rsidRPr="00B17D35">
        <w:rPr>
          <w:sz w:val="24"/>
          <w:szCs w:val="24"/>
        </w:rPr>
        <w:t xml:space="preserve">Asimismo, durante este ejercicio y en vistas a la adecuación de las mejores prácticas nacionales e internacionales en materia corporativa sugeridos por la Organización para la Cooperación y el Desarrollo Económicos (OCDE), la International Organization of Securities Commissions (IOSCO) y la CNV, y con la convicción que las herramientas de buen Gobierno Societario perfeccionan la gestión y dirección de las sociedades, aseguran la protección de los intereses de los accionistas y demás grupos de interés, el Directorio de Matba Rofex aprobó un Código de Gobierno Societario y otros documentos afines al mismo; Reglamento de Directorio, Código de Ética y Conducta, Política sobre Conflicto de Interés, Política de Transacciones para Partes Relacionadas, Política de Distribución de Dividendos, Política de Honorarios de las Autoridades y la Política de Gestión de Riesgo Empresarial. Todos estos documentos están disponibles para el público en general en la pestaña “Gobierno Societario” de la página web institucional: </w:t>
      </w:r>
      <w:hyperlink r:id="rId9">
        <w:r w:rsidRPr="00B17D35">
          <w:rPr>
            <w:color w:val="0000FF"/>
            <w:u w:val="single"/>
          </w:rPr>
          <w:t>https://www.matbarofex.com.ar/sobre-nosotros/gobierno-societario</w:t>
        </w:r>
      </w:hyperlink>
      <w:r w:rsidRPr="00B17D35">
        <w:t xml:space="preserve"> .</w:t>
      </w:r>
    </w:p>
    <w:p w14:paraId="58164F56" w14:textId="4BED2969" w:rsidR="00B17D35" w:rsidRPr="00B17D35" w:rsidRDefault="00B17D35" w:rsidP="00B17D35">
      <w:pPr>
        <w:shd w:val="clear" w:color="auto" w:fill="FFFFFF"/>
        <w:ind w:left="0" w:hanging="2"/>
        <w:jc w:val="both"/>
        <w:rPr>
          <w:sz w:val="24"/>
          <w:szCs w:val="24"/>
        </w:rPr>
      </w:pPr>
      <w:r w:rsidRPr="00B17D35">
        <w:rPr>
          <w:sz w:val="24"/>
          <w:szCs w:val="24"/>
        </w:rPr>
        <w:t xml:space="preserve">Cabe destacar que la organización y la toma de decisiones de la Sociedad la realiza el Directorio, de acuerdo a lo establecido en la Ley General de Sociedades y el Estatuto Social. Adicionalmente, en el Reglamento de Directorio se establecen el procedimiento y los principios rectores para la actuación y funcionamiento del Directorio así como también las responsabilidades, derechos y obligaciones de los miembros del órgano.  Por otra parte, el control interno de la sociedad se encuentra articulado a través de un sistema de arquitectura de control que tiene como finalidad evaluar y monitorear la efectividad de los controles internos y externos para dar cumplimiento a los objetivos estratégicos fijados por el Directorio. </w:t>
      </w:r>
    </w:p>
    <w:p w14:paraId="43A8460A" w14:textId="6806A75F" w:rsidR="00B17D35" w:rsidRPr="00B17D35" w:rsidRDefault="00B17D35" w:rsidP="00B17D35">
      <w:pPr>
        <w:tabs>
          <w:tab w:val="left" w:pos="142"/>
        </w:tabs>
        <w:ind w:left="0" w:hanging="2"/>
        <w:jc w:val="both"/>
        <w:rPr>
          <w:sz w:val="24"/>
          <w:szCs w:val="24"/>
        </w:rPr>
      </w:pPr>
      <w:r w:rsidRPr="00B17D35">
        <w:rPr>
          <w:sz w:val="24"/>
          <w:szCs w:val="24"/>
        </w:rPr>
        <w:t xml:space="preserve">Adicionalmente, se considera apropiado someter a consideración de la Asamblea de Accionistas la aprobación de un </w:t>
      </w:r>
      <w:r w:rsidRPr="00B17D35">
        <w:rPr>
          <w:b/>
          <w:sz w:val="24"/>
          <w:szCs w:val="24"/>
        </w:rPr>
        <w:t xml:space="preserve">Reglamento de Asambleas </w:t>
      </w:r>
      <w:r w:rsidRPr="00B17D35">
        <w:rPr>
          <w:sz w:val="24"/>
          <w:szCs w:val="24"/>
        </w:rPr>
        <w:t xml:space="preserve">aplicable a las mismas como </w:t>
      </w:r>
      <w:r w:rsidRPr="00B17D35">
        <w:rPr>
          <w:sz w:val="24"/>
          <w:szCs w:val="24"/>
        </w:rPr>
        <w:lastRenderedPageBreak/>
        <w:t>órgano colegiado, a los accionistas individualmente considerados, autoridades, gerentes y cualquier otro actor en cuanto tuviere relación con las Asambleas. Dicho Reglamento se encuentra adecuado a Ley General de Sociedades N° 19.550 y mod.; la Ley de Mercado de Capitales N° 26.831 y mod.; las Normas de la Comisión Nacional de Valores, en cuanto resulten de aplicación; la Normativa de la Inspección General de Personas Jurídicas de la Provincia de Santa Fe; la Normativa del Registro Público de Rosario, Provincia de Santa Fe y el Estatuto Social. El mismo puede consultarse a través del sitio web institucional.</w:t>
      </w:r>
    </w:p>
    <w:p w14:paraId="235895A7" w14:textId="33466F89" w:rsidR="00B17D35" w:rsidRPr="00B17D35" w:rsidRDefault="00B17D35" w:rsidP="00B17D35">
      <w:pPr>
        <w:numPr>
          <w:ilvl w:val="0"/>
          <w:numId w:val="14"/>
        </w:numPr>
        <w:pBdr>
          <w:top w:val="nil"/>
          <w:left w:val="nil"/>
          <w:bottom w:val="nil"/>
          <w:right w:val="nil"/>
          <w:between w:val="nil"/>
        </w:pBdr>
        <w:tabs>
          <w:tab w:val="left" w:pos="142"/>
        </w:tabs>
        <w:suppressAutoHyphens w:val="0"/>
        <w:spacing w:line="240" w:lineRule="auto"/>
        <w:ind w:leftChars="0" w:left="0" w:firstLineChars="0" w:hanging="2"/>
        <w:jc w:val="both"/>
        <w:textDirection w:val="lrTb"/>
        <w:textAlignment w:val="auto"/>
        <w:outlineLvl w:val="9"/>
        <w:rPr>
          <w:sz w:val="24"/>
          <w:szCs w:val="24"/>
        </w:rPr>
      </w:pPr>
      <w:r w:rsidRPr="00B17D35">
        <w:rPr>
          <w:b/>
          <w:color w:val="000000"/>
          <w:sz w:val="24"/>
          <w:szCs w:val="24"/>
        </w:rPr>
        <w:t>Matba Rofex School</w:t>
      </w:r>
    </w:p>
    <w:p w14:paraId="6391E4DF" w14:textId="3031B536" w:rsidR="00B17D35" w:rsidRPr="00B17D35" w:rsidRDefault="00B17D35" w:rsidP="00B17D35">
      <w:pPr>
        <w:tabs>
          <w:tab w:val="left" w:pos="142"/>
        </w:tabs>
        <w:ind w:left="0" w:hanging="2"/>
        <w:jc w:val="both"/>
        <w:rPr>
          <w:sz w:val="24"/>
          <w:szCs w:val="24"/>
        </w:rPr>
      </w:pPr>
      <w:r w:rsidRPr="00B17D35">
        <w:rPr>
          <w:sz w:val="24"/>
          <w:szCs w:val="24"/>
        </w:rPr>
        <w:t xml:space="preserve">Luego de la fusión de ambas entidades, ROFEX Trading School y el área de capacitación de la Fundación MATba, se unificaron para conformar </w:t>
      </w:r>
      <w:r w:rsidRPr="00B17D35">
        <w:rPr>
          <w:b/>
          <w:sz w:val="24"/>
          <w:szCs w:val="24"/>
        </w:rPr>
        <w:t>Matba Rofex School</w:t>
      </w:r>
      <w:r w:rsidRPr="00B17D35">
        <w:rPr>
          <w:sz w:val="24"/>
          <w:szCs w:val="24"/>
        </w:rPr>
        <w:t>, convencidos de que formando se puede transformar al mercado y a sus participantes. De igual manera, se impulsa la educación financiera para que cada vez más personas puedan acceder al mercado y contar con sus beneficios.</w:t>
      </w:r>
    </w:p>
    <w:p w14:paraId="57CBF6AD" w14:textId="7E01954E" w:rsidR="00B17D35" w:rsidRPr="00B17D35" w:rsidRDefault="00B17D35" w:rsidP="00B17D35">
      <w:pPr>
        <w:tabs>
          <w:tab w:val="left" w:pos="142"/>
        </w:tabs>
        <w:ind w:left="0" w:hanging="2"/>
        <w:jc w:val="both"/>
        <w:rPr>
          <w:sz w:val="24"/>
          <w:szCs w:val="24"/>
        </w:rPr>
      </w:pPr>
      <w:r w:rsidRPr="00B17D35">
        <w:rPr>
          <w:sz w:val="24"/>
          <w:szCs w:val="24"/>
        </w:rPr>
        <w:t>La fusión potenció el posicionamiento del área a nivel nacional, multiplicando la trasmisión de conocimiento al dirigirse a públicos diferentes. La Fundación MATba tenía una fuerte presencia en el interior del país, acercando los instrumentos a todos los participantes de la cadena agroindustrial, como así también en varias universidades de Argentina. ROFEX Trading School, por su parte, se consolidó en la ciudad de Buenos Aires educando en todas las temáticas que hacen a los mercados de capitales.</w:t>
      </w:r>
    </w:p>
    <w:p w14:paraId="4A37A505" w14:textId="1DC9D67C" w:rsidR="00B17D35" w:rsidRPr="00B17D35" w:rsidRDefault="00B17D35" w:rsidP="00B17D35">
      <w:pPr>
        <w:tabs>
          <w:tab w:val="left" w:pos="142"/>
        </w:tabs>
        <w:ind w:left="0" w:hanging="2"/>
        <w:jc w:val="both"/>
        <w:rPr>
          <w:sz w:val="24"/>
          <w:szCs w:val="24"/>
        </w:rPr>
      </w:pPr>
      <w:r w:rsidRPr="00B17D35">
        <w:rPr>
          <w:sz w:val="24"/>
          <w:szCs w:val="24"/>
        </w:rPr>
        <w:t>Hasta febrero de 2020 la mayoría de las actividades se efectuaron en formato presencial y a partir de marzo, debido a la pandemia mundial, se comenzaron a ofrecer todas las capacitaciones planificadas para el resto del ejercicio, en modalidad on line.</w:t>
      </w:r>
    </w:p>
    <w:p w14:paraId="68D56622" w14:textId="63362458" w:rsidR="00B17D35" w:rsidRPr="00B17D35" w:rsidRDefault="00B17D35" w:rsidP="00B17D35">
      <w:pPr>
        <w:tabs>
          <w:tab w:val="left" w:pos="142"/>
        </w:tabs>
        <w:ind w:left="0" w:hanging="2"/>
        <w:jc w:val="both"/>
        <w:rPr>
          <w:sz w:val="24"/>
          <w:szCs w:val="24"/>
        </w:rPr>
      </w:pPr>
      <w:r w:rsidRPr="00B17D35">
        <w:rPr>
          <w:sz w:val="24"/>
          <w:szCs w:val="24"/>
        </w:rPr>
        <w:t>Durante el ejercicio se realizaron distintas actividades de capacitación: 27 charlas de interés y webinars educativos; 71 cursos en modalidad presencial, on line y on demand; 33 capacitaciones en otras instituciones, entre las que se encuentran universidades, bolsas de Cereales y Asociaciones vinculadas a la agroindustria; y 15 cursos in company. Fueron partícipes de todas estas instancias un total de 4.690 asistentes.</w:t>
      </w:r>
    </w:p>
    <w:p w14:paraId="1340085E" w14:textId="624FD67B" w:rsidR="00B17D35" w:rsidRPr="00B17D35" w:rsidRDefault="00B17D35" w:rsidP="00D21C89">
      <w:pPr>
        <w:tabs>
          <w:tab w:val="left" w:pos="142"/>
        </w:tabs>
        <w:ind w:left="0" w:hanging="2"/>
        <w:jc w:val="both"/>
      </w:pPr>
      <w:r w:rsidRPr="00B17D35">
        <w:rPr>
          <w:sz w:val="24"/>
          <w:szCs w:val="24"/>
        </w:rPr>
        <w:t>Si bien la adaptación de todos los programas a la situación generada por el COVID-19, pasando a la modalidad on-line fue muy satisfactoria, al cierre del ejercicio el equipo de Matba Rofex School se encuentra analizando las nuevas opciones surgidas a partir de esta nueva realidad, que probablemente sean potenciadoras de las actividades de formación, educación y difusión del mercado de capitales y sus instrumentos.</w:t>
      </w:r>
    </w:p>
    <w:p w14:paraId="4BB2B877" w14:textId="2BE406E6" w:rsidR="00B17D35" w:rsidRPr="00B17D35" w:rsidRDefault="00B17D35" w:rsidP="00B17D35">
      <w:pPr>
        <w:spacing w:before="120"/>
        <w:ind w:left="0" w:hanging="2"/>
        <w:jc w:val="both"/>
        <w:rPr>
          <w:rFonts w:ascii="Arial" w:eastAsia="Arial" w:hAnsi="Arial" w:cs="Arial"/>
          <w:b/>
          <w:sz w:val="20"/>
          <w:szCs w:val="20"/>
        </w:rPr>
      </w:pPr>
      <w:r w:rsidRPr="00B17D35">
        <w:rPr>
          <w:rFonts w:ascii="Arial" w:eastAsia="Arial" w:hAnsi="Arial" w:cs="Arial"/>
          <w:b/>
          <w:color w:val="000000"/>
          <w:sz w:val="20"/>
          <w:szCs w:val="20"/>
        </w:rPr>
        <w:t xml:space="preserve">DATOS PATRIMONIALES, </w:t>
      </w:r>
      <w:r w:rsidRPr="00B17D35">
        <w:rPr>
          <w:rFonts w:ascii="Arial" w:eastAsia="Arial" w:hAnsi="Arial" w:cs="Arial"/>
          <w:b/>
          <w:sz w:val="20"/>
          <w:szCs w:val="20"/>
        </w:rPr>
        <w:t>ECONÓMICOS</w:t>
      </w:r>
      <w:r w:rsidRPr="00B17D35">
        <w:rPr>
          <w:rFonts w:ascii="Arial" w:eastAsia="Arial" w:hAnsi="Arial" w:cs="Arial"/>
          <w:b/>
          <w:color w:val="000000"/>
          <w:sz w:val="20"/>
          <w:szCs w:val="20"/>
        </w:rPr>
        <w:t xml:space="preserve"> Y </w:t>
      </w:r>
      <w:r w:rsidRPr="00B17D35">
        <w:rPr>
          <w:rFonts w:ascii="Arial" w:eastAsia="Arial" w:hAnsi="Arial" w:cs="Arial"/>
          <w:b/>
          <w:sz w:val="20"/>
          <w:szCs w:val="20"/>
        </w:rPr>
        <w:t>ESTADÍSTICOS</w:t>
      </w:r>
    </w:p>
    <w:p w14:paraId="2D1D066B" w14:textId="3976B539" w:rsidR="00B17D35" w:rsidRPr="00B17D35" w:rsidRDefault="00B17D35" w:rsidP="00B17D35">
      <w:pPr>
        <w:numPr>
          <w:ilvl w:val="0"/>
          <w:numId w:val="14"/>
        </w:numPr>
        <w:pBdr>
          <w:top w:val="nil"/>
          <w:left w:val="nil"/>
          <w:bottom w:val="nil"/>
          <w:right w:val="nil"/>
          <w:between w:val="nil"/>
        </w:pBdr>
        <w:tabs>
          <w:tab w:val="left" w:pos="142"/>
        </w:tabs>
        <w:suppressAutoHyphens w:val="0"/>
        <w:spacing w:line="240" w:lineRule="auto"/>
        <w:ind w:leftChars="0" w:left="0" w:firstLineChars="0" w:hanging="2"/>
        <w:jc w:val="both"/>
        <w:textDirection w:val="lrTb"/>
        <w:textAlignment w:val="auto"/>
        <w:outlineLvl w:val="9"/>
        <w:rPr>
          <w:b/>
          <w:sz w:val="24"/>
          <w:szCs w:val="24"/>
        </w:rPr>
      </w:pPr>
      <w:r w:rsidRPr="00B17D35">
        <w:rPr>
          <w:b/>
          <w:sz w:val="24"/>
          <w:szCs w:val="24"/>
        </w:rPr>
        <w:t>Situación patrimonial, resultados y principales variaciones.</w:t>
      </w:r>
    </w:p>
    <w:p w14:paraId="4D8C0492" w14:textId="77777777" w:rsidR="00B17D35" w:rsidRPr="00B17D35" w:rsidRDefault="00B17D35" w:rsidP="00B17D35">
      <w:pPr>
        <w:tabs>
          <w:tab w:val="left" w:pos="142"/>
        </w:tabs>
        <w:ind w:left="0" w:hanging="2"/>
        <w:jc w:val="both"/>
        <w:rPr>
          <w:sz w:val="24"/>
          <w:szCs w:val="24"/>
        </w:rPr>
      </w:pPr>
      <w:r w:rsidRPr="00B17D35">
        <w:rPr>
          <w:sz w:val="24"/>
          <w:szCs w:val="24"/>
        </w:rPr>
        <w:t xml:space="preserve">Los presentes Estados Financieros corresponden al ejercicio finalizado el 30 de junio de 2020. La fusión entre MATba y ROFEX se reconoce como una adquisición inversa, siendo MATba la adquirente legal, y ROFEX la adquirente contable de acuerdo a lo establecido en la NIIF 3, Normas Internacionales de Información Financiera. En virtud de que ROFEX escindió parte de su patrimonio al 31 de julio de 2019, para fusionarse con MATba en la fecha efectiva de reorganización (1° de agosto de 2019), los presentes Estados Financieros no cuentan con la información comparativa para el estado de situación financiera al 30 de junio de 2020, estado de resultado del ejercicio y del otro resultado integral al 30 de junio </w:t>
      </w:r>
      <w:r w:rsidRPr="00B17D35">
        <w:rPr>
          <w:sz w:val="24"/>
          <w:szCs w:val="24"/>
        </w:rPr>
        <w:lastRenderedPageBreak/>
        <w:t>de 2020, de cambio en el patrimonio neto y de flujo de efectivo al 30 de junio de 2020, por no contarse con la información correspondiente.</w:t>
      </w:r>
    </w:p>
    <w:p w14:paraId="5E5F077C" w14:textId="1A132194" w:rsidR="00B17D35" w:rsidRPr="00B17D35" w:rsidRDefault="00B17D35" w:rsidP="00B17D35">
      <w:pPr>
        <w:tabs>
          <w:tab w:val="left" w:pos="142"/>
        </w:tabs>
        <w:ind w:left="0" w:hanging="2"/>
        <w:jc w:val="both"/>
        <w:rPr>
          <w:b/>
          <w:sz w:val="24"/>
          <w:szCs w:val="24"/>
        </w:rPr>
      </w:pPr>
      <w:r w:rsidRPr="00B17D35">
        <w:rPr>
          <w:sz w:val="24"/>
          <w:szCs w:val="24"/>
        </w:rPr>
        <w:t>Por lo mencionado anteriormente, no resulta posible detallar variaciones sino que sólo expondremos las principales cifras surgidas de los Estados Financieros de MATba ROFEX individual al 30 de junio de 2020.</w:t>
      </w:r>
    </w:p>
    <w:p w14:paraId="454ABEBA" w14:textId="65E973B4" w:rsidR="00B17D35" w:rsidRPr="00B17D35" w:rsidRDefault="00B17D35" w:rsidP="00D21C89">
      <w:pPr>
        <w:pBdr>
          <w:top w:val="nil"/>
          <w:left w:val="nil"/>
          <w:bottom w:val="nil"/>
          <w:right w:val="nil"/>
          <w:between w:val="nil"/>
        </w:pBdr>
        <w:tabs>
          <w:tab w:val="left" w:pos="142"/>
        </w:tabs>
        <w:ind w:left="0" w:hanging="2"/>
        <w:jc w:val="both"/>
        <w:rPr>
          <w:sz w:val="24"/>
          <w:szCs w:val="24"/>
        </w:rPr>
      </w:pPr>
      <w:r w:rsidRPr="00B17D35">
        <w:rPr>
          <w:color w:val="000000"/>
          <w:sz w:val="24"/>
          <w:szCs w:val="24"/>
        </w:rPr>
        <w:t xml:space="preserve">Respecto a la situación patrimonial, se observa que los activos de la Sociedad al cierre del presente ejercicio totalizan $ </w:t>
      </w:r>
      <w:r w:rsidRPr="00B17D35">
        <w:rPr>
          <w:sz w:val="24"/>
          <w:szCs w:val="24"/>
        </w:rPr>
        <w:t>10.171.867.727.-</w:t>
      </w:r>
      <w:r w:rsidRPr="00B17D35">
        <w:rPr>
          <w:color w:val="000000"/>
          <w:sz w:val="24"/>
          <w:szCs w:val="24"/>
        </w:rPr>
        <w:t xml:space="preserve">, mientras que </w:t>
      </w:r>
      <w:r w:rsidRPr="00B17D35">
        <w:rPr>
          <w:sz w:val="24"/>
          <w:szCs w:val="24"/>
        </w:rPr>
        <w:t>los pasivos ascienden a $ 3.498.341.635.-, generando un Patrimonio neto de $ 6.673.526.092.-</w:t>
      </w:r>
    </w:p>
    <w:p w14:paraId="5EF0B2AF" w14:textId="7CA02801" w:rsidR="00B17D35" w:rsidRPr="00B17D35" w:rsidRDefault="00B17D35" w:rsidP="00B17D35">
      <w:pPr>
        <w:numPr>
          <w:ilvl w:val="0"/>
          <w:numId w:val="14"/>
        </w:numPr>
        <w:pBdr>
          <w:top w:val="nil"/>
          <w:left w:val="nil"/>
          <w:bottom w:val="nil"/>
          <w:right w:val="nil"/>
          <w:between w:val="nil"/>
        </w:pBdr>
        <w:tabs>
          <w:tab w:val="left" w:pos="142"/>
        </w:tabs>
        <w:suppressAutoHyphens w:val="0"/>
        <w:spacing w:line="240" w:lineRule="auto"/>
        <w:ind w:leftChars="0" w:left="0" w:firstLineChars="0" w:hanging="2"/>
        <w:jc w:val="both"/>
        <w:textDirection w:val="lrTb"/>
        <w:textAlignment w:val="auto"/>
        <w:outlineLvl w:val="9"/>
        <w:rPr>
          <w:color w:val="000000"/>
          <w:sz w:val="24"/>
          <w:szCs w:val="24"/>
        </w:rPr>
      </w:pPr>
      <w:r w:rsidRPr="00B17D35">
        <w:rPr>
          <w:b/>
          <w:color w:val="000000"/>
          <w:sz w:val="24"/>
          <w:szCs w:val="24"/>
        </w:rPr>
        <w:t>Composición y análisis del resultado del ejercicio</w:t>
      </w:r>
    </w:p>
    <w:p w14:paraId="5149FFE5" w14:textId="272BAEA4" w:rsidR="00B17D35" w:rsidRPr="00B17D35" w:rsidRDefault="00B17D35" w:rsidP="00B17D35">
      <w:pPr>
        <w:pBdr>
          <w:top w:val="nil"/>
          <w:left w:val="nil"/>
          <w:bottom w:val="nil"/>
          <w:right w:val="nil"/>
          <w:between w:val="nil"/>
        </w:pBdr>
        <w:tabs>
          <w:tab w:val="left" w:pos="142"/>
        </w:tabs>
        <w:ind w:left="0" w:hanging="2"/>
        <w:jc w:val="both"/>
        <w:rPr>
          <w:color w:val="000000"/>
          <w:sz w:val="24"/>
          <w:szCs w:val="24"/>
        </w:rPr>
      </w:pPr>
      <w:r w:rsidRPr="00B17D35">
        <w:rPr>
          <w:color w:val="000000"/>
          <w:sz w:val="24"/>
          <w:szCs w:val="24"/>
        </w:rPr>
        <w:t>Del análisis de la situación económica, se observa que el Estado de Resultado Integral al 3</w:t>
      </w:r>
      <w:r w:rsidRPr="00B17D35">
        <w:rPr>
          <w:sz w:val="24"/>
          <w:szCs w:val="24"/>
        </w:rPr>
        <w:t xml:space="preserve">0 de Junio </w:t>
      </w:r>
      <w:r w:rsidRPr="00B17D35">
        <w:rPr>
          <w:color w:val="000000"/>
          <w:sz w:val="24"/>
          <w:szCs w:val="24"/>
        </w:rPr>
        <w:t>de 20</w:t>
      </w:r>
      <w:r w:rsidRPr="00B17D35">
        <w:rPr>
          <w:sz w:val="24"/>
          <w:szCs w:val="24"/>
        </w:rPr>
        <w:t>20</w:t>
      </w:r>
      <w:r w:rsidRPr="00B17D35">
        <w:rPr>
          <w:color w:val="000000"/>
          <w:sz w:val="24"/>
          <w:szCs w:val="24"/>
        </w:rPr>
        <w:t xml:space="preserve"> muestra una ganancia después de impuesto de $</w:t>
      </w:r>
      <w:r w:rsidRPr="00B17D35">
        <w:rPr>
          <w:sz w:val="24"/>
          <w:szCs w:val="24"/>
        </w:rPr>
        <w:t>588.095.364.-</w:t>
      </w:r>
      <w:r w:rsidRPr="00B17D35">
        <w:rPr>
          <w:color w:val="000000"/>
          <w:sz w:val="24"/>
          <w:szCs w:val="24"/>
        </w:rPr>
        <w:t xml:space="preserve"> </w:t>
      </w:r>
    </w:p>
    <w:p w14:paraId="32562A6A" w14:textId="51D7A238" w:rsidR="00B17D35" w:rsidRPr="00B17D35" w:rsidRDefault="00B17D35" w:rsidP="00B17D35">
      <w:pPr>
        <w:pBdr>
          <w:top w:val="nil"/>
          <w:left w:val="nil"/>
          <w:bottom w:val="nil"/>
          <w:right w:val="nil"/>
          <w:between w:val="nil"/>
        </w:pBdr>
        <w:tabs>
          <w:tab w:val="left" w:pos="142"/>
        </w:tabs>
        <w:ind w:left="0" w:hanging="2"/>
        <w:jc w:val="both"/>
        <w:rPr>
          <w:sz w:val="24"/>
          <w:szCs w:val="24"/>
        </w:rPr>
      </w:pPr>
      <w:r w:rsidRPr="00B17D35">
        <w:rPr>
          <w:color w:val="000000"/>
          <w:sz w:val="24"/>
          <w:szCs w:val="24"/>
        </w:rPr>
        <w:t xml:space="preserve">Durante el presente ejercicio económico, el primero </w:t>
      </w:r>
      <w:r w:rsidRPr="00B17D35">
        <w:rPr>
          <w:sz w:val="24"/>
          <w:szCs w:val="24"/>
        </w:rPr>
        <w:t>fusionado ambos mercados,</w:t>
      </w:r>
      <w:r w:rsidRPr="00B17D35">
        <w:rPr>
          <w:color w:val="000000"/>
          <w:sz w:val="24"/>
          <w:szCs w:val="24"/>
        </w:rPr>
        <w:t xml:space="preserve"> los ingresos operativos han alcan</w:t>
      </w:r>
      <w:r w:rsidRPr="00B17D35">
        <w:rPr>
          <w:sz w:val="24"/>
          <w:szCs w:val="24"/>
        </w:rPr>
        <w:t xml:space="preserve">zado la cifra de $ 944.901.541.-, por su parte, los gastos operativos ascendieron a $ 753.877.305.-, generando así, una ganancia operativa de $ 191.024.236.-, es decir, un 20% de rentabilidad operativa. </w:t>
      </w:r>
    </w:p>
    <w:p w14:paraId="2E94AB1B" w14:textId="5877139C" w:rsidR="00B17D35" w:rsidRPr="00B17D35" w:rsidRDefault="00B17D35" w:rsidP="00B17D35">
      <w:pPr>
        <w:pBdr>
          <w:top w:val="nil"/>
          <w:left w:val="nil"/>
          <w:bottom w:val="nil"/>
          <w:right w:val="nil"/>
          <w:between w:val="nil"/>
        </w:pBdr>
        <w:tabs>
          <w:tab w:val="left" w:pos="142"/>
        </w:tabs>
        <w:ind w:left="0" w:hanging="2"/>
        <w:jc w:val="both"/>
        <w:rPr>
          <w:sz w:val="24"/>
          <w:szCs w:val="24"/>
        </w:rPr>
      </w:pPr>
      <w:r w:rsidRPr="00B17D35">
        <w:rPr>
          <w:sz w:val="24"/>
          <w:szCs w:val="24"/>
        </w:rPr>
        <w:t xml:space="preserve">En cuanto a los resultados financieros y por tenencia, generados por activos y pasivos netos, ascienden a $ 91.301.601.-, mientras que el RECPAM (Resultado por Exposición al Cambio del Poder Adquisitivo de la Moneda), tuvo su impacto negativo en ($19.244.339.-). </w:t>
      </w:r>
    </w:p>
    <w:p w14:paraId="57693DB7" w14:textId="6B383CA2" w:rsidR="00B17D35" w:rsidRPr="00B17D35" w:rsidRDefault="00B17D35" w:rsidP="00B17D35">
      <w:pPr>
        <w:pBdr>
          <w:top w:val="nil"/>
          <w:left w:val="nil"/>
          <w:bottom w:val="nil"/>
          <w:right w:val="nil"/>
          <w:between w:val="nil"/>
        </w:pBdr>
        <w:tabs>
          <w:tab w:val="left" w:pos="142"/>
        </w:tabs>
        <w:ind w:left="0" w:hanging="2"/>
        <w:jc w:val="both"/>
        <w:rPr>
          <w:sz w:val="24"/>
          <w:szCs w:val="24"/>
        </w:rPr>
      </w:pPr>
      <w:r w:rsidRPr="00B17D35">
        <w:rPr>
          <w:sz w:val="24"/>
          <w:szCs w:val="24"/>
        </w:rPr>
        <w:t>Los resultados por inversiones en sociedades relacionadas finalizaron en $383.029.746., mientras que los Otros Ingresos y Egresos ascendieron a $ 19.935.687.-</w:t>
      </w:r>
    </w:p>
    <w:p w14:paraId="363286B7" w14:textId="5BD913A7" w:rsidR="00B17D35" w:rsidRPr="00B17D35" w:rsidRDefault="00B17D35" w:rsidP="00B17D35">
      <w:pPr>
        <w:pBdr>
          <w:top w:val="nil"/>
          <w:left w:val="nil"/>
          <w:bottom w:val="nil"/>
          <w:right w:val="nil"/>
          <w:between w:val="nil"/>
        </w:pBdr>
        <w:tabs>
          <w:tab w:val="left" w:pos="142"/>
        </w:tabs>
        <w:ind w:left="0" w:hanging="2"/>
        <w:jc w:val="both"/>
        <w:rPr>
          <w:sz w:val="24"/>
          <w:szCs w:val="24"/>
        </w:rPr>
      </w:pPr>
      <w:r w:rsidRPr="00B17D35">
        <w:rPr>
          <w:sz w:val="24"/>
          <w:szCs w:val="24"/>
        </w:rPr>
        <w:t>De todo lo expuesto resulta una ganancia neta antes de impuesto de $ 666.046.931.-, siendo el impuesto a las ganancias contable determinado para este ejercicio de $78.504.529.</w:t>
      </w:r>
    </w:p>
    <w:p w14:paraId="3E4168F5" w14:textId="77777777" w:rsidR="00B17D35" w:rsidRPr="00B17D35" w:rsidRDefault="00B17D35" w:rsidP="00B17D35">
      <w:pPr>
        <w:numPr>
          <w:ilvl w:val="0"/>
          <w:numId w:val="14"/>
        </w:numPr>
        <w:pBdr>
          <w:top w:val="nil"/>
          <w:left w:val="nil"/>
          <w:bottom w:val="nil"/>
          <w:right w:val="nil"/>
          <w:between w:val="nil"/>
        </w:pBdr>
        <w:shd w:val="clear" w:color="auto" w:fill="FFFFFF"/>
        <w:tabs>
          <w:tab w:val="left" w:pos="142"/>
        </w:tabs>
        <w:suppressAutoHyphens w:val="0"/>
        <w:spacing w:line="240" w:lineRule="auto"/>
        <w:ind w:leftChars="0" w:left="0" w:firstLineChars="0" w:hanging="2"/>
        <w:jc w:val="both"/>
        <w:textDirection w:val="lrTb"/>
        <w:textAlignment w:val="auto"/>
        <w:outlineLvl w:val="9"/>
        <w:rPr>
          <w:sz w:val="24"/>
          <w:szCs w:val="24"/>
        </w:rPr>
      </w:pPr>
      <w:r w:rsidRPr="00B17D35">
        <w:rPr>
          <w:b/>
          <w:color w:val="000000"/>
          <w:sz w:val="24"/>
          <w:szCs w:val="24"/>
        </w:rPr>
        <w:t>Tratamiento del Resultado del Ejercicio</w:t>
      </w:r>
    </w:p>
    <w:p w14:paraId="04E0F75F" w14:textId="1124724B" w:rsidR="00B17D35" w:rsidRPr="00B17D35" w:rsidRDefault="00B17D35" w:rsidP="00B17D35">
      <w:pPr>
        <w:pBdr>
          <w:top w:val="nil"/>
          <w:left w:val="nil"/>
          <w:bottom w:val="nil"/>
          <w:right w:val="nil"/>
          <w:between w:val="nil"/>
        </w:pBdr>
        <w:shd w:val="clear" w:color="auto" w:fill="FFFFFF"/>
        <w:tabs>
          <w:tab w:val="left" w:pos="142"/>
        </w:tabs>
        <w:suppressAutoHyphens w:val="0"/>
        <w:spacing w:line="240" w:lineRule="auto"/>
        <w:ind w:leftChars="0" w:left="0" w:firstLineChars="0" w:firstLine="0"/>
        <w:jc w:val="both"/>
        <w:textDirection w:val="lrTb"/>
        <w:textAlignment w:val="auto"/>
        <w:outlineLvl w:val="9"/>
        <w:rPr>
          <w:sz w:val="24"/>
          <w:szCs w:val="24"/>
        </w:rPr>
      </w:pPr>
      <w:r w:rsidRPr="00B17D35">
        <w:rPr>
          <w:sz w:val="24"/>
          <w:szCs w:val="24"/>
        </w:rPr>
        <w:t xml:space="preserve">La Sociedad cuenta con una Política de Dividendos cuyo objetivo es establecer los parámetros mínimos para llevar a cabo la distribución de los mismos, considerando que el monto propuesto se calculará sobre los resultados no asignados disponibles, habiéndose detraído previamente: (i) el monto que corresponda destinarse a la integración de la reserva legal pertinente, de conformidad con el artículo 70 de la Ley General de Sociedades y considerando los artículos 71 y 224 de dicha Ley; y (ii) el monto que corresponda destinarse a la integración del Fondo de Garantía previsto en el artículo 15, Sección IV, Título VI de las Normas de CNV, que reglamenta el artículo 45 de la Ley de Mercado de Capitales. La Política referida se encuentra disponible en el siguiente enlace: </w:t>
      </w:r>
    </w:p>
    <w:p w14:paraId="457EB554" w14:textId="77777777" w:rsidR="00B17D35" w:rsidRPr="00B17D35" w:rsidRDefault="00B17D35" w:rsidP="00B17D35">
      <w:pPr>
        <w:shd w:val="clear" w:color="auto" w:fill="FFFFFF"/>
        <w:ind w:left="0" w:hanging="2"/>
        <w:jc w:val="both"/>
        <w:rPr>
          <w:sz w:val="24"/>
          <w:szCs w:val="24"/>
        </w:rPr>
      </w:pPr>
      <w:hyperlink r:id="rId10">
        <w:r w:rsidRPr="00B17D35">
          <w:rPr>
            <w:color w:val="1155CC"/>
            <w:sz w:val="24"/>
            <w:szCs w:val="24"/>
            <w:u w:val="single"/>
          </w:rPr>
          <w:t>www.matbarofex.com.ar/documentos/legales/politica-de-distribucion-de-dividendos</w:t>
        </w:r>
      </w:hyperlink>
    </w:p>
    <w:p w14:paraId="28FF2BBD" w14:textId="77777777" w:rsidR="00B17D35" w:rsidRPr="00B17D35" w:rsidRDefault="00B17D35" w:rsidP="00B17D35">
      <w:pPr>
        <w:shd w:val="clear" w:color="auto" w:fill="FFFFFF"/>
        <w:ind w:left="0" w:hanging="2"/>
        <w:jc w:val="both"/>
        <w:rPr>
          <w:sz w:val="24"/>
          <w:szCs w:val="24"/>
        </w:rPr>
      </w:pPr>
      <w:r w:rsidRPr="00B17D35">
        <w:rPr>
          <w:sz w:val="24"/>
          <w:szCs w:val="24"/>
        </w:rPr>
        <w:t xml:space="preserve">En relación a las modalidades de remuneración del Directorio, la Sociedad cuenta con una Política de Honorarios con el objetivo de establecer las pautas mínimas a considerar al momento de realizarse la correspondiente propuesta de honorarios. La misma se encuentra disponible en link: </w:t>
      </w:r>
    </w:p>
    <w:p w14:paraId="38E67686" w14:textId="4B66E064" w:rsidR="00B17D35" w:rsidRPr="00B17D35" w:rsidRDefault="00B17D35" w:rsidP="00B17D35">
      <w:pPr>
        <w:shd w:val="clear" w:color="auto" w:fill="FFFFFF"/>
        <w:ind w:left="0" w:hanging="2"/>
        <w:jc w:val="both"/>
        <w:rPr>
          <w:sz w:val="24"/>
          <w:szCs w:val="24"/>
        </w:rPr>
      </w:pPr>
      <w:hyperlink r:id="rId11">
        <w:r w:rsidRPr="00B17D35">
          <w:rPr>
            <w:color w:val="1155CC"/>
            <w:sz w:val="24"/>
            <w:szCs w:val="24"/>
            <w:u w:val="single"/>
          </w:rPr>
          <w:t>www.matbarofex.com.ar/documentos/legales/politica-de-honorarios-de-las-autoridades</w:t>
        </w:r>
      </w:hyperlink>
      <w:r w:rsidRPr="00B17D35">
        <w:rPr>
          <w:sz w:val="24"/>
          <w:szCs w:val="24"/>
        </w:rPr>
        <w:t>.</w:t>
      </w:r>
    </w:p>
    <w:p w14:paraId="35481E51" w14:textId="44BB2D53" w:rsidR="00B17D35" w:rsidRPr="00B17D35" w:rsidRDefault="00B17D35" w:rsidP="00B17D35">
      <w:pPr>
        <w:tabs>
          <w:tab w:val="left" w:pos="142"/>
        </w:tabs>
        <w:ind w:left="0" w:hanging="2"/>
        <w:jc w:val="both"/>
        <w:rPr>
          <w:sz w:val="24"/>
          <w:szCs w:val="24"/>
        </w:rPr>
      </w:pPr>
      <w:r w:rsidRPr="00B17D35">
        <w:rPr>
          <w:sz w:val="24"/>
          <w:szCs w:val="24"/>
        </w:rPr>
        <w:t>Al respecto, el ejercicio concluyó con una ganancia de $588.095.364 conforme surge del Estado de Resultado Integral al 30 de Junio de 2020, de los cuales $ 587.542.402.- corresponden al Resultado del Ejercicio y $ 552.962.- corresponden al Resultado Diferido por ajuste de conversión de sociedades relacionadas del exterior.</w:t>
      </w:r>
    </w:p>
    <w:p w14:paraId="1E0B7E8D" w14:textId="5BC6B08D" w:rsidR="00B17D35" w:rsidRPr="00B17D35" w:rsidRDefault="00B17D35" w:rsidP="00B17D35">
      <w:pPr>
        <w:tabs>
          <w:tab w:val="left" w:pos="142"/>
        </w:tabs>
        <w:ind w:left="0" w:hanging="2"/>
        <w:jc w:val="both"/>
        <w:rPr>
          <w:color w:val="000000"/>
        </w:rPr>
      </w:pPr>
      <w:r w:rsidRPr="00B17D35">
        <w:rPr>
          <w:sz w:val="24"/>
          <w:szCs w:val="24"/>
        </w:rPr>
        <w:lastRenderedPageBreak/>
        <w:t>El Resultado de Ejercicio por $ 587.542.402, adicionado a los Resultados no Asignados de ejercicios anteriores hacen un total a disposición de la Asamblea de $1.235.430.799.- que el Directorio propone distribuir de la siguiente manera:</w:t>
      </w:r>
      <w:r w:rsidRPr="00B17D35">
        <w:rPr>
          <w:color w:val="000000"/>
        </w:rPr>
        <w:t xml:space="preserve">         </w:t>
      </w:r>
    </w:p>
    <w:p w14:paraId="3A02A5A3" w14:textId="77777777" w:rsidR="00B17D35" w:rsidRPr="00B17D35" w:rsidRDefault="00B17D35" w:rsidP="00B17D35">
      <w:pPr>
        <w:tabs>
          <w:tab w:val="left" w:pos="142"/>
        </w:tabs>
        <w:ind w:left="0" w:hanging="2"/>
        <w:jc w:val="both"/>
        <w:rPr>
          <w:sz w:val="24"/>
          <w:szCs w:val="24"/>
        </w:rPr>
      </w:pPr>
      <w:r w:rsidRPr="00B17D35">
        <w:rPr>
          <w:sz w:val="24"/>
          <w:szCs w:val="24"/>
        </w:rPr>
        <w:t>A Fondo de Garantía Ley 26.831</w:t>
      </w:r>
      <w:r w:rsidRPr="00B17D35">
        <w:rPr>
          <w:sz w:val="24"/>
          <w:szCs w:val="24"/>
        </w:rPr>
        <w:tab/>
      </w:r>
      <w:r w:rsidRPr="00B17D35">
        <w:rPr>
          <w:sz w:val="24"/>
          <w:szCs w:val="24"/>
        </w:rPr>
        <w:tab/>
        <w:t xml:space="preserve">            </w:t>
      </w:r>
      <w:r w:rsidRPr="00B17D35">
        <w:rPr>
          <w:sz w:val="24"/>
          <w:szCs w:val="24"/>
        </w:rPr>
        <w:tab/>
      </w:r>
      <w:r w:rsidRPr="00B17D35">
        <w:rPr>
          <w:sz w:val="24"/>
          <w:szCs w:val="24"/>
        </w:rPr>
        <w:tab/>
      </w:r>
      <w:r w:rsidRPr="00B17D35">
        <w:rPr>
          <w:sz w:val="24"/>
          <w:szCs w:val="24"/>
        </w:rPr>
        <w:tab/>
        <w:t>$  180.000.000</w:t>
      </w:r>
    </w:p>
    <w:p w14:paraId="129943D2" w14:textId="77777777" w:rsidR="00B17D35" w:rsidRPr="00B17D35" w:rsidRDefault="00B17D35" w:rsidP="00B17D35">
      <w:pPr>
        <w:tabs>
          <w:tab w:val="left" w:pos="142"/>
        </w:tabs>
        <w:ind w:left="0" w:hanging="2"/>
        <w:jc w:val="both"/>
        <w:rPr>
          <w:sz w:val="24"/>
          <w:szCs w:val="24"/>
        </w:rPr>
      </w:pPr>
      <w:r w:rsidRPr="00B17D35">
        <w:rPr>
          <w:sz w:val="24"/>
          <w:szCs w:val="24"/>
        </w:rPr>
        <w:t xml:space="preserve">A Reserva Legal                                                                </w:t>
      </w:r>
      <w:r w:rsidRPr="00B17D35">
        <w:rPr>
          <w:sz w:val="24"/>
          <w:szCs w:val="24"/>
        </w:rPr>
        <w:tab/>
      </w:r>
      <w:r w:rsidRPr="00B17D35">
        <w:rPr>
          <w:sz w:val="24"/>
          <w:szCs w:val="24"/>
        </w:rPr>
        <w:tab/>
      </w:r>
      <w:r w:rsidRPr="00B17D35">
        <w:rPr>
          <w:sz w:val="24"/>
          <w:szCs w:val="24"/>
        </w:rPr>
        <w:tab/>
        <w:t>$    29.542.746</w:t>
      </w:r>
    </w:p>
    <w:p w14:paraId="1CCB8E75" w14:textId="77777777" w:rsidR="00B17D35" w:rsidRPr="00B17D35" w:rsidRDefault="00B17D35" w:rsidP="00B17D35">
      <w:pPr>
        <w:tabs>
          <w:tab w:val="left" w:pos="142"/>
        </w:tabs>
        <w:ind w:left="0" w:hanging="2"/>
        <w:jc w:val="both"/>
        <w:rPr>
          <w:sz w:val="24"/>
          <w:szCs w:val="24"/>
        </w:rPr>
      </w:pPr>
      <w:r w:rsidRPr="00B17D35">
        <w:rPr>
          <w:sz w:val="24"/>
          <w:szCs w:val="24"/>
        </w:rPr>
        <w:t xml:space="preserve">A Dividendos en efectivo </w:t>
      </w:r>
      <w:r w:rsidRPr="00B17D35">
        <w:rPr>
          <w:sz w:val="24"/>
          <w:szCs w:val="24"/>
        </w:rPr>
        <w:tab/>
      </w:r>
      <w:r w:rsidRPr="00B17D35">
        <w:rPr>
          <w:sz w:val="24"/>
          <w:szCs w:val="24"/>
        </w:rPr>
        <w:tab/>
      </w:r>
      <w:r w:rsidRPr="00B17D35">
        <w:rPr>
          <w:sz w:val="24"/>
          <w:szCs w:val="24"/>
        </w:rPr>
        <w:tab/>
        <w:t xml:space="preserve">            </w:t>
      </w:r>
      <w:r w:rsidRPr="00B17D35">
        <w:rPr>
          <w:sz w:val="24"/>
          <w:szCs w:val="24"/>
        </w:rPr>
        <w:tab/>
      </w:r>
      <w:r w:rsidRPr="00B17D35">
        <w:rPr>
          <w:sz w:val="24"/>
          <w:szCs w:val="24"/>
        </w:rPr>
        <w:tab/>
      </w:r>
      <w:r w:rsidRPr="00B17D35">
        <w:rPr>
          <w:sz w:val="24"/>
          <w:szCs w:val="24"/>
        </w:rPr>
        <w:tab/>
        <w:t>$  500.000.000</w:t>
      </w:r>
    </w:p>
    <w:p w14:paraId="4824D6B3" w14:textId="77777777" w:rsidR="00B17D35" w:rsidRPr="00B17D35" w:rsidRDefault="00B17D35" w:rsidP="00B17D35">
      <w:pPr>
        <w:tabs>
          <w:tab w:val="left" w:pos="142"/>
        </w:tabs>
        <w:ind w:left="0" w:hanging="2"/>
        <w:jc w:val="both"/>
        <w:rPr>
          <w:sz w:val="24"/>
          <w:szCs w:val="24"/>
        </w:rPr>
      </w:pPr>
      <w:r w:rsidRPr="00B17D35">
        <w:rPr>
          <w:sz w:val="24"/>
          <w:szCs w:val="24"/>
        </w:rPr>
        <w:t xml:space="preserve">A próximos ejercicios                                                                 </w:t>
      </w:r>
      <w:r w:rsidRPr="00B17D35">
        <w:rPr>
          <w:sz w:val="24"/>
          <w:szCs w:val="24"/>
        </w:rPr>
        <w:tab/>
      </w:r>
      <w:r w:rsidRPr="00B17D35">
        <w:rPr>
          <w:sz w:val="24"/>
          <w:szCs w:val="24"/>
        </w:rPr>
        <w:tab/>
        <w:t>$  525.888.053</w:t>
      </w:r>
    </w:p>
    <w:tbl>
      <w:tblPr>
        <w:tblW w:w="2075" w:type="dxa"/>
        <w:tblBorders>
          <w:top w:val="nil"/>
          <w:left w:val="nil"/>
          <w:bottom w:val="nil"/>
          <w:right w:val="nil"/>
          <w:insideH w:val="nil"/>
          <w:insideV w:val="nil"/>
        </w:tblBorders>
        <w:tblLayout w:type="fixed"/>
        <w:tblLook w:val="0600" w:firstRow="0" w:lastRow="0" w:firstColumn="0" w:lastColumn="0" w:noHBand="1" w:noVBand="1"/>
      </w:tblPr>
      <w:tblGrid>
        <w:gridCol w:w="2075"/>
      </w:tblGrid>
      <w:tr w:rsidR="00B17D35" w:rsidRPr="00B17D35" w14:paraId="5E5CC90F" w14:textId="77777777" w:rsidTr="00E179DD">
        <w:trPr>
          <w:trHeight w:val="25"/>
        </w:trPr>
        <w:tc>
          <w:tcPr>
            <w:tcW w:w="2075" w:type="dxa"/>
            <w:tcBorders>
              <w:top w:val="nil"/>
              <w:left w:val="nil"/>
              <w:bottom w:val="nil"/>
              <w:right w:val="nil"/>
            </w:tcBorders>
            <w:tcMar>
              <w:top w:w="100" w:type="dxa"/>
              <w:left w:w="100" w:type="dxa"/>
              <w:bottom w:w="100" w:type="dxa"/>
              <w:right w:w="100" w:type="dxa"/>
            </w:tcMar>
          </w:tcPr>
          <w:p w14:paraId="484D73B5" w14:textId="77777777" w:rsidR="00B17D35" w:rsidRPr="00B17D35" w:rsidRDefault="00B17D35" w:rsidP="00B17D35">
            <w:pPr>
              <w:widowControl w:val="0"/>
              <w:pBdr>
                <w:top w:val="nil"/>
                <w:left w:val="nil"/>
                <w:bottom w:val="nil"/>
                <w:right w:val="nil"/>
                <w:between w:val="nil"/>
              </w:pBdr>
              <w:spacing w:line="276" w:lineRule="auto"/>
              <w:ind w:left="0" w:hanging="2"/>
              <w:rPr>
                <w:sz w:val="24"/>
                <w:szCs w:val="24"/>
              </w:rPr>
            </w:pPr>
          </w:p>
        </w:tc>
      </w:tr>
    </w:tbl>
    <w:p w14:paraId="3D54B9DD" w14:textId="47234CA2" w:rsidR="00B17D35" w:rsidRPr="00B17D35" w:rsidRDefault="00B17D35" w:rsidP="00B17D35">
      <w:pPr>
        <w:ind w:left="0" w:hanging="2"/>
        <w:jc w:val="both"/>
        <w:rPr>
          <w:sz w:val="24"/>
          <w:szCs w:val="24"/>
        </w:rPr>
      </w:pPr>
      <w:r w:rsidRPr="00B17D35">
        <w:rPr>
          <w:sz w:val="24"/>
          <w:szCs w:val="24"/>
        </w:rPr>
        <w:t>Cabe señalar en relación a la suma propuesta a dividendos en efectivo por $ 500.000.000 que la misma incluye el monto sujeto a ratificación de la Asamblea con motivo de la decisión adoptada por el Directorio en su reunión del 10 de febrero de 2020 consistente en disponer el pago de dividendos anticipados (artículo 224, segundo párrafo de la Ley General de Sociedades N° 19.550) por un total USD 3.687.600 -que resulta equivalente a $ 224.828.546,88, según tipo de cambio Comunicación “A” BCRA 3500 del día de la fecha de la reunión del Directorio-, correspondiente a la utilidad neta (líquida y realizada) acumulada al 31 de diciembre de 2019, sobre la base de los Estados Financieros elaborados al efecto.</w:t>
      </w:r>
    </w:p>
    <w:p w14:paraId="4B1D6A27" w14:textId="3ABCF674" w:rsidR="00B17D35" w:rsidRPr="00B17D35" w:rsidRDefault="00B17D35" w:rsidP="00D21C89">
      <w:pPr>
        <w:ind w:left="0" w:hanging="2"/>
        <w:jc w:val="both"/>
      </w:pPr>
      <w:r w:rsidRPr="00B17D35">
        <w:rPr>
          <w:sz w:val="24"/>
          <w:szCs w:val="24"/>
        </w:rPr>
        <w:t>Asimismo, se proponen Honorarios a Directores y Comisión Fiscalizadora por $54.000.000- los cuales ya han sido provisionados en los Estados Financieros correspondientes al ejercicio finalizado el 30 de junio de 2020.</w:t>
      </w:r>
    </w:p>
    <w:p w14:paraId="7CE6362F" w14:textId="5F9BF89B" w:rsidR="00B17D35" w:rsidRPr="00D21C89" w:rsidRDefault="00B17D35" w:rsidP="00B17D35">
      <w:pPr>
        <w:numPr>
          <w:ilvl w:val="0"/>
          <w:numId w:val="14"/>
        </w:numPr>
        <w:pBdr>
          <w:top w:val="nil"/>
          <w:left w:val="nil"/>
          <w:bottom w:val="nil"/>
          <w:right w:val="nil"/>
          <w:between w:val="nil"/>
        </w:pBdr>
        <w:tabs>
          <w:tab w:val="left" w:pos="142"/>
        </w:tabs>
        <w:suppressAutoHyphens w:val="0"/>
        <w:spacing w:line="240" w:lineRule="auto"/>
        <w:ind w:leftChars="0" w:left="0" w:firstLineChars="0" w:hanging="2"/>
        <w:jc w:val="both"/>
        <w:textDirection w:val="lrTb"/>
        <w:textAlignment w:val="auto"/>
        <w:outlineLvl w:val="9"/>
        <w:rPr>
          <w:sz w:val="24"/>
          <w:szCs w:val="24"/>
        </w:rPr>
      </w:pPr>
      <w:r w:rsidRPr="00D21C89">
        <w:rPr>
          <w:b/>
          <w:color w:val="000000"/>
          <w:sz w:val="24"/>
          <w:szCs w:val="24"/>
        </w:rPr>
        <w:t>Perspectivas para el próximo ejercicio:</w:t>
      </w:r>
    </w:p>
    <w:p w14:paraId="384FE09E" w14:textId="16F7A955" w:rsidR="00B17D35" w:rsidRPr="00B17D35" w:rsidRDefault="00B17D35" w:rsidP="00B17D35">
      <w:pPr>
        <w:ind w:left="0" w:hanging="2"/>
        <w:jc w:val="both"/>
        <w:rPr>
          <w:sz w:val="24"/>
          <w:szCs w:val="24"/>
        </w:rPr>
      </w:pPr>
      <w:r w:rsidRPr="00B17D35">
        <w:rPr>
          <w:sz w:val="24"/>
          <w:szCs w:val="24"/>
        </w:rPr>
        <w:t>La tendencia de mediano plazo del volumen negociado en futuros y opciones en Argentina es indudablemente creciente. No obstante la inestabilidad macroeconómica de nuestro país, que impacta en cambios de regulaciones cambiarias, del comercio exterior, tributarias, etc. hace que los volúmenes de corto plazo estén afectados por la coyuntura.</w:t>
      </w:r>
    </w:p>
    <w:p w14:paraId="30A1962C" w14:textId="3627EF48" w:rsidR="00B17D35" w:rsidRPr="00B17D35" w:rsidRDefault="00B17D35" w:rsidP="00B17D35">
      <w:pPr>
        <w:ind w:left="0" w:hanging="2"/>
        <w:jc w:val="both"/>
        <w:rPr>
          <w:sz w:val="24"/>
          <w:szCs w:val="24"/>
        </w:rPr>
      </w:pPr>
      <w:r w:rsidRPr="00B17D35">
        <w:rPr>
          <w:sz w:val="24"/>
          <w:szCs w:val="24"/>
        </w:rPr>
        <w:t>En lo que refiere a futuros de dólar, que es el producto de mayor volumen y que representa mayores ingresos para Matba Rofex, un modelo de fuerte control de cambios no es el óptimo para que se registren récords de negociación. Por ello, consideramos que el volumen registrado en el ejercicio que ha concluido es satisfactorio en el actual contexto y somos optimistas en los meses siguientes por lo que proyectamos un crecimiento de entre el 10% y el 15% para el ejercicio venidero.</w:t>
      </w:r>
    </w:p>
    <w:p w14:paraId="36FB9635" w14:textId="351368FC" w:rsidR="00B17D35" w:rsidRPr="00B17D35" w:rsidRDefault="00B17D35" w:rsidP="00B17D35">
      <w:pPr>
        <w:ind w:left="0" w:hanging="2"/>
        <w:jc w:val="both"/>
        <w:rPr>
          <w:sz w:val="24"/>
          <w:szCs w:val="24"/>
        </w:rPr>
      </w:pPr>
      <w:r w:rsidRPr="00B17D35">
        <w:rPr>
          <w:sz w:val="24"/>
          <w:szCs w:val="24"/>
        </w:rPr>
        <w:t>Adicionalmente, con respecto a la facturación, el actual esquema de derechos de registro tiene incentivos para los grandes operadores, mediante un esquema de bonificaciones por volumen muy agresivo. Esto hace que el impacto en los ingresos con respecto a las variaciones del volumen negociado esté atenuado.</w:t>
      </w:r>
    </w:p>
    <w:p w14:paraId="5924051E" w14:textId="44AF5E7E" w:rsidR="00B17D35" w:rsidRPr="00B17D35" w:rsidRDefault="00B17D35" w:rsidP="00B17D35">
      <w:pPr>
        <w:ind w:left="0" w:hanging="2"/>
        <w:jc w:val="both"/>
        <w:rPr>
          <w:sz w:val="24"/>
          <w:szCs w:val="24"/>
        </w:rPr>
      </w:pPr>
      <w:r w:rsidRPr="00B17D35">
        <w:rPr>
          <w:sz w:val="24"/>
          <w:szCs w:val="24"/>
        </w:rPr>
        <w:t>En lo que refiere a la actividad de los futuros y opciones agropecuarios, la fusión de ambas entidades centenarias, dan lugar a un nuevo mercado que suma las virtudes de ambas instituciones e impacta muy favorablemente en las expectativas comerciales.</w:t>
      </w:r>
    </w:p>
    <w:p w14:paraId="53B886BF" w14:textId="16C8E48A" w:rsidR="00B17D35" w:rsidRPr="00B17D35" w:rsidRDefault="00B17D35" w:rsidP="00B17D35">
      <w:pPr>
        <w:ind w:left="0" w:hanging="2"/>
        <w:jc w:val="both"/>
        <w:rPr>
          <w:sz w:val="24"/>
          <w:szCs w:val="24"/>
        </w:rPr>
      </w:pPr>
      <w:r w:rsidRPr="00B17D35">
        <w:rPr>
          <w:sz w:val="24"/>
          <w:szCs w:val="24"/>
        </w:rPr>
        <w:t xml:space="preserve">Si bien el lanzamiento formal del mercado unificado se produjo el 1° de agosto de 2019, la integración de las plataformas de negociación y de Clearing son posteriores, la primera ya totalmente completada y la segunda planificada para completarse antes de fines de 2020. Dichas integraciones se están realizando sin perder de vista el servicio que se brinda a los clientes: tanto a los Agentes como a los usuarios finales de contratos de futuros y opciones </w:t>
      </w:r>
      <w:r w:rsidRPr="00B17D35">
        <w:rPr>
          <w:sz w:val="24"/>
          <w:szCs w:val="24"/>
        </w:rPr>
        <w:lastRenderedPageBreak/>
        <w:t xml:space="preserve">de Matba Rofex S.A., el cual se verá eficientizado notablemente, impulsando el aumento de los volúmenes. </w:t>
      </w:r>
    </w:p>
    <w:p w14:paraId="10FFF85A" w14:textId="384E50B4" w:rsidR="00B17D35" w:rsidRPr="00B17D35" w:rsidRDefault="00B17D35" w:rsidP="00B17D35">
      <w:pPr>
        <w:ind w:left="0" w:hanging="2"/>
        <w:jc w:val="both"/>
        <w:rPr>
          <w:sz w:val="24"/>
          <w:szCs w:val="24"/>
        </w:rPr>
      </w:pPr>
      <w:r w:rsidRPr="00B17D35">
        <w:rPr>
          <w:sz w:val="24"/>
          <w:szCs w:val="24"/>
        </w:rPr>
        <w:t>Por ello, para los futuros y opciones agropecuarios, se proyecta un aumento de al menos el 15% en el ejercicio próximo. Esta cifra podría ser aún mayor, dado que se están desarrollando nuevos instrumentos, como por ejemplo la registración y garantía de contratos de compra-venta de granos a fijar precio garantizados, y la generación de un Valor Negociable a partir de los mismos, que pueden potenciar el crecimiento de la operatoria.</w:t>
      </w:r>
    </w:p>
    <w:p w14:paraId="309D9F1B" w14:textId="2F7AE69A" w:rsidR="00B17D35" w:rsidRPr="00B17D35" w:rsidRDefault="00B17D35" w:rsidP="00B17D35">
      <w:pPr>
        <w:ind w:left="0" w:hanging="2"/>
        <w:jc w:val="both"/>
        <w:rPr>
          <w:sz w:val="24"/>
          <w:szCs w:val="24"/>
        </w:rPr>
      </w:pPr>
      <w:r w:rsidRPr="00B17D35">
        <w:rPr>
          <w:sz w:val="24"/>
          <w:szCs w:val="24"/>
        </w:rPr>
        <w:t xml:space="preserve">Por otra parte, la integración de los equipos de trabajo buscará aprovechar sinergias de costos y potenciar los talentos y competencias más fuertes de cada integrante de la organización.  </w:t>
      </w:r>
    </w:p>
    <w:p w14:paraId="1E576F60" w14:textId="18ED7A4A" w:rsidR="00B17D35" w:rsidRPr="00B17D35" w:rsidRDefault="00B17D35" w:rsidP="00B17D35">
      <w:pPr>
        <w:ind w:left="0" w:hanging="2"/>
        <w:jc w:val="both"/>
        <w:rPr>
          <w:sz w:val="24"/>
          <w:szCs w:val="24"/>
        </w:rPr>
      </w:pPr>
      <w:r w:rsidRPr="00B17D35">
        <w:rPr>
          <w:sz w:val="24"/>
          <w:szCs w:val="24"/>
        </w:rPr>
        <w:t>Debemos mencionar que los proyectos en los que se encuentra el grupo de empresas controlado por Matba Rofex S.A., está incursionando fuertemente en provisión de tecnología al mercado de capitales y en brindar nuevas soluciones de infraestructura adicionales a los contratos de futuros y opciones, como son los servicios de registración de contratos OTC y la registración de tenencias de otros valores negociables como cuotapartes de Fondos comunes de Inversión y de instrumentos PyMES. En este último segmento, Argentina Clearing impulsa la provisión de infraestructura de registro y liquidación eficiente tanto para Factura de Crédito Electrónica como para eCheq.   Estos instrumentos si bien no incorporarán un caudal de facturación significativo en el corto plazo, pueden tener un crecimiento muy significativo y ser disruptivos en lo que respecta a los mecanismos de financiamiento de las pequeñas y medianas empresas argentinas.</w:t>
      </w:r>
    </w:p>
    <w:p w14:paraId="2AD6E779" w14:textId="69792247" w:rsidR="00B17D35" w:rsidRPr="00B17D35" w:rsidRDefault="00B17D35" w:rsidP="00B17D35">
      <w:pPr>
        <w:ind w:left="0" w:hanging="2"/>
        <w:jc w:val="both"/>
        <w:rPr>
          <w:sz w:val="24"/>
          <w:szCs w:val="24"/>
        </w:rPr>
      </w:pPr>
      <w:r w:rsidRPr="00B17D35">
        <w:rPr>
          <w:sz w:val="24"/>
          <w:szCs w:val="24"/>
        </w:rPr>
        <w:t>Sin embargo, el nivel de incertidumbre en el que se desenvuelve el mercado es muy alto. Por el lado negativo, nos encontramos transitando una pandemia sin antecedentes en la historia contemporánea, cuyos efectos económicos y financieros aún son muy difíciles de aventurar. Pero por otra parte, el exitoso Canje de la deuda pública tanto bajo ley extranjera como bajo ley local, son bocanadas de aire fresco necesarias que podrían impulsar una nueva etapa de crecimiento del mercado de capitales argentino.</w:t>
      </w:r>
    </w:p>
    <w:p w14:paraId="5C45803E" w14:textId="13FF52C0" w:rsidR="00B17D35" w:rsidRPr="00B17D35" w:rsidRDefault="00B17D35" w:rsidP="00D21C89">
      <w:pPr>
        <w:ind w:left="0" w:hanging="2"/>
        <w:jc w:val="both"/>
        <w:rPr>
          <w:sz w:val="24"/>
          <w:szCs w:val="24"/>
        </w:rPr>
      </w:pPr>
      <w:r w:rsidRPr="00B17D35">
        <w:rPr>
          <w:sz w:val="24"/>
          <w:szCs w:val="24"/>
        </w:rPr>
        <w:t>Por otra parte, la provisión de tecnología hoy es un rubro muy importante en el grupo Matba Rofex. La oferta de servicios de Primary y ESCO crece en forma estable y ubican al grupo como el mayor proveedor de tecnología de todo el mercado de capitales local y de la región. En ambas compañías se prevén aumentos de los ingresos y de los resultados, a pesar de la coyuntura complicada que se atraviesa.El Directorio y la alta gerencia de la sociedad se encuentran convencidos en el alto nivel de resiliencia del Mercado, que le permitieron superar con éxito durante más de un siglo todos los avatares locales e internacionales y vivir en este momento el presente más exitoso de su historia.</w:t>
      </w:r>
    </w:p>
    <w:p w14:paraId="01358B6E" w14:textId="0E388C5E" w:rsidR="00B17D35" w:rsidRPr="00E179DD" w:rsidRDefault="00B17D35" w:rsidP="00B17D35">
      <w:pPr>
        <w:numPr>
          <w:ilvl w:val="0"/>
          <w:numId w:val="14"/>
        </w:numPr>
        <w:pBdr>
          <w:top w:val="nil"/>
          <w:left w:val="nil"/>
          <w:bottom w:val="nil"/>
          <w:right w:val="nil"/>
          <w:between w:val="nil"/>
        </w:pBdr>
        <w:tabs>
          <w:tab w:val="left" w:pos="142"/>
        </w:tabs>
        <w:suppressAutoHyphens w:val="0"/>
        <w:spacing w:line="240" w:lineRule="auto"/>
        <w:ind w:leftChars="0" w:left="0" w:firstLineChars="0" w:hanging="2"/>
        <w:jc w:val="both"/>
        <w:textDirection w:val="lrTb"/>
        <w:textAlignment w:val="auto"/>
        <w:outlineLvl w:val="9"/>
        <w:rPr>
          <w:sz w:val="24"/>
          <w:szCs w:val="24"/>
        </w:rPr>
      </w:pPr>
      <w:r w:rsidRPr="00E179DD">
        <w:rPr>
          <w:b/>
          <w:color w:val="000000"/>
          <w:sz w:val="24"/>
          <w:szCs w:val="24"/>
        </w:rPr>
        <w:t>Agradecimientos</w:t>
      </w:r>
    </w:p>
    <w:p w14:paraId="2390298A" w14:textId="00700F35" w:rsidR="00B17D35" w:rsidRPr="00B17D35" w:rsidRDefault="00B17D35" w:rsidP="00E179DD">
      <w:pPr>
        <w:ind w:left="0" w:hanging="2"/>
        <w:jc w:val="both"/>
        <w:rPr>
          <w:b/>
          <w:sz w:val="24"/>
          <w:szCs w:val="24"/>
        </w:rPr>
      </w:pPr>
      <w:r w:rsidRPr="00B17D35">
        <w:rPr>
          <w:sz w:val="24"/>
          <w:szCs w:val="24"/>
        </w:rPr>
        <w:t>Para finalizar, el Directorio manifiesta su reconocimiento por el continuo trato de cordialidad y por la eficiencia y ejecutividad mostrada por los funcionarios y directivos de la Comisión Nacional de Valores, el Banco Central de la República Argentina, el Ministerio de Hacienda y el Ministerio de Agroindustria. Asimismo, agradece a todo el personal que integra el Grupo Matba Rofex por su profesionalismo y constante dedicación brindados a la organización.</w:t>
      </w:r>
    </w:p>
    <w:p w14:paraId="4BEA6EF6" w14:textId="39F5BE3E" w:rsidR="002E0323" w:rsidRPr="00B17D35" w:rsidRDefault="00B17D35">
      <w:pPr>
        <w:spacing w:line="240" w:lineRule="auto"/>
        <w:ind w:left="0" w:hanging="2"/>
        <w:jc w:val="right"/>
        <w:rPr>
          <w:b/>
          <w:sz w:val="24"/>
          <w:szCs w:val="24"/>
        </w:rPr>
      </w:pPr>
      <w:r w:rsidRPr="00B17D35">
        <w:rPr>
          <w:b/>
          <w:sz w:val="24"/>
          <w:szCs w:val="24"/>
        </w:rPr>
        <w:lastRenderedPageBreak/>
        <w:t>Rosario, 7 de septiembre de 2020. EL DIRECTORIO</w:t>
      </w:r>
    </w:p>
    <w:p w14:paraId="7BAFBAC4" w14:textId="77777777" w:rsidR="002E0323" w:rsidRPr="00B17D35" w:rsidRDefault="002E0323">
      <w:pPr>
        <w:spacing w:line="240" w:lineRule="auto"/>
        <w:ind w:left="0" w:hanging="2"/>
        <w:jc w:val="center"/>
        <w:rPr>
          <w:b/>
        </w:rPr>
      </w:pPr>
    </w:p>
    <w:p w14:paraId="1F9CEFFC" w14:textId="77777777" w:rsidR="002E0323" w:rsidRPr="00B17D35" w:rsidRDefault="00B17D35">
      <w:pPr>
        <w:spacing w:line="240" w:lineRule="auto"/>
        <w:ind w:left="0" w:hanging="2"/>
        <w:jc w:val="center"/>
        <w:rPr>
          <w:b/>
        </w:rPr>
      </w:pPr>
      <w:r w:rsidRPr="00B17D35">
        <w:rPr>
          <w:b/>
        </w:rPr>
        <w:t>Anexo a la Memoria</w:t>
      </w:r>
    </w:p>
    <w:p w14:paraId="62AF56E9" w14:textId="77777777" w:rsidR="002E0323" w:rsidRPr="00B17D35" w:rsidRDefault="00B17D35">
      <w:pPr>
        <w:spacing w:line="240" w:lineRule="auto"/>
        <w:ind w:left="0" w:hanging="2"/>
        <w:jc w:val="center"/>
        <w:rPr>
          <w:b/>
        </w:rPr>
      </w:pPr>
      <w:r w:rsidRPr="00B17D35">
        <w:rPr>
          <w:b/>
        </w:rPr>
        <w:t>Reporte del Código de Gobierno Societario</w:t>
      </w:r>
    </w:p>
    <w:p w14:paraId="7BA6039B" w14:textId="77777777" w:rsidR="002E0323" w:rsidRPr="00B17D35" w:rsidRDefault="00B17D35">
      <w:pPr>
        <w:spacing w:line="240" w:lineRule="auto"/>
        <w:ind w:left="0" w:hanging="2"/>
        <w:jc w:val="center"/>
        <w:rPr>
          <w:b/>
        </w:rPr>
      </w:pPr>
      <w:r w:rsidRPr="00B17D35">
        <w:rPr>
          <w:b/>
        </w:rPr>
        <w:t>Anexo IV,Título IV de las Normas (N.T. 2013 y mod.) de la CNV</w:t>
      </w:r>
    </w:p>
    <w:p w14:paraId="2AE53EC8" w14:textId="77777777" w:rsidR="002E0323" w:rsidRPr="00B17D35" w:rsidRDefault="002E0323">
      <w:pPr>
        <w:spacing w:line="240" w:lineRule="auto"/>
        <w:ind w:left="0" w:hanging="2"/>
        <w:jc w:val="both"/>
      </w:pPr>
    </w:p>
    <w:p w14:paraId="37A640AB" w14:textId="77777777" w:rsidR="002E0323" w:rsidRPr="00B17D35" w:rsidRDefault="00B17D35">
      <w:pPr>
        <w:spacing w:line="240" w:lineRule="auto"/>
        <w:ind w:left="0" w:hanging="2"/>
        <w:jc w:val="both"/>
        <w:rPr>
          <w:b/>
        </w:rPr>
      </w:pPr>
      <w:r w:rsidRPr="00B17D35">
        <w:rPr>
          <w:b/>
        </w:rPr>
        <w:t>A) LA FUNCIÓN DEL DIRECTORIO</w:t>
      </w:r>
    </w:p>
    <w:p w14:paraId="000BBAF0" w14:textId="77777777" w:rsidR="002E0323" w:rsidRPr="00B17D35" w:rsidRDefault="00B17D35">
      <w:pPr>
        <w:spacing w:line="240" w:lineRule="auto"/>
        <w:ind w:left="0" w:hanging="2"/>
        <w:jc w:val="both"/>
        <w:rPr>
          <w:i/>
        </w:rPr>
      </w:pPr>
      <w:r w:rsidRPr="00B17D35">
        <w:rPr>
          <w:i/>
        </w:rPr>
        <w:t>Principios</w:t>
      </w:r>
    </w:p>
    <w:p w14:paraId="5D0F425B" w14:textId="77777777" w:rsidR="002E0323" w:rsidRPr="00B17D35" w:rsidRDefault="00B17D35">
      <w:pPr>
        <w:spacing w:line="240" w:lineRule="auto"/>
        <w:ind w:left="0" w:hanging="2"/>
        <w:jc w:val="both"/>
        <w:rPr>
          <w:i/>
        </w:rPr>
      </w:pPr>
      <w:r w:rsidRPr="00B17D35">
        <w:rPr>
          <w:i/>
        </w:rPr>
        <w:t>I. La compañía debe ser liderada por un Directorio profesional y capacitado que será el encargado de sentar las bases necesarias para asegurar el éxito sostenible de la compañía. El Directorio es el guardián de la compañía y de los derechos de todos sus Accionistas.</w:t>
      </w:r>
    </w:p>
    <w:p w14:paraId="2D718D9B" w14:textId="77777777" w:rsidR="002E0323" w:rsidRPr="00B17D35" w:rsidRDefault="00B17D35">
      <w:pPr>
        <w:spacing w:line="240" w:lineRule="auto"/>
        <w:ind w:left="0" w:hanging="2"/>
        <w:jc w:val="both"/>
        <w:rPr>
          <w:i/>
        </w:rPr>
      </w:pPr>
      <w:r w:rsidRPr="00B17D35">
        <w:rPr>
          <w:i/>
        </w:rPr>
        <w:t>II. El Directorio deberá ser el encargado de determinar y promover la cultura y valores corporativos. En su actuación, el Directorio deberá garantizar la observancia de los más altos estándares de ética e integridad en función del mejor interés de la compañía.</w:t>
      </w:r>
    </w:p>
    <w:p w14:paraId="78522DAD" w14:textId="77777777" w:rsidR="002E0323" w:rsidRPr="00B17D35" w:rsidRDefault="00B17D35">
      <w:pPr>
        <w:spacing w:line="240" w:lineRule="auto"/>
        <w:ind w:left="0" w:hanging="2"/>
        <w:jc w:val="both"/>
        <w:rPr>
          <w:i/>
        </w:rPr>
      </w:pPr>
      <w:r w:rsidRPr="00B17D35">
        <w:rPr>
          <w:i/>
        </w:rPr>
        <w:t>III. El Directorio deberá ser el encargado de asegurar una estrategia inspirada en la visión y misión de la compañía, que se encuentre alineada a los valores y la cultura de la misma. El Directorio deberá involucrarse constructivamente con la gerencia para asegurar el correcto desarrollo, ejecución, monitoreo y modificación de la estrategia de la compañía.</w:t>
      </w:r>
    </w:p>
    <w:p w14:paraId="03AF32CC" w14:textId="77777777" w:rsidR="002E0323" w:rsidRPr="00B17D35" w:rsidRDefault="00B17D35">
      <w:pPr>
        <w:spacing w:line="240" w:lineRule="auto"/>
        <w:ind w:left="0" w:hanging="2"/>
        <w:jc w:val="both"/>
        <w:rPr>
          <w:i/>
        </w:rPr>
      </w:pPr>
      <w:r w:rsidRPr="00B17D35">
        <w:rPr>
          <w:i/>
        </w:rPr>
        <w:t>IV. El Directorio ejercerá control y supervisión permanente de la gestión de la compañía, asegurando que la gerencia tome acciones dirigidas a la implementación de la estrategia y al plan de negocios aprobado por el directorio.</w:t>
      </w:r>
    </w:p>
    <w:p w14:paraId="733C73C7" w14:textId="77777777" w:rsidR="002E0323" w:rsidRPr="00B17D35" w:rsidRDefault="00B17D35">
      <w:pPr>
        <w:spacing w:line="240" w:lineRule="auto"/>
        <w:ind w:left="0" w:hanging="2"/>
        <w:jc w:val="both"/>
        <w:rPr>
          <w:i/>
        </w:rPr>
      </w:pPr>
      <w:r w:rsidRPr="00B17D35">
        <w:rPr>
          <w:i/>
        </w:rPr>
        <w:t>V. El Directorio deberá contar con mecanismos y políticas necesarias para ejercer su función y la de cada uno de sus miembros de forma eficiente y efectiva.</w:t>
      </w:r>
    </w:p>
    <w:p w14:paraId="713297EB" w14:textId="77777777" w:rsidR="002E0323" w:rsidRPr="00B17D35" w:rsidRDefault="002E0323">
      <w:pPr>
        <w:spacing w:line="240" w:lineRule="auto"/>
        <w:ind w:left="0" w:hanging="2"/>
        <w:jc w:val="both"/>
      </w:pPr>
    </w:p>
    <w:p w14:paraId="3CFB11AD" w14:textId="77777777" w:rsidR="002E0323" w:rsidRPr="00B17D35" w:rsidRDefault="00B17D35">
      <w:pPr>
        <w:numPr>
          <w:ilvl w:val="0"/>
          <w:numId w:val="4"/>
        </w:numPr>
        <w:pBdr>
          <w:top w:val="nil"/>
          <w:left w:val="nil"/>
          <w:bottom w:val="nil"/>
          <w:right w:val="nil"/>
          <w:between w:val="nil"/>
        </w:pBdr>
        <w:spacing w:line="240" w:lineRule="auto"/>
        <w:ind w:left="0" w:hanging="2"/>
        <w:jc w:val="both"/>
        <w:rPr>
          <w:b/>
          <w:color w:val="000000"/>
        </w:rPr>
      </w:pPr>
      <w:r w:rsidRPr="00B17D35">
        <w:rPr>
          <w:b/>
          <w:color w:val="000000"/>
        </w:rPr>
        <w:t>El Directorio genera una cultura ética de trabajo y establece la visión, misión y valores de la compañía.</w:t>
      </w:r>
    </w:p>
    <w:p w14:paraId="06E1E4B4" w14:textId="77777777" w:rsidR="002E0323" w:rsidRPr="00B17D35" w:rsidRDefault="00B17D35">
      <w:pPr>
        <w:spacing w:line="240" w:lineRule="auto"/>
        <w:ind w:left="0" w:hanging="2"/>
        <w:jc w:val="both"/>
      </w:pPr>
      <w:r w:rsidRPr="00B17D35">
        <w:t xml:space="preserve">El Directorio de Matba Rofex SA (en adelante “la Sociedad” o “MtR”) a través de la aprobación de su Código de Gobierno Societario (en adelante “CGS”) estableció de manera formal los valores que orientan todas sus prácticas; siendo estos: la integridad, honestidad, la vocación de servicio, el trabajo en equipo, la excelencia y la innovación. La Sociedad, a su vez, tiene como misión contribuir con el desarrollo socioeconómico del país mediante la promoción de la transparencia, la eficiencia y la inclusión en el mercado de capitales. Para la consecución de esta misión, la Sociedad tiene alineados sus objetivos estratégicos de negocio, siempre en el marco de la sustentabilidad, entendida esta como un modo de desarrollar prácticas económicamente rentables y éticamente justas, regido por criterios de responsabilidad social y medioambiental. Él propósito y el modo de implementación del mismo se detalla en el Reporte de Sustentabilidad que se realiza anualmente, encontrándose disponible el correspondiente al año 2019 en la página web: www.matbarofex.com.ar (en adelante: “la página web”) y que fuere oportunamente remitido a la Comisión Nacional de Valores para su conocimiento. </w:t>
      </w:r>
    </w:p>
    <w:p w14:paraId="230F927A" w14:textId="77777777" w:rsidR="002E0323" w:rsidRPr="00B17D35" w:rsidRDefault="00B17D35">
      <w:pPr>
        <w:spacing w:line="240" w:lineRule="auto"/>
        <w:ind w:left="0" w:hanging="2"/>
        <w:jc w:val="both"/>
      </w:pPr>
      <w:r w:rsidRPr="00B17D35">
        <w:t xml:space="preserve">Adicionalmente, el Directorio aprobó un Código de Ética y Conducta, que resulta de aplicación para los colaboradores y para las autoridades de la Sociedad, orientado a alentar los valores asumidos por la Sociedad y señalar la conducta de los sujetos alcanzados esperada por la Sociedad, destacándose como principios rectores: la excelencia humana de la institución y los valores morales y éticos, en especial el principio de lealtad. El propósito del Código es reforzar y mejorar la responsabilidad en la actuación frente a los negocios en forma ética y legal estableciendo criterios y pautas; de manera enunciativa, las cuales podrían motivar la adopción de sanciones disciplinarias. </w:t>
      </w:r>
      <w:r w:rsidRPr="00B17D35">
        <w:lastRenderedPageBreak/>
        <w:t xml:space="preserve">En el caso que el incumplimiento provenga de un colaborador, será el Comité Ejecutivo el órgano encargado de la aplicación del Código y de recibir las denuncias, analizar las situaciones reportadas y resolver en forma definitiva las cuestiones solicitadas. Para el caso que el implicado sea un Director o Síndico, el Comité de Auditoría elevará al Directorio para consideración un informe que, con su conformidad, será expuesto ante la Asamblea de Accionistas de la Sociedad, a los fines que ésta decida lo que estime corresponder de acuerdo con lo establecido por la Ley General de Sociedades.   </w:t>
      </w:r>
    </w:p>
    <w:p w14:paraId="277317EE" w14:textId="77777777" w:rsidR="002E0323" w:rsidRPr="00B17D35" w:rsidRDefault="00B17D35">
      <w:pPr>
        <w:spacing w:line="240" w:lineRule="auto"/>
        <w:ind w:left="0" w:hanging="2"/>
        <w:jc w:val="both"/>
      </w:pPr>
      <w:r w:rsidRPr="00B17D35">
        <w:t xml:space="preserve">El Código de Gobierno Societario y el Código de Ética y Conducta se encuentran publicados en la página web. </w:t>
      </w:r>
    </w:p>
    <w:p w14:paraId="0569D57D" w14:textId="77777777" w:rsidR="002E0323" w:rsidRPr="00B17D35" w:rsidRDefault="002E0323">
      <w:pPr>
        <w:spacing w:line="240" w:lineRule="auto"/>
        <w:ind w:left="0" w:hanging="2"/>
        <w:jc w:val="both"/>
      </w:pPr>
    </w:p>
    <w:p w14:paraId="482FCF96" w14:textId="77777777" w:rsidR="002E0323" w:rsidRPr="00B17D35" w:rsidRDefault="00B17D35">
      <w:pPr>
        <w:spacing w:line="240" w:lineRule="auto"/>
        <w:ind w:left="0" w:hanging="2"/>
        <w:jc w:val="both"/>
        <w:rPr>
          <w:b/>
        </w:rPr>
      </w:pPr>
      <w:r w:rsidRPr="00B17D35">
        <w:rPr>
          <w:b/>
        </w:rPr>
        <w:t>2. El Directorio fija la estrategia general de la compañía y aprueba el plan estratégico que desarrolla la gerencia. Al hacerlo, el Directorio tiene en consideración factores ambientales, sociales y de gobierno societario. El Directorio supervisa su implementación mediante la utilización de indicadores clave de desempeño y teniendo en consideración el mejor interés de la compañía y todos sus accionistas.</w:t>
      </w:r>
    </w:p>
    <w:p w14:paraId="6D3B89A7" w14:textId="77777777" w:rsidR="002E0323" w:rsidRPr="00B17D35" w:rsidRDefault="00B17D35">
      <w:pPr>
        <w:spacing w:line="240" w:lineRule="auto"/>
        <w:ind w:left="0" w:hanging="2"/>
        <w:jc w:val="both"/>
      </w:pPr>
      <w:r w:rsidRPr="00B17D35">
        <w:t xml:space="preserve">El Directorio de la Sociedad establece en su Reglamento de Directorio, como una de sus principales funciones, la aprobación y monitorio de la estrategia corporativa, los presupuestos anuales, las prioridades estratégicas y el plan de negocios de la Sociedad por parte del Directorio. Las prioridades estratégicas de la Sociedad son establecidas por el Directorio en al menos una reunión anual, y pueden ser revisadas y/o actualizadas en más de una ocasión. Ésta dinámica de revisión continua de las prioridades permite fijar objetivos alcanzables para la sociedad, evitando así que quienes ejecutan las directrices del Directorio se vean inmersos en una tarea de cumplimiento imposible o que resulte inadecuada en relación al objetivo final. Es así que, periódicamente, el Gerente General de la sociedad, con asistencia de los miembros del Comité Ejecutivo, presenta al Directorio actualizaciones en relación a los avances de cada proyecto u objetivo, permitiéndose así al Directorio que éste decida continuar con el mismo o redefinirlo teniendo en consideración los intereses de todos los accionistas y stakeholders. </w:t>
      </w:r>
    </w:p>
    <w:p w14:paraId="201CB58B" w14:textId="77777777" w:rsidR="002E0323" w:rsidRPr="00B17D35" w:rsidRDefault="00B17D35">
      <w:pPr>
        <w:spacing w:line="240" w:lineRule="auto"/>
        <w:ind w:left="0" w:hanging="2"/>
        <w:jc w:val="both"/>
      </w:pPr>
      <w:r w:rsidRPr="00B17D35">
        <w:t xml:space="preserve">Por otra parte, es una prioridad estratégica del 2020 integrar la visión de sustentabilidad en el planeamiento estratégico del Grupo. El grupo ESG (por sus siglas en inglés Environmental, Social, and Governance) será el encargado de acercar esta visión en el desarrollo de las prioridades ya fijadas para este año y brindará apoyo al Comité Ejecutivo al momento de esbozar las propuestas de prioridades estratégicas del año 2021. </w:t>
      </w:r>
    </w:p>
    <w:p w14:paraId="086D624D" w14:textId="77777777" w:rsidR="002E0323" w:rsidRPr="00B17D35" w:rsidRDefault="002E0323">
      <w:pPr>
        <w:spacing w:line="240" w:lineRule="auto"/>
        <w:ind w:left="0" w:hanging="2"/>
        <w:jc w:val="both"/>
      </w:pPr>
    </w:p>
    <w:p w14:paraId="6760DE6A" w14:textId="77777777" w:rsidR="002E0323" w:rsidRPr="00B17D35" w:rsidRDefault="00B17D35">
      <w:pPr>
        <w:spacing w:line="240" w:lineRule="auto"/>
        <w:ind w:left="0" w:hanging="2"/>
        <w:jc w:val="both"/>
        <w:rPr>
          <w:b/>
        </w:rPr>
      </w:pPr>
      <w:r w:rsidRPr="00B17D35">
        <w:rPr>
          <w:b/>
        </w:rPr>
        <w:t>3. El Directorio supervisa a la gerencia y asegura que ésta desarrolle, implemente y mantenga un sistema adecuado de control interno con líneas de reporte claras.</w:t>
      </w:r>
    </w:p>
    <w:p w14:paraId="0A417C6D" w14:textId="77777777" w:rsidR="002E0323" w:rsidRPr="00B17D35" w:rsidRDefault="00B17D35">
      <w:pPr>
        <w:spacing w:line="240" w:lineRule="auto"/>
        <w:ind w:left="0" w:hanging="2"/>
        <w:jc w:val="both"/>
      </w:pPr>
      <w:r w:rsidRPr="00B17D35">
        <w:t xml:space="preserve"> El Directorio de la Sociedad supervisa de manera constante al Comité Ejecutivo (integrado por el Gerente General y subgerentes de áreas) quién es el encargado de gestionar el giro ordinario de la Sociedad, manteniendo de esta manera, una línea de reporte clara y periódica. Asimismo, el Código de Gobierno Societario de MtR, cuenta con una arquitectura de control que tiene la finalidad de evaluar y monitorear la efectividad de los controles internos y externos para así lograr el cumplimiento de los objetivos estratégicos fijados por el Directorio; asegurar la continuidad de las operaciones; brindar información confiable y segura, sobre todo respecto de la contable; y efectivizar el cumplimiento de las leyes y normas aplicables. Actualmente las principales tareas en esta materia las desarrollan las áreas de Fiscalización y Control y Calidad y Compliance, quienes cuentan con independencia para el seguimiento y evaluación de la eficacia del control interno de la sociedad y reportan en forma directa al Comité Ejecutivo, compuesto por los Gerentes Generales y Subgerentes Generales de la Sociedad, Anualmente se realizan auditorías internas y externas que </w:t>
      </w:r>
      <w:r w:rsidRPr="00B17D35">
        <w:lastRenderedPageBreak/>
        <w:t xml:space="preserve">son presentadas al Directorio para su supervisión. Adicionalmente, la Sociedad cuenta con un Manual de Riesgos de Gestión empresarial con el objetivo de establecer un método para una administración sistemática de los riesgos corporativos con el fin de asegurar razonablemente que el cumplimiento de los objetivos trazados por la Dirección no será afectado por riesgos significativos, los cuales se identificarán y se mantendrán en niveles de tolerancia predefinidos. </w:t>
      </w:r>
    </w:p>
    <w:p w14:paraId="0D4F1500" w14:textId="77777777" w:rsidR="002E0323" w:rsidRPr="00B17D35" w:rsidRDefault="002E0323">
      <w:pPr>
        <w:spacing w:line="240" w:lineRule="auto"/>
        <w:ind w:left="0" w:hanging="2"/>
        <w:jc w:val="both"/>
      </w:pPr>
    </w:p>
    <w:p w14:paraId="2DE56BB4" w14:textId="77777777" w:rsidR="002E0323" w:rsidRPr="00B17D35" w:rsidRDefault="00B17D35">
      <w:pPr>
        <w:spacing w:line="240" w:lineRule="auto"/>
        <w:ind w:left="0" w:hanging="2"/>
        <w:jc w:val="both"/>
        <w:rPr>
          <w:b/>
        </w:rPr>
      </w:pPr>
      <w:r w:rsidRPr="00B17D35">
        <w:rPr>
          <w:b/>
        </w:rPr>
        <w:t>4. El Directorio diseña las estructuras y prácticas de gobierno societario, designa al responsable de su implementación, monitorea la efectividad de las mismas y sugiere cambios en caso de ser necesarios.</w:t>
      </w:r>
    </w:p>
    <w:p w14:paraId="5561B5E6" w14:textId="77777777" w:rsidR="002E0323" w:rsidRPr="00B17D35" w:rsidRDefault="00B17D35">
      <w:pPr>
        <w:spacing w:line="240" w:lineRule="auto"/>
        <w:ind w:left="0" w:hanging="2"/>
        <w:jc w:val="both"/>
      </w:pPr>
      <w:r w:rsidRPr="00B17D35">
        <w:t>El Directorio, a través del CGS, establece los principios, valores y propósitos de la Sociedad, la relación de está con los inversores, el Directorio y sus Comités a la vez que establece la arquitectura de control de la Sociedad. Es   al Comité de Auditoría, que el Directorio designo como el encargado de dar seguimiento a la implementación y monitoreo de las estructuras y prácticas de gobierno corporativo que reportará, en caso de que las hubieres, observaciones al Directorio. quien contempla la necesidad o no de implementar cambios o actualizar las estructuras y prácticas de gobierno societario.</w:t>
      </w:r>
    </w:p>
    <w:p w14:paraId="208C2CC5" w14:textId="77777777" w:rsidR="002E0323" w:rsidRPr="00B17D35" w:rsidRDefault="002E0323">
      <w:pPr>
        <w:spacing w:line="240" w:lineRule="auto"/>
        <w:ind w:left="0" w:hanging="2"/>
        <w:jc w:val="both"/>
      </w:pPr>
    </w:p>
    <w:p w14:paraId="3C9E50D7" w14:textId="77777777" w:rsidR="002E0323" w:rsidRPr="00B17D35" w:rsidRDefault="00B17D35">
      <w:pPr>
        <w:spacing w:line="240" w:lineRule="auto"/>
        <w:ind w:left="0" w:hanging="2"/>
        <w:jc w:val="both"/>
        <w:rPr>
          <w:b/>
        </w:rPr>
      </w:pPr>
      <w:r w:rsidRPr="00B17D35">
        <w:rPr>
          <w:b/>
        </w:rPr>
        <w:t>5. Los miembros del Directorio tienen suficiente tiempo para ejercer sus funciones de forma profesional y eficiente. El Directorio y sus comités tienen reglas claras y formalizadas para su funcionamiento y organización, las cuales son divulgadas a través de la página web de la compañía.</w:t>
      </w:r>
    </w:p>
    <w:p w14:paraId="209028B1" w14:textId="77777777" w:rsidR="002E0323" w:rsidRPr="00B17D35" w:rsidRDefault="00B17D35">
      <w:pPr>
        <w:spacing w:line="240" w:lineRule="auto"/>
        <w:ind w:left="0" w:hanging="2"/>
        <w:jc w:val="both"/>
      </w:pPr>
      <w:r w:rsidRPr="00B17D35">
        <w:t xml:space="preserve">Los miembros del Directorio cuentan con suficiente tiempo para ejercer de forma profesional y eficiente sus funciones ya que las reuniones de Directorio se programan con suficiente antelación poniendo a disposición de sus miembros, a través del Sistema de Gestión online, la documentación necesaria para la toma de decisiones. El Reglamento de Directorio establece reglas claras para el funcionamiento y organización del órgano y sus Comités, así como las responsabilidades, funciones, derechos y deberes inherentes a su rol características. Este Reglamento se encuentra disponible en la página web de la Sociedad </w:t>
      </w:r>
    </w:p>
    <w:p w14:paraId="5575C6F2" w14:textId="77777777" w:rsidR="002E0323" w:rsidRPr="00B17D35" w:rsidRDefault="002E0323">
      <w:pPr>
        <w:spacing w:line="240" w:lineRule="auto"/>
        <w:ind w:left="0" w:hanging="2"/>
        <w:jc w:val="both"/>
      </w:pPr>
    </w:p>
    <w:p w14:paraId="225E180B" w14:textId="77777777" w:rsidR="002E0323" w:rsidRPr="00B17D35" w:rsidRDefault="00B17D35">
      <w:pPr>
        <w:spacing w:line="240" w:lineRule="auto"/>
        <w:ind w:left="0" w:hanging="2"/>
        <w:jc w:val="both"/>
        <w:rPr>
          <w:b/>
        </w:rPr>
      </w:pPr>
      <w:r w:rsidRPr="00B17D35">
        <w:rPr>
          <w:b/>
        </w:rPr>
        <w:t>B) LA PRESIDENCIA EN EL DIRECTORIO Y LA SECRETARÍA CORPORATIVA</w:t>
      </w:r>
    </w:p>
    <w:p w14:paraId="0ECD2794" w14:textId="77777777" w:rsidR="002E0323" w:rsidRPr="00B17D35" w:rsidRDefault="00B17D35">
      <w:pPr>
        <w:spacing w:line="240" w:lineRule="auto"/>
        <w:ind w:left="0" w:hanging="2"/>
        <w:jc w:val="both"/>
        <w:rPr>
          <w:i/>
        </w:rPr>
      </w:pPr>
      <w:r w:rsidRPr="00B17D35">
        <w:rPr>
          <w:i/>
        </w:rPr>
        <w:t>Principios</w:t>
      </w:r>
    </w:p>
    <w:p w14:paraId="6F741A7A" w14:textId="77777777" w:rsidR="002E0323" w:rsidRPr="00B17D35" w:rsidRDefault="00B17D35">
      <w:pPr>
        <w:spacing w:line="240" w:lineRule="auto"/>
        <w:ind w:left="0" w:hanging="2"/>
        <w:jc w:val="both"/>
        <w:rPr>
          <w:i/>
        </w:rPr>
      </w:pPr>
      <w:r w:rsidRPr="00B17D35">
        <w:rPr>
          <w:i/>
        </w:rPr>
        <w:t>VI. El Presidente del Directorio es el encargado de velar por el cumplimiento efectivo de las funciones del Directorio y de liderar a sus miembros. Deberá generar una dinámica positiva de trabajo y promover la participación constructiva de sus miembros, así como garantizar que los miembros cuenten con los elementos e información necesaria para la toma de decisiones. Ello también aplica a los Presidentes de cada comité del Directorio en cuanto a la labor que les corresponde.</w:t>
      </w:r>
    </w:p>
    <w:p w14:paraId="54289F9F" w14:textId="77777777" w:rsidR="002E0323" w:rsidRPr="00B17D35" w:rsidRDefault="00B17D35">
      <w:pPr>
        <w:spacing w:line="240" w:lineRule="auto"/>
        <w:ind w:left="0" w:hanging="2"/>
        <w:jc w:val="both"/>
        <w:rPr>
          <w:i/>
        </w:rPr>
      </w:pPr>
      <w:r w:rsidRPr="00B17D35">
        <w:rPr>
          <w:i/>
        </w:rPr>
        <w:t>VII. El Presidente del Directorio deberá liderar procesos y establecer estructuras buscando el compromiso, objetividad y competencia de los miembros del Directorio, así como el mejor funcionamiento del órgano en su conjunto y su evolución conforme a las necesidades de la compañía.</w:t>
      </w:r>
    </w:p>
    <w:p w14:paraId="358086C8" w14:textId="77777777" w:rsidR="002E0323" w:rsidRPr="00B17D35" w:rsidRDefault="00B17D35">
      <w:pPr>
        <w:spacing w:line="240" w:lineRule="auto"/>
        <w:ind w:left="0" w:hanging="2"/>
        <w:jc w:val="both"/>
        <w:rPr>
          <w:i/>
        </w:rPr>
      </w:pPr>
      <w:r w:rsidRPr="00B17D35">
        <w:rPr>
          <w:i/>
        </w:rPr>
        <w:t>VIII. El Presidente del Directorio deberá velar por que el Directorio en su totalidad esté involucrado y sea responsable por la sucesión del gerente general.</w:t>
      </w:r>
    </w:p>
    <w:p w14:paraId="1EBF6F57" w14:textId="77777777" w:rsidR="002E0323" w:rsidRPr="00B17D35" w:rsidRDefault="002E0323">
      <w:pPr>
        <w:spacing w:line="240" w:lineRule="auto"/>
        <w:ind w:left="0" w:hanging="2"/>
        <w:jc w:val="both"/>
      </w:pPr>
    </w:p>
    <w:p w14:paraId="311F176D" w14:textId="77777777" w:rsidR="002E0323" w:rsidRPr="00B17D35" w:rsidRDefault="00B17D35">
      <w:pPr>
        <w:spacing w:line="240" w:lineRule="auto"/>
        <w:ind w:left="0" w:hanging="2"/>
        <w:jc w:val="both"/>
        <w:rPr>
          <w:b/>
        </w:rPr>
      </w:pPr>
      <w:r w:rsidRPr="00B17D35">
        <w:rPr>
          <w:b/>
        </w:rPr>
        <w:t xml:space="preserve">6. El Presidente del Directorio es responsable de la buena organización de las reuniones del Directorio, prepara el orden del día asegurando la colaboración de los demás miembros y asegura que estos reciban los materiales necesarios con tiempo suficiente para participar de manera </w:t>
      </w:r>
      <w:r w:rsidRPr="00B17D35">
        <w:rPr>
          <w:b/>
        </w:rPr>
        <w:lastRenderedPageBreak/>
        <w:t>eficiente e informada en las reuniones. Los Presidentes de los comités tienen las mismas responsabilidades para sus reuniones.</w:t>
      </w:r>
    </w:p>
    <w:p w14:paraId="10D27AA1" w14:textId="77777777" w:rsidR="002E0323" w:rsidRPr="00B17D35" w:rsidRDefault="00B17D35">
      <w:pPr>
        <w:spacing w:line="240" w:lineRule="auto"/>
        <w:ind w:left="0" w:hanging="2"/>
        <w:jc w:val="both"/>
      </w:pPr>
      <w:r w:rsidRPr="00B17D35">
        <w:t>El Reglamento de Directorio brinda las pautas a tener en cuenta tanto para las reuniones de Directorio como para las de los Comités a la vez que establece las obligaciones del Presidente del Directorio, entre las que se encuentran, la elaboración de la información para las reuniones del órgano con la asistencia de la Secretaria Corporativa cuya función es llevada a cabo por el área de legales de la Sociedad. Entre las funciones de la Secretaria Corporativa se destacan; la asistencia legal y organizativa del Directorio, y los Comités permitiéndoles llevar adelante sus tareas y responsabilidades. Asimismo, tal como se ha mencionado, MtR dispone de un sistema de gestión online por medio del cual se llevan a cabo la citación a las reuniones de Directorio y de los Comités, se pone a disposición toda la documentación y minutas de a las reuniones para todas las autoridades, Comité Ejecutivo y áreas involucradas en las reuniones, con el objeto de brindar mayor comodidad para el acceso a la información y para notificar a los interesados de las convocatorias de reuniones de los órganos donde son miembros.</w:t>
      </w:r>
    </w:p>
    <w:p w14:paraId="75B737A5" w14:textId="77777777" w:rsidR="002E0323" w:rsidRPr="00B17D35" w:rsidRDefault="002E0323">
      <w:pPr>
        <w:spacing w:line="240" w:lineRule="auto"/>
        <w:ind w:left="0" w:hanging="2"/>
        <w:jc w:val="both"/>
      </w:pPr>
    </w:p>
    <w:p w14:paraId="10DEA7E2" w14:textId="77777777" w:rsidR="002E0323" w:rsidRPr="00B17D35" w:rsidRDefault="00B17D35">
      <w:pPr>
        <w:spacing w:line="240" w:lineRule="auto"/>
        <w:ind w:left="0" w:hanging="2"/>
        <w:jc w:val="both"/>
        <w:rPr>
          <w:b/>
        </w:rPr>
      </w:pPr>
      <w:r w:rsidRPr="00B17D35">
        <w:rPr>
          <w:b/>
        </w:rPr>
        <w:t>7. El Presidente del Directorio vela por el correcto funcionamiento interno del Directorio mediante la implementación de procesos formales de evaluación anual.</w:t>
      </w:r>
    </w:p>
    <w:p w14:paraId="48DB5527" w14:textId="77777777" w:rsidR="002E0323" w:rsidRPr="00B17D35" w:rsidRDefault="00B17D35">
      <w:pPr>
        <w:spacing w:line="240" w:lineRule="auto"/>
        <w:ind w:left="0" w:hanging="2"/>
        <w:jc w:val="both"/>
      </w:pPr>
      <w:r w:rsidRPr="00B17D35">
        <w:t xml:space="preserve">El Reglamento de Directorio establece que anualmente, previo a cada Asamblea General Ordinaria de Accionistas, el Comité de Remuneraciones y Nominaciones gestionará la evaluación del desempeño de los Directores. Dicho proceso será realizado mediante una autoevaluación para luego emitir un informe donde se indicará respecto de cada Director si éste continúa cumpliendo con los requisitos necesarios para permanecer en el órgano de administración. El análisis deberá ser principalmente en base a criterios objetivos que el Comité establecerá previamente y serán de conocimiento de todos los Directores. </w:t>
      </w:r>
    </w:p>
    <w:p w14:paraId="215EA105" w14:textId="77777777" w:rsidR="002E0323" w:rsidRPr="00B17D35" w:rsidRDefault="002E0323">
      <w:pPr>
        <w:spacing w:line="240" w:lineRule="auto"/>
        <w:ind w:left="0" w:hanging="2"/>
        <w:jc w:val="both"/>
      </w:pPr>
    </w:p>
    <w:p w14:paraId="46540D37" w14:textId="77777777" w:rsidR="002E0323" w:rsidRPr="00B17D35" w:rsidRDefault="00B17D35">
      <w:pPr>
        <w:spacing w:line="240" w:lineRule="auto"/>
        <w:ind w:left="0" w:hanging="2"/>
        <w:jc w:val="both"/>
        <w:rPr>
          <w:b/>
        </w:rPr>
      </w:pPr>
      <w:r w:rsidRPr="00B17D35">
        <w:rPr>
          <w:b/>
        </w:rPr>
        <w:t>8. El Presidente genera un espacio de trabajo positivo y constructivo para todos los miembros del Directorio y asegura que reciban capacitación continua para mantenerse actualizados y poder cumplir correctamente sus funciones.</w:t>
      </w:r>
    </w:p>
    <w:p w14:paraId="218BCD00" w14:textId="77777777" w:rsidR="002E0323" w:rsidRPr="00B17D35" w:rsidRDefault="00B17D35">
      <w:pPr>
        <w:spacing w:line="240" w:lineRule="auto"/>
        <w:ind w:left="0" w:hanging="2"/>
        <w:jc w:val="both"/>
      </w:pPr>
      <w:r w:rsidRPr="00B17D35">
        <w:t>El Presidente pone a disposición de los miembros del Directorio la documentación relacionada respecto de cada punto del orden del día que se tratara en cada reunión con el objeto de facilitar la deliberación, estudio y reflexión de cada temática propuesta en las reuniones. La capacitación es un derecho y deber de los Directores, reconocido en el Código de Gobierno Societario y el Reglamento de Directorio. Con el objeto de brindar un espacio de capacitación específica para las autoridades que se puede sumar a las capacitaciones que realice cada director por cuenta propia, la Sociedad se encuentra delineando un Plan de Capacitación Anual donde se fijará los objetivos de aprendizaje para los directores respecto de las temáticas que se consideran necesarias. Los Directores deberán capacitarse continuamente, adquiriendo nuevos conocimientos y herramientas para el mejor desempeño del cargo para el que fue designado y su función dentro de los Comités, si correspondiese dedicando tiempo suficiente y apropiado para desarrollar y actualizar sus conocimientos y aptitudes. Será obligación de los Directores cumplir con lo dispuesto en el respecto de la capacitación mínima que deberá acreditar haber cumplido para ejercer su rol. A tal fin, la Sociedad ofrecerá programas de formación, capacitación y actualización continúa dirigidos a todos los Directores y Síndicos.</w:t>
      </w:r>
    </w:p>
    <w:p w14:paraId="0B44408F" w14:textId="77777777" w:rsidR="002E0323" w:rsidRPr="00B17D35" w:rsidRDefault="00B17D35">
      <w:pPr>
        <w:spacing w:line="240" w:lineRule="auto"/>
        <w:ind w:left="0" w:hanging="2"/>
        <w:jc w:val="both"/>
      </w:pPr>
      <w:r w:rsidRPr="00B17D35">
        <w:t xml:space="preserve">Los Directores y Síndicos que sean designados por primera vez serán instruidos sobre sus facultades, responsabilidades, los reglamentos y políticas internas, las características del negocio, el mercado en el que actúa y las normas sobre el funcionamiento de los órganos de la Sociedad. El proceso de </w:t>
      </w:r>
      <w:r w:rsidRPr="00B17D35">
        <w:lastRenderedPageBreak/>
        <w:t xml:space="preserve">inducción estará a cargo de la Secretaría Corporativa pudiendo contar con la concurrencia del Comité Ejecutivo. El mismo se iniciará con una reunión con las nuevas autoridades durante los días posteriores a su designación en la cual se brindará información sobre la Sociedad, abarcando tópicos relacionados al propósito de la Sociedad, el negocio, el funcionamiento de sus órganos y las materias de análisis que corresponden a cada comité de Directorio, entre otros. En la reunión se les brindará acceso a la información necesaria para su gestión a través del sistema de gestión. </w:t>
      </w:r>
    </w:p>
    <w:p w14:paraId="546D7355" w14:textId="77777777" w:rsidR="002E0323" w:rsidRPr="00B17D35" w:rsidRDefault="002E0323">
      <w:pPr>
        <w:spacing w:line="240" w:lineRule="auto"/>
        <w:ind w:left="0" w:hanging="2"/>
        <w:jc w:val="both"/>
      </w:pPr>
    </w:p>
    <w:p w14:paraId="05EE655D" w14:textId="77777777" w:rsidR="002E0323" w:rsidRPr="00B17D35" w:rsidRDefault="00B17D35">
      <w:pPr>
        <w:spacing w:line="240" w:lineRule="auto"/>
        <w:ind w:left="0" w:hanging="2"/>
        <w:jc w:val="both"/>
        <w:rPr>
          <w:b/>
        </w:rPr>
      </w:pPr>
      <w:r w:rsidRPr="00B17D35">
        <w:rPr>
          <w:b/>
        </w:rPr>
        <w:t>9. La Secretaría Corporativa apoya al Presidente del Directorio en la administración efectiva del Directorio y colabora en la comunicación entre accionistas, Directorio y gerencia.</w:t>
      </w:r>
    </w:p>
    <w:p w14:paraId="25B36054" w14:textId="77777777" w:rsidR="002E0323" w:rsidRPr="00B17D35" w:rsidRDefault="00B17D35">
      <w:pPr>
        <w:spacing w:line="240" w:lineRule="auto"/>
        <w:ind w:left="0" w:hanging="2"/>
        <w:jc w:val="both"/>
      </w:pPr>
      <w:r w:rsidRPr="00B17D35">
        <w:t>Las funciones de la Secretaria Corporativa son ejercidas por el área de legales de la Sociedad y están establecidas en el Reglamento de Directorio siendo sus principales funciones la asistencia legal y organizativa del Directorio, permitiéndole llevar adelante sus tareas y responsabilidades. La Secretaría Corporativa deberá reportar y ser responsable frente al Directorio por sus funciones y mantener una línea de comunicación fluida con el Comité Ejecutivo. Asimismo, es la encargada de la organización de las asambleas de accionistas, asistiendo a los accionistas en los pedidos de información a la Sociedad en el ejercicio de sus derechos y obligaciones.</w:t>
      </w:r>
    </w:p>
    <w:p w14:paraId="6D832B30" w14:textId="77777777" w:rsidR="002E0323" w:rsidRPr="00B17D35" w:rsidRDefault="002E0323">
      <w:pPr>
        <w:spacing w:line="240" w:lineRule="auto"/>
        <w:ind w:left="0" w:hanging="2"/>
        <w:jc w:val="both"/>
      </w:pPr>
    </w:p>
    <w:p w14:paraId="5C1CC4E0" w14:textId="77777777" w:rsidR="002E0323" w:rsidRPr="00B17D35" w:rsidRDefault="00B17D35">
      <w:pPr>
        <w:spacing w:line="240" w:lineRule="auto"/>
        <w:ind w:left="0" w:hanging="2"/>
        <w:jc w:val="both"/>
        <w:rPr>
          <w:b/>
        </w:rPr>
      </w:pPr>
      <w:r w:rsidRPr="00B17D35">
        <w:rPr>
          <w:b/>
        </w:rPr>
        <w:t>10. El Presidente del Directorio asegura la participación de todos sus miembros en el desarrollo y aprobación de un de un plan de sucesión para el gerente general de la compañía.</w:t>
      </w:r>
    </w:p>
    <w:p w14:paraId="56B9A9B4" w14:textId="77777777" w:rsidR="002E0323" w:rsidRPr="00B17D35" w:rsidRDefault="00B17D35">
      <w:pPr>
        <w:spacing w:line="240" w:lineRule="auto"/>
        <w:ind w:left="0" w:hanging="2"/>
        <w:jc w:val="both"/>
      </w:pPr>
      <w:r w:rsidRPr="00B17D35">
        <w:t>. La Sociedad cuenta con un Plan de Sucesión de Gerente General donde se establece que el Directorio, procederá a la designación de un nuevo Gerente General evaluando la propuesta que a tal efecto realice el Comité de Remuneraciones y Nominaciones. En esta Política se establece el procedimiento aplicable en caso de sucesión del Gerente General de la Sociedad, la normativa aplicable al caso y el plan de transacción.</w:t>
      </w:r>
    </w:p>
    <w:p w14:paraId="2BB0408C" w14:textId="77777777" w:rsidR="002E0323" w:rsidRPr="00B17D35" w:rsidRDefault="002E0323">
      <w:pPr>
        <w:spacing w:line="240" w:lineRule="auto"/>
        <w:ind w:left="0" w:hanging="2"/>
        <w:jc w:val="both"/>
      </w:pPr>
    </w:p>
    <w:p w14:paraId="23A912C1" w14:textId="77777777" w:rsidR="002E0323" w:rsidRPr="00B17D35" w:rsidRDefault="00B17D35">
      <w:pPr>
        <w:spacing w:line="240" w:lineRule="auto"/>
        <w:ind w:left="0" w:hanging="2"/>
        <w:jc w:val="both"/>
        <w:rPr>
          <w:b/>
        </w:rPr>
      </w:pPr>
      <w:r w:rsidRPr="00B17D35">
        <w:rPr>
          <w:b/>
        </w:rPr>
        <w:t>C) COMPOSICIÓN, NOMINACIÓN Y SUCESIÓN DEL DIRECTORIO</w:t>
      </w:r>
    </w:p>
    <w:p w14:paraId="28412C10" w14:textId="77777777" w:rsidR="002E0323" w:rsidRPr="00B17D35" w:rsidRDefault="00B17D35">
      <w:pPr>
        <w:spacing w:line="240" w:lineRule="auto"/>
        <w:ind w:left="0" w:hanging="2"/>
        <w:jc w:val="both"/>
        <w:rPr>
          <w:i/>
        </w:rPr>
      </w:pPr>
      <w:r w:rsidRPr="00B17D35">
        <w:rPr>
          <w:i/>
        </w:rPr>
        <w:t>Principios</w:t>
      </w:r>
    </w:p>
    <w:p w14:paraId="67443342" w14:textId="77777777" w:rsidR="002E0323" w:rsidRPr="00B17D35" w:rsidRDefault="00B17D35">
      <w:pPr>
        <w:spacing w:line="240" w:lineRule="auto"/>
        <w:ind w:left="0" w:hanging="2"/>
        <w:jc w:val="both"/>
        <w:rPr>
          <w:i/>
        </w:rPr>
      </w:pPr>
      <w:r w:rsidRPr="00B17D35">
        <w:rPr>
          <w:i/>
        </w:rPr>
        <w:t xml:space="preserve">IX. El Directorio deberá contar con niveles adecuados de independencia y diversidad que le permitan tomar decisiones en pos del mejor interés de la compañía, evitando el pensamiento de grupo y la toma de decisiones por individuos o grupos dominantes dentro del Directorio. </w:t>
      </w:r>
    </w:p>
    <w:p w14:paraId="3E6F55D3" w14:textId="77777777" w:rsidR="002E0323" w:rsidRPr="00B17D35" w:rsidRDefault="00B17D35">
      <w:pPr>
        <w:spacing w:line="240" w:lineRule="auto"/>
        <w:ind w:left="0" w:hanging="2"/>
        <w:jc w:val="both"/>
        <w:rPr>
          <w:i/>
        </w:rPr>
      </w:pPr>
      <w:r w:rsidRPr="00B17D35">
        <w:rPr>
          <w:i/>
        </w:rPr>
        <w:t>X. El Directorio deberá asegurar que la compañía cuenta con procedimientos formales para la propuesta y nominación de candidatos para ocupar cargos en el Directorio en el marco de un plan de sucesión.</w:t>
      </w:r>
    </w:p>
    <w:p w14:paraId="503C5A3D" w14:textId="77777777" w:rsidR="002E0323" w:rsidRPr="00B17D35" w:rsidRDefault="002E0323">
      <w:pPr>
        <w:spacing w:line="240" w:lineRule="auto"/>
        <w:ind w:left="0" w:hanging="2"/>
        <w:jc w:val="both"/>
      </w:pPr>
    </w:p>
    <w:p w14:paraId="365EC727" w14:textId="77777777" w:rsidR="002E0323" w:rsidRPr="00B17D35" w:rsidRDefault="00B17D35">
      <w:pPr>
        <w:spacing w:line="240" w:lineRule="auto"/>
        <w:ind w:left="0" w:hanging="2"/>
        <w:jc w:val="both"/>
        <w:rPr>
          <w:b/>
        </w:rPr>
      </w:pPr>
      <w:r w:rsidRPr="00B17D35">
        <w:rPr>
          <w:b/>
        </w:rPr>
        <w:t>11. El Directorio tiene al menos dos miembros que poseen el carácter de independientes de acuerdo con los criterios vigentes establecidos por la Comisión Nacional de Valores.</w:t>
      </w:r>
    </w:p>
    <w:p w14:paraId="6D0AF9B5" w14:textId="77777777" w:rsidR="002E0323" w:rsidRPr="00B17D35" w:rsidRDefault="00B17D35">
      <w:pPr>
        <w:spacing w:line="240" w:lineRule="auto"/>
        <w:ind w:left="0" w:hanging="2"/>
        <w:jc w:val="both"/>
      </w:pPr>
      <w:r w:rsidRPr="00B17D35">
        <w:t>. Desde que se encuentra en vigencia la obligación normativa de contar con un mínimo de directores independientes en El Directorio, la Sociedad ha cumplido rigurosamente esta normativa. De conformidad con lo detallado y en cumplimiento de la norma, actualmente se cumple con el mínimo de dos directores independientes según los criterios vigentes establecidos por la CNV. Adicionalmente, se establece un mecanismo de sucesión en el Reglamento de Directorio, publicado en la página web de la sociedad, para el caso un director deje de reunir la condición de independiente ante CNV.</w:t>
      </w:r>
    </w:p>
    <w:p w14:paraId="591A8D16" w14:textId="77777777" w:rsidR="002E0323" w:rsidRPr="00B17D35" w:rsidRDefault="002E0323">
      <w:pPr>
        <w:spacing w:line="240" w:lineRule="auto"/>
        <w:ind w:left="0" w:hanging="2"/>
        <w:jc w:val="both"/>
      </w:pPr>
    </w:p>
    <w:p w14:paraId="6AA37A67" w14:textId="77777777" w:rsidR="002E0323" w:rsidRPr="00B17D35" w:rsidRDefault="00B17D35">
      <w:pPr>
        <w:spacing w:line="240" w:lineRule="auto"/>
        <w:ind w:left="0" w:hanging="2"/>
        <w:jc w:val="both"/>
        <w:rPr>
          <w:b/>
        </w:rPr>
      </w:pPr>
      <w:r w:rsidRPr="00B17D35">
        <w:rPr>
          <w:b/>
        </w:rPr>
        <w:t xml:space="preserve">12. La compañía cuenta con un Comité de Nominaciones que está compuesto por al menos tres (3) miembros y es presidido por un director independiente. De presidir el Comité de </w:t>
      </w:r>
      <w:r w:rsidRPr="00B17D35">
        <w:rPr>
          <w:b/>
        </w:rPr>
        <w:lastRenderedPageBreak/>
        <w:t>Nominaciones, el Presidente del Directorio se abstendrá de participar frente al tratamiento de la designación de su propio sucesor.</w:t>
      </w:r>
    </w:p>
    <w:p w14:paraId="1C9BB376" w14:textId="77777777" w:rsidR="002E0323" w:rsidRPr="00B17D35" w:rsidRDefault="002E0323">
      <w:pPr>
        <w:spacing w:line="240" w:lineRule="auto"/>
        <w:ind w:left="0" w:hanging="2"/>
        <w:jc w:val="both"/>
        <w:rPr>
          <w:b/>
        </w:rPr>
      </w:pPr>
    </w:p>
    <w:p w14:paraId="1C407AE1" w14:textId="77777777" w:rsidR="002E0323" w:rsidRPr="00B17D35" w:rsidRDefault="00B17D35">
      <w:pPr>
        <w:spacing w:line="240" w:lineRule="auto"/>
        <w:ind w:left="0" w:hanging="2"/>
        <w:jc w:val="both"/>
      </w:pPr>
      <w:r w:rsidRPr="00B17D35">
        <w:t>La Sociedad cuenta con un Comité de Remuneraciones y Nominaciones compuesto por cinco miembros y presidido por el Presidente del Directorio quién se abstiene de participar en la designación de su propio sucesor, si debiera tratarse dicho punto. Actualmente, el Presidente cumple con los criterios de independencia establecidos por la CNV para las Emisoras.</w:t>
      </w:r>
    </w:p>
    <w:p w14:paraId="70B6C860" w14:textId="77777777" w:rsidR="002E0323" w:rsidRPr="00B17D35" w:rsidRDefault="002E0323">
      <w:pPr>
        <w:spacing w:line="240" w:lineRule="auto"/>
        <w:ind w:left="0" w:hanging="2"/>
        <w:jc w:val="both"/>
      </w:pPr>
    </w:p>
    <w:p w14:paraId="2F320562" w14:textId="77777777" w:rsidR="002E0323" w:rsidRPr="00B17D35" w:rsidRDefault="00B17D35">
      <w:pPr>
        <w:spacing w:line="240" w:lineRule="auto"/>
        <w:ind w:left="0" w:hanging="2"/>
        <w:jc w:val="both"/>
        <w:rPr>
          <w:b/>
        </w:rPr>
      </w:pPr>
      <w:r w:rsidRPr="00B17D35">
        <w:rPr>
          <w:b/>
        </w:rPr>
        <w:t>13. El Directorio, a través del Comité de Nominaciones, desarrolla un plan de sucesión para sus miembros que guía el proceso de preselección de candidatos para ocupar vacantes y tiene en consideración las recomendaciones no vinculantes realizadas por sus miembros, el Gerente General y los Accionistas.</w:t>
      </w:r>
    </w:p>
    <w:p w14:paraId="2D0559D8" w14:textId="77777777" w:rsidR="002E0323" w:rsidRPr="00B17D35" w:rsidRDefault="00B17D35">
      <w:pPr>
        <w:spacing w:line="240" w:lineRule="auto"/>
        <w:ind w:left="0" w:hanging="2"/>
        <w:jc w:val="both"/>
      </w:pPr>
      <w:r w:rsidRPr="00B17D35">
        <w:t>El Plan de Sucesión de los Directores se encuentra establecido en el Reglamento de Directorio donde se establece el procedimiento para la nominación, elección y Plan de sucesión de los miembros del Directorio. En el caso del Plan de sucesión se determina un procedimiento para cada vacante en particular; en el caso de que la vacante corresponda a un director independiente, no independiente, de cualquier condición o en el caso de ausencia prolongada. El Comité de Remuneraciones y Nominaciones analiza quiénes son los candidatos para cubrir las vacantes que se presentan para luego confeccionar un reporte para presentar en la Asamblea, previa consideración del Directorio. No obstante, la recomendación final del Comité y/o del Directorio respecto de la conveniencia o no de que el/los candidatos formen parte del Directorio, podrá ser positiva o negativa y será presentada a la Asamblea de accionistas.</w:t>
      </w:r>
    </w:p>
    <w:p w14:paraId="415473C2" w14:textId="77777777" w:rsidR="002E0323" w:rsidRPr="00B17D35" w:rsidRDefault="002E0323">
      <w:pPr>
        <w:spacing w:line="240" w:lineRule="auto"/>
        <w:ind w:left="0" w:hanging="2"/>
        <w:jc w:val="both"/>
      </w:pPr>
    </w:p>
    <w:p w14:paraId="5FE9AD78" w14:textId="77777777" w:rsidR="002E0323" w:rsidRPr="00B17D35" w:rsidRDefault="00B17D35">
      <w:pPr>
        <w:spacing w:line="240" w:lineRule="auto"/>
        <w:ind w:left="0" w:hanging="2"/>
        <w:jc w:val="both"/>
        <w:rPr>
          <w:b/>
        </w:rPr>
      </w:pPr>
      <w:r w:rsidRPr="00B17D35">
        <w:rPr>
          <w:b/>
        </w:rPr>
        <w:t>14. El Directorio implementa un programa de orientación para sus nuevos miembros electos.</w:t>
      </w:r>
    </w:p>
    <w:p w14:paraId="22B0C630" w14:textId="77777777" w:rsidR="002E0323" w:rsidRPr="00B17D35" w:rsidRDefault="00B17D35">
      <w:pPr>
        <w:spacing w:line="240" w:lineRule="auto"/>
        <w:ind w:left="0" w:hanging="2"/>
        <w:jc w:val="both"/>
      </w:pPr>
      <w:r w:rsidRPr="00B17D35">
        <w:t xml:space="preserve">. El Reglamento de Directorio establece que los Directores y Síndicos que sean designados por primera vez serán instruidos sobre sus facultades, responsabilidades, los reglamentos y políticas internas, las características del negocio, el mercado en el que actúa y las normas sobre funcionamiento de los órganos de la Sociedad. El proceso de inducción estará a cargo de la Secretaría Corporativa pudiendo contar con la concurrencia el Comité Ejecutivo. El mismo se iniciará con una reunión con las nuevas autoridades durante los días posteriores a su designación en la cual se brindará información sobre la Sociedad, abarcando tópicos relacionados al propósito de la Sociedad, el negocio, el funcionamiento de sus órganos y las materias de análisis que corresponden a cada comité de Directorio, entre otros. En la reunión se brindará acceso a la información necesaria para su gestión a través del sistema de gestión. Asimismo, podrán organizarse reuniones con gerentes de distintas áreas y se pondrá a disposición la información de otras sociedades del Grupo MtR más destacada. </w:t>
      </w:r>
    </w:p>
    <w:p w14:paraId="72AFE0FF" w14:textId="77777777" w:rsidR="002E0323" w:rsidRPr="00B17D35" w:rsidRDefault="002E0323">
      <w:pPr>
        <w:spacing w:line="240" w:lineRule="auto"/>
        <w:ind w:left="0" w:hanging="2"/>
        <w:jc w:val="both"/>
      </w:pPr>
    </w:p>
    <w:p w14:paraId="6057945D" w14:textId="77777777" w:rsidR="002E0323" w:rsidRPr="00B17D35" w:rsidRDefault="00B17D35">
      <w:pPr>
        <w:spacing w:line="240" w:lineRule="auto"/>
        <w:ind w:left="0" w:hanging="2"/>
        <w:jc w:val="both"/>
        <w:rPr>
          <w:b/>
        </w:rPr>
      </w:pPr>
      <w:r w:rsidRPr="00B17D35">
        <w:rPr>
          <w:b/>
        </w:rPr>
        <w:t>D) REMUNERACIÓN</w:t>
      </w:r>
    </w:p>
    <w:p w14:paraId="1AE3AC33" w14:textId="77777777" w:rsidR="002E0323" w:rsidRPr="00B17D35" w:rsidRDefault="00B17D35">
      <w:pPr>
        <w:spacing w:line="240" w:lineRule="auto"/>
        <w:ind w:left="0" w:hanging="2"/>
        <w:jc w:val="both"/>
        <w:rPr>
          <w:i/>
        </w:rPr>
      </w:pPr>
      <w:r w:rsidRPr="00B17D35">
        <w:rPr>
          <w:i/>
        </w:rPr>
        <w:t>Principios</w:t>
      </w:r>
    </w:p>
    <w:p w14:paraId="2B51D009" w14:textId="77777777" w:rsidR="002E0323" w:rsidRPr="00B17D35" w:rsidRDefault="00B17D35">
      <w:pPr>
        <w:spacing w:line="240" w:lineRule="auto"/>
        <w:ind w:left="0" w:hanging="2"/>
        <w:jc w:val="both"/>
        <w:rPr>
          <w:i/>
        </w:rPr>
      </w:pPr>
      <w:r w:rsidRPr="00B17D35">
        <w:rPr>
          <w:i/>
        </w:rPr>
        <w:t>XI. El Directorio deberá generar incentivos a través de la remuneración para alinear a la gerencia - liderada por el gerente general- y al mismo Directorio con los intereses de largo plazo de la compañía de manera tal que todos los directores cumplan con sus obligaciones respecto a todos sus accionistas de forma equitativa.</w:t>
      </w:r>
    </w:p>
    <w:p w14:paraId="7CA6A2E3" w14:textId="77777777" w:rsidR="002E0323" w:rsidRPr="00B17D35" w:rsidRDefault="002E0323">
      <w:pPr>
        <w:spacing w:line="240" w:lineRule="auto"/>
        <w:ind w:left="0" w:hanging="2"/>
        <w:jc w:val="both"/>
      </w:pPr>
    </w:p>
    <w:p w14:paraId="1FC3D275" w14:textId="77777777" w:rsidR="002E0323" w:rsidRPr="00B17D35" w:rsidRDefault="00B17D35">
      <w:pPr>
        <w:spacing w:line="240" w:lineRule="auto"/>
        <w:ind w:left="0" w:hanging="2"/>
        <w:jc w:val="both"/>
        <w:rPr>
          <w:b/>
        </w:rPr>
      </w:pPr>
      <w:r w:rsidRPr="00B17D35">
        <w:rPr>
          <w:b/>
        </w:rPr>
        <w:t>15. La compañía cuenta con un Comité de Remuneraciones que está compuesto por al menos tres (3) miembros. Los miembros son en su totalidad independientes o no ejecutivos.</w:t>
      </w:r>
    </w:p>
    <w:p w14:paraId="366D8CE0" w14:textId="77777777" w:rsidR="002E0323" w:rsidRPr="00B17D35" w:rsidRDefault="00B17D35">
      <w:pPr>
        <w:spacing w:line="240" w:lineRule="auto"/>
        <w:ind w:left="0" w:hanging="2"/>
        <w:jc w:val="both"/>
      </w:pPr>
      <w:r w:rsidRPr="00B17D35">
        <w:lastRenderedPageBreak/>
        <w:t>El Comité de Remuneraciones y Nominaciones cumple ambas funciones, tal como lo indica su nombre. Se compone actualmente de 5 miembros los que cumplen con los criterios de independencia determinados para las emisoras, y revisten el carácter de ejecutivos.</w:t>
      </w:r>
    </w:p>
    <w:p w14:paraId="23C233F6" w14:textId="77777777" w:rsidR="002E0323" w:rsidRPr="00B17D35" w:rsidRDefault="002E0323">
      <w:pPr>
        <w:spacing w:line="240" w:lineRule="auto"/>
        <w:ind w:left="0" w:hanging="2"/>
        <w:jc w:val="both"/>
      </w:pPr>
    </w:p>
    <w:p w14:paraId="6C501BE3" w14:textId="77777777" w:rsidR="002E0323" w:rsidRPr="00B17D35" w:rsidRDefault="00B17D35">
      <w:pPr>
        <w:spacing w:line="240" w:lineRule="auto"/>
        <w:ind w:left="0" w:hanging="2"/>
        <w:jc w:val="both"/>
        <w:rPr>
          <w:b/>
        </w:rPr>
      </w:pPr>
      <w:r w:rsidRPr="00B17D35">
        <w:rPr>
          <w:b/>
        </w:rPr>
        <w:t>16. El Directorio, a través del Comité de Remuneraciones, establece una política de remuneración para el gerente general y miembros del Directorio.</w:t>
      </w:r>
    </w:p>
    <w:p w14:paraId="584AC428" w14:textId="77777777" w:rsidR="002E0323" w:rsidRPr="00B17D35" w:rsidRDefault="00B17D35">
      <w:pPr>
        <w:spacing w:line="240" w:lineRule="auto"/>
        <w:ind w:left="0" w:hanging="2"/>
        <w:jc w:val="both"/>
      </w:pPr>
      <w:r w:rsidRPr="00B17D35">
        <w:t>El Comité de Remuneraciones y Nominaciones es el encargado de asistir al Directorio en sus funciones de nombramiento, reelección, cesé y retribución equitativa de los Directores y miembros del Comité Ejecutivo de la compañía, emitiendo recomendaciones sobre la retribución de los mismos. La Sociedad cuenta con una Política de honorarios de autoridades que tiene por objetivo establecer las pautas mínimas a considerar al momento de realizarse la propuesta de honorarios para las autoridades vigentes por parte del Directorio a la Asamblea de Accionistas y su posterior distribución entre los distintos miembros del Directorio y la Comisión Fiscalizadora. La propuesta es analizada y presentada por el Comité de Remuneraciones y Nominaciones y es el Directorio quien solicita al Comité de Auditoría que opine sobre la razonabilidad de la propuesta de honorarios, previo a dar su aprobación a la misma para ser presentada a la Asamblea. Esta meritaruará su aprobación. La propuesta del monto global de honorarios deberá ser aprobada o no por la Asamblea General de Accionistas.</w:t>
      </w:r>
    </w:p>
    <w:p w14:paraId="47541390" w14:textId="77777777" w:rsidR="002E0323" w:rsidRPr="00B17D35" w:rsidRDefault="00B17D35">
      <w:pPr>
        <w:spacing w:line="240" w:lineRule="auto"/>
        <w:ind w:left="0" w:hanging="2"/>
        <w:jc w:val="both"/>
      </w:pPr>
      <w:r w:rsidRPr="00B17D35">
        <w:t>Por otra parte, el Comité de Nominaciones y Remuneraciones confecciona el esquema de remuneración de los miembros del Comité Ejecutivo (entre los que se cuenta el Gerente General), y el método de evaluación de desempeño de éstos, asegurando una clara relación entre el desempeño del personal y su remuneración fija y variable, teniendo en cuenta los riesgos asumidos y su administración basándose en parámetros lo suficientemente objetivos en relación al cargo y las actividades que desarrolle cada miembro del Comité y de la Gerencia General.</w:t>
      </w:r>
    </w:p>
    <w:p w14:paraId="7F7F5DC4" w14:textId="77777777" w:rsidR="002E0323" w:rsidRPr="00B17D35" w:rsidRDefault="002E0323">
      <w:pPr>
        <w:spacing w:line="240" w:lineRule="auto"/>
        <w:ind w:left="0" w:hanging="2"/>
        <w:jc w:val="both"/>
      </w:pPr>
    </w:p>
    <w:p w14:paraId="543D1BF7" w14:textId="77777777" w:rsidR="002E0323" w:rsidRPr="00B17D35" w:rsidRDefault="00B17D35">
      <w:pPr>
        <w:spacing w:line="240" w:lineRule="auto"/>
        <w:ind w:left="0" w:hanging="2"/>
        <w:jc w:val="both"/>
        <w:rPr>
          <w:b/>
        </w:rPr>
      </w:pPr>
      <w:r w:rsidRPr="00B17D35">
        <w:rPr>
          <w:b/>
        </w:rPr>
        <w:t>E) AMBIENTE DE CONTROL</w:t>
      </w:r>
    </w:p>
    <w:p w14:paraId="4766C4FF" w14:textId="77777777" w:rsidR="002E0323" w:rsidRPr="00B17D35" w:rsidRDefault="002E0323">
      <w:pPr>
        <w:spacing w:line="240" w:lineRule="auto"/>
        <w:ind w:left="0" w:hanging="2"/>
        <w:jc w:val="both"/>
      </w:pPr>
    </w:p>
    <w:p w14:paraId="4CA0448D" w14:textId="77777777" w:rsidR="002E0323" w:rsidRPr="00B17D35" w:rsidRDefault="00B17D35">
      <w:pPr>
        <w:spacing w:line="240" w:lineRule="auto"/>
        <w:ind w:left="0" w:hanging="2"/>
        <w:jc w:val="both"/>
        <w:rPr>
          <w:i/>
        </w:rPr>
      </w:pPr>
      <w:r w:rsidRPr="00B17D35">
        <w:rPr>
          <w:i/>
        </w:rPr>
        <w:t>Principios</w:t>
      </w:r>
    </w:p>
    <w:p w14:paraId="3B72ADDD" w14:textId="77777777" w:rsidR="002E0323" w:rsidRPr="00B17D35" w:rsidRDefault="00B17D35">
      <w:pPr>
        <w:spacing w:line="240" w:lineRule="auto"/>
        <w:ind w:left="0" w:hanging="2"/>
        <w:jc w:val="both"/>
        <w:rPr>
          <w:i/>
        </w:rPr>
      </w:pPr>
      <w:r w:rsidRPr="00B17D35">
        <w:rPr>
          <w:i/>
        </w:rPr>
        <w:t>XII. El Directorio debe asegurar la existencia de un ambiente de control, compuesto por controles internos desarrollados por la gerencia, la auditoría interna, la gestión de riesgos, el cumplimiento regulatorio y la auditoría externa, que establezca las líneas de defensa necesarias para asegurar la integridad en las operaciones de la compañía y de sus reportes financieros.</w:t>
      </w:r>
    </w:p>
    <w:p w14:paraId="3984CC8E" w14:textId="77777777" w:rsidR="002E0323" w:rsidRPr="00B17D35" w:rsidRDefault="00B17D35">
      <w:pPr>
        <w:spacing w:line="240" w:lineRule="auto"/>
        <w:ind w:left="0" w:hanging="2"/>
        <w:jc w:val="both"/>
        <w:rPr>
          <w:i/>
        </w:rPr>
      </w:pPr>
      <w:r w:rsidRPr="00B17D35">
        <w:rPr>
          <w:i/>
        </w:rPr>
        <w:t>XIII. El Directorio deberá asegurar la existencia de un sistema de gestión integral de riesgos que permita a la gerencia y al Directorio dirigir eficientemente a la compañía hacia sus objetivos estratégicos.</w:t>
      </w:r>
    </w:p>
    <w:p w14:paraId="36A83230" w14:textId="77777777" w:rsidR="002E0323" w:rsidRPr="00B17D35" w:rsidRDefault="00B17D35">
      <w:pPr>
        <w:spacing w:line="240" w:lineRule="auto"/>
        <w:ind w:left="0" w:hanging="2"/>
        <w:jc w:val="both"/>
        <w:rPr>
          <w:i/>
        </w:rPr>
      </w:pPr>
      <w:r w:rsidRPr="00B17D35">
        <w:rPr>
          <w:i/>
        </w:rPr>
        <w:t>XIV. El Directorio deberá asegurar la existencia de una persona o departamento (según el tamaño y complejidad del negocio, la naturaleza de sus operaciones y los riesgos a los cuales se enfrenta) encargado de la auditoría interna de la compañía. Esta auditoría, para evaluar y auditar los controles internos, los procesos de gobierno societario y la gestión de riesgo de la compañía, debe ser independiente y objetiva y tener sus líneas de reporte claramente establecidas.</w:t>
      </w:r>
    </w:p>
    <w:p w14:paraId="6D9A23AA" w14:textId="77777777" w:rsidR="002E0323" w:rsidRPr="00B17D35" w:rsidRDefault="00B17D35">
      <w:pPr>
        <w:spacing w:line="240" w:lineRule="auto"/>
        <w:ind w:left="0" w:hanging="2"/>
        <w:jc w:val="both"/>
        <w:rPr>
          <w:i/>
        </w:rPr>
      </w:pPr>
      <w:r w:rsidRPr="00B17D35">
        <w:rPr>
          <w:i/>
        </w:rPr>
        <w:t>XV. El Comité de Auditoría del Directorio estará compuesto por miembros calificados y experimentados, y deberá cumplir con sus funciones de forma transparente e independiente.</w:t>
      </w:r>
    </w:p>
    <w:p w14:paraId="4D5734DB" w14:textId="77777777" w:rsidR="002E0323" w:rsidRPr="00B17D35" w:rsidRDefault="00B17D35">
      <w:pPr>
        <w:spacing w:line="240" w:lineRule="auto"/>
        <w:ind w:left="0" w:hanging="2"/>
        <w:jc w:val="both"/>
        <w:rPr>
          <w:i/>
        </w:rPr>
      </w:pPr>
      <w:r w:rsidRPr="00B17D35">
        <w:rPr>
          <w:i/>
        </w:rPr>
        <w:t>XVI. El Directorio deberá establecer procedimientos adecuados para velar por la actuación independiente y efectiva de los Auditores Externos.</w:t>
      </w:r>
    </w:p>
    <w:p w14:paraId="25939864" w14:textId="77777777" w:rsidR="002E0323" w:rsidRPr="00B17D35" w:rsidRDefault="002E0323">
      <w:pPr>
        <w:spacing w:line="240" w:lineRule="auto"/>
        <w:ind w:left="0" w:hanging="2"/>
        <w:jc w:val="both"/>
      </w:pPr>
    </w:p>
    <w:p w14:paraId="2A49FE36" w14:textId="77777777" w:rsidR="002E0323" w:rsidRPr="00B17D35" w:rsidRDefault="00B17D35">
      <w:pPr>
        <w:spacing w:line="240" w:lineRule="auto"/>
        <w:ind w:left="0" w:hanging="2"/>
        <w:jc w:val="both"/>
        <w:rPr>
          <w:b/>
        </w:rPr>
      </w:pPr>
      <w:r w:rsidRPr="00B17D35">
        <w:rPr>
          <w:b/>
        </w:rPr>
        <w:lastRenderedPageBreak/>
        <w:t>17. El Directorio determina el apetito de riesgo de la compañía y además supervisa y garantiza la existencia de un sistema integral de gestión de riesgos que identifique, evalúe, decida el curso de acción y monitoree los riesgos a los que se enfrenta la compañía,  incluyendo -entre otros- los riesgos medioambientales, sociales y aquellos inherentes al negocio en el corto y largo plazo.</w:t>
      </w:r>
    </w:p>
    <w:p w14:paraId="73AA14D6" w14:textId="77777777" w:rsidR="002E0323" w:rsidRPr="00B17D35" w:rsidRDefault="00B17D35">
      <w:pPr>
        <w:spacing w:line="240" w:lineRule="auto"/>
        <w:ind w:left="0" w:hanging="2"/>
        <w:jc w:val="both"/>
      </w:pPr>
      <w:r w:rsidRPr="00B17D35">
        <w:t xml:space="preserve">. MtR cuenta con una Política de Gestión de Riesgos y con un Manual para su aplicación, aprobados por su Directorio. El objetivo de estos documentos es proporcionar a toda la Organización las capacidades necesarias para identificar, evaluar y gestionar los riesgos que generan incertidumbre sobre el logro de sus objetivos permitiendo así establecer un marco de referencia que permita diseñar y establecer un método para una administración sistemática de los riesgos corporativos. El Directorio define la estrategia de la Compañía y la tolerancia al riesgo en forma coherente con la estrategia de negocios y el plan estratégico, para la definición e implementación de la estrategia del riesgo. Es el Comité de Riesgo es que se propone y revisa la Política de Gestión de Riesgo Empresarial, para ser aplicada por todos los niveles de la organización, previa aprobación del Directorio. </w:t>
      </w:r>
    </w:p>
    <w:p w14:paraId="5EEE50EC" w14:textId="77777777" w:rsidR="002E0323" w:rsidRPr="00B17D35" w:rsidRDefault="002E0323">
      <w:pPr>
        <w:spacing w:line="240" w:lineRule="auto"/>
        <w:ind w:left="0" w:hanging="2"/>
        <w:jc w:val="both"/>
      </w:pPr>
    </w:p>
    <w:p w14:paraId="77A35F3F" w14:textId="77777777" w:rsidR="002E0323" w:rsidRPr="00B17D35" w:rsidRDefault="00B17D35">
      <w:pPr>
        <w:spacing w:line="240" w:lineRule="auto"/>
        <w:ind w:left="0" w:hanging="2"/>
        <w:jc w:val="both"/>
        <w:rPr>
          <w:b/>
        </w:rPr>
      </w:pPr>
      <w:r w:rsidRPr="00B17D35">
        <w:rPr>
          <w:b/>
        </w:rPr>
        <w:t>18. El Directorio monitorea y revisa la efectividad de la auditoría interna independiente y garantiza los recursos para la implementación de un plan anual de auditoría en base a riesgos y una línea de reporte directa al Comité de Auditoría.</w:t>
      </w:r>
    </w:p>
    <w:p w14:paraId="5189FB35" w14:textId="77777777" w:rsidR="002E0323" w:rsidRPr="00B17D35" w:rsidRDefault="00B17D35">
      <w:pPr>
        <w:spacing w:line="240" w:lineRule="auto"/>
        <w:ind w:left="0" w:hanging="2"/>
        <w:jc w:val="both"/>
      </w:pPr>
      <w:r w:rsidRPr="00B17D35">
        <w:t xml:space="preserve">s Periódicamente, se realizan auditorías internas en la sociedad que coordinadas e implementadas por las áreas encargadas de dar seguimiento a las mismas según el tipo de auditoría que fuere. Estas auditorías son presentadas al Comité de Auditoría y luego tratadas por el Directorio, donde se presentan los resultados de las mismas y las mejoras y oportunidades que se detectaron. Una de las principales funciones del Comité de Auditoria es asistir al Directorio en sus funciones de vigilancia y control como así también la revisión de la arquitectura de control. </w:t>
      </w:r>
    </w:p>
    <w:p w14:paraId="3576FBE4" w14:textId="77777777" w:rsidR="002E0323" w:rsidRPr="00B17D35" w:rsidRDefault="002E0323">
      <w:pPr>
        <w:spacing w:line="240" w:lineRule="auto"/>
        <w:ind w:left="0" w:hanging="2"/>
        <w:jc w:val="both"/>
      </w:pPr>
    </w:p>
    <w:p w14:paraId="30AA394A" w14:textId="77777777" w:rsidR="002E0323" w:rsidRPr="00B17D35" w:rsidRDefault="00B17D35">
      <w:pPr>
        <w:spacing w:line="240" w:lineRule="auto"/>
        <w:ind w:left="0" w:hanging="2"/>
        <w:jc w:val="both"/>
        <w:rPr>
          <w:b/>
        </w:rPr>
      </w:pPr>
      <w:r w:rsidRPr="00B17D35">
        <w:rPr>
          <w:b/>
        </w:rPr>
        <w:t>19. El auditor interno o los miembros del departamento de auditoría interna son independientes y altamente capacitados.</w:t>
      </w:r>
    </w:p>
    <w:p w14:paraId="0D648F19" w14:textId="77777777" w:rsidR="002E0323" w:rsidRPr="00B17D35" w:rsidRDefault="00B17D35">
      <w:pPr>
        <w:spacing w:line="240" w:lineRule="auto"/>
        <w:ind w:left="0" w:hanging="2"/>
        <w:jc w:val="both"/>
      </w:pPr>
      <w:r w:rsidRPr="00B17D35">
        <w:t>La función de auditoría interna es realizada por diferentes áreas dentro de la sociedad, los colaboradores que forman parte de las áreas de Fiscalización y Control, Calidad y  Compliance, cuentan con experiencia y especialización en los temas bajo su evaluación, e independencia para el seguimiento y la evaluación de la eficacia del sistema de control interno de la Sociedad, debiendo observar los principios de diligencia, lealtad y reserva que se exigen al Directorio. Sus funciones incluyen la evaluación permanente de todos los procesos internos sean de conformidad con lo estipulado, por las normas tanto internas como externas y, que toda la información que se genera desde la sociedad, especialmente de tipo financiera, sea válida y confiable. Asimismo, con la asistencia del área de Legales se encargan de verificar que la función de cumplimiento normativo sea ejercida eficazmente.</w:t>
      </w:r>
    </w:p>
    <w:p w14:paraId="65D262EF" w14:textId="77777777" w:rsidR="002E0323" w:rsidRPr="00B17D35" w:rsidRDefault="002E0323">
      <w:pPr>
        <w:spacing w:line="240" w:lineRule="auto"/>
        <w:ind w:left="0" w:hanging="2"/>
        <w:jc w:val="both"/>
        <w:rPr>
          <w:b/>
        </w:rPr>
      </w:pPr>
    </w:p>
    <w:p w14:paraId="532A5526" w14:textId="77777777" w:rsidR="002E0323" w:rsidRPr="00B17D35" w:rsidRDefault="00B17D35">
      <w:pPr>
        <w:spacing w:line="240" w:lineRule="auto"/>
        <w:ind w:left="0" w:hanging="2"/>
        <w:jc w:val="both"/>
        <w:rPr>
          <w:b/>
        </w:rPr>
      </w:pPr>
      <w:r w:rsidRPr="00B17D35">
        <w:rPr>
          <w:b/>
        </w:rPr>
        <w:t>20. El Directorio tiene un Comité de Auditoría que actúa en base a un reglamento. El comité está compuesto en su mayoría y presidido por directores independientes y no incluye al gerente general. La mayoría de sus miembros tiene experiencia profesional en áreas financieras y contables.</w:t>
      </w:r>
    </w:p>
    <w:p w14:paraId="1A1162FB" w14:textId="77777777" w:rsidR="002E0323" w:rsidRPr="00B17D35" w:rsidRDefault="00B17D35">
      <w:pPr>
        <w:spacing w:line="240" w:lineRule="auto"/>
        <w:ind w:left="0" w:hanging="2"/>
        <w:jc w:val="both"/>
      </w:pPr>
      <w:r w:rsidRPr="00B17D35">
        <w:t>El Comité de Auditoría actúa de conformidad con lo estipulado en el Estatuto Social y   el Reglamento de Directorio. Se compone de 3 miembros, los cuales son en su mayoría independientes de conformidad con los criterios de la CNV. El mismo no incluye al Gerente General. La experiencia profesional de todos sus integrantes es en temas empresarios, financieros o contables.</w:t>
      </w:r>
    </w:p>
    <w:p w14:paraId="280EF84C" w14:textId="77777777" w:rsidR="002E0323" w:rsidRPr="00B17D35" w:rsidRDefault="002E0323">
      <w:pPr>
        <w:spacing w:line="240" w:lineRule="auto"/>
        <w:ind w:left="0" w:hanging="2"/>
        <w:jc w:val="both"/>
      </w:pPr>
    </w:p>
    <w:p w14:paraId="61584F87" w14:textId="77777777" w:rsidR="002E0323" w:rsidRPr="00B17D35" w:rsidRDefault="00B17D35">
      <w:pPr>
        <w:spacing w:line="240" w:lineRule="auto"/>
        <w:ind w:left="0" w:hanging="2"/>
        <w:jc w:val="both"/>
        <w:rPr>
          <w:b/>
        </w:rPr>
      </w:pPr>
      <w:r w:rsidRPr="00B17D35">
        <w:rPr>
          <w:b/>
        </w:rPr>
        <w:t>21. El Directorio, con opinión del Comité de Auditoría, aprueba una política de selección y monitoreo de auditores externos en la que se determinan los indicadores que se deben considerar al realizar la recomendación a la asamblea de Accionistas sobre la conservación o sustitución del auditor externo.</w:t>
      </w:r>
    </w:p>
    <w:p w14:paraId="13EFD8AB" w14:textId="77777777" w:rsidR="002E0323" w:rsidRPr="00B17D35" w:rsidRDefault="00B17D35">
      <w:pPr>
        <w:spacing w:line="240" w:lineRule="auto"/>
        <w:ind w:left="0" w:hanging="2"/>
        <w:jc w:val="both"/>
      </w:pPr>
      <w:r w:rsidRPr="00B17D35">
        <w:t xml:space="preserve">El Directorio de la Sociedad propone la designación de auditores externos siendo que el Comité de Auditoria emite su </w:t>
      </w:r>
      <w:r w:rsidRPr="00B17D35">
        <w:rPr>
          <w:color w:val="000000"/>
        </w:rPr>
        <w:t>opinión respecto de la misma en miras a velar por su independencia</w:t>
      </w:r>
      <w:r w:rsidRPr="00B17D35">
        <w:t xml:space="preserve"> siendo este último el órgano que aprueba la propuesta a presentar a la Asamblea. El Directorio de MtR sigue los lineamientos dispuestos por las Normas de la CNV respecto de la rotación y selección de auditores externos.</w:t>
      </w:r>
    </w:p>
    <w:p w14:paraId="7357DDCD" w14:textId="77777777" w:rsidR="002E0323" w:rsidRPr="00B17D35" w:rsidRDefault="002E0323">
      <w:pPr>
        <w:spacing w:line="240" w:lineRule="auto"/>
        <w:ind w:left="0" w:hanging="2"/>
        <w:jc w:val="both"/>
      </w:pPr>
    </w:p>
    <w:p w14:paraId="0CE4FED5" w14:textId="77777777" w:rsidR="002E0323" w:rsidRPr="00B17D35" w:rsidRDefault="00B17D35">
      <w:pPr>
        <w:spacing w:line="240" w:lineRule="auto"/>
        <w:ind w:left="0" w:hanging="2"/>
        <w:jc w:val="both"/>
        <w:rPr>
          <w:b/>
        </w:rPr>
      </w:pPr>
      <w:r w:rsidRPr="00B17D35">
        <w:rPr>
          <w:b/>
        </w:rPr>
        <w:t>F) ÉTICA, INTEGRIDAD Y CUMPLIMIENTO</w:t>
      </w:r>
    </w:p>
    <w:p w14:paraId="4810E082" w14:textId="77777777" w:rsidR="002E0323" w:rsidRPr="00B17D35" w:rsidRDefault="00B17D35">
      <w:pPr>
        <w:spacing w:line="240" w:lineRule="auto"/>
        <w:ind w:left="0" w:hanging="2"/>
        <w:jc w:val="both"/>
        <w:rPr>
          <w:i/>
        </w:rPr>
      </w:pPr>
      <w:r w:rsidRPr="00B17D35">
        <w:rPr>
          <w:i/>
        </w:rPr>
        <w:t>Principios</w:t>
      </w:r>
    </w:p>
    <w:p w14:paraId="4A81BEBB" w14:textId="77777777" w:rsidR="002E0323" w:rsidRPr="00B17D35" w:rsidRDefault="00B17D35">
      <w:pPr>
        <w:spacing w:line="240" w:lineRule="auto"/>
        <w:ind w:left="0" w:hanging="2"/>
        <w:jc w:val="both"/>
        <w:rPr>
          <w:i/>
        </w:rPr>
      </w:pPr>
      <w:r w:rsidRPr="00B17D35">
        <w:rPr>
          <w:i/>
        </w:rPr>
        <w:t>XVII. El Directorio debe diseñar y establecer estructuras y prácticas apropiadas para promover una cultura de ética, integridad y cumplimiento de normas que prevenga, detecte y aborde faltas corporativas o personales serias.</w:t>
      </w:r>
    </w:p>
    <w:p w14:paraId="6E7EEE29" w14:textId="77777777" w:rsidR="002E0323" w:rsidRPr="00B17D35" w:rsidRDefault="00B17D35">
      <w:pPr>
        <w:spacing w:line="240" w:lineRule="auto"/>
        <w:ind w:left="0" w:hanging="2"/>
        <w:jc w:val="both"/>
        <w:rPr>
          <w:i/>
        </w:rPr>
      </w:pPr>
      <w:r w:rsidRPr="00B17D35">
        <w:rPr>
          <w:i/>
        </w:rPr>
        <w:t>XVIII. El Directorio asegurará el establecimiento de mecanismos formales para prevenir y en su defecto lidiar con los conflictos de interés que puedan surgir en la administración y dirección de la compañía. Deberá contar con procedimientos formales que busquen asegurar que las transacciones entre partes relacionadas se realicen en miras del mejor interés de la compañía y el tratamiento equitativo de todos sus accionistas.</w:t>
      </w:r>
    </w:p>
    <w:p w14:paraId="1683A01F" w14:textId="77777777" w:rsidR="002E0323" w:rsidRPr="00B17D35" w:rsidRDefault="002E0323">
      <w:pPr>
        <w:spacing w:line="240" w:lineRule="auto"/>
        <w:ind w:left="0" w:hanging="2"/>
        <w:jc w:val="both"/>
      </w:pPr>
    </w:p>
    <w:p w14:paraId="52A2773D" w14:textId="77777777" w:rsidR="002E0323" w:rsidRPr="00B17D35" w:rsidRDefault="00B17D35">
      <w:pPr>
        <w:spacing w:line="240" w:lineRule="auto"/>
        <w:ind w:left="0" w:hanging="2"/>
        <w:jc w:val="both"/>
        <w:rPr>
          <w:b/>
        </w:rPr>
      </w:pPr>
      <w:r w:rsidRPr="00B17D35">
        <w:rPr>
          <w:b/>
        </w:rPr>
        <w:t>22. El Directorio aprueba un Código de Ética y Conducta que refleja los valores y principios éticos y de integridad, así como también la cultura de la compañía. El Código de Ética y Conducta es comunicado y aplicable a todos los directores, gerentes y empleados de la compañía.</w:t>
      </w:r>
    </w:p>
    <w:p w14:paraId="3DC53EEB" w14:textId="77777777" w:rsidR="002E0323" w:rsidRPr="00B17D35" w:rsidRDefault="00B17D35">
      <w:pPr>
        <w:spacing w:line="240" w:lineRule="auto"/>
        <w:ind w:left="0" w:hanging="2"/>
        <w:jc w:val="both"/>
      </w:pPr>
      <w:r w:rsidRPr="00B17D35">
        <w:t>El Código de Ética y Conducta de MtR se encuentra aprobado por el Directorio de la Sociedad y publicado en su página web. Este Código alienta los valores asumidos por la Sociedad y señala la conducta de los sujetos alcanzados esperada por la Sociedad, destacándose como principios rectores: la excelencia humana de la institución y los valores morales y éticos, en especial el principio de lealtad. Tal como se expresa en el mismo, este Código es aplicable a Directores, Síndicos y los colaboradores de la Sociedad, ya sean empleados en relación de dependencia efectivos, contratados, permanentes o temporarios y personas que ocasional o periódicamente presten</w:t>
      </w:r>
    </w:p>
    <w:p w14:paraId="530B9C74" w14:textId="77777777" w:rsidR="002E0323" w:rsidRPr="00B17D35" w:rsidRDefault="00B17D35">
      <w:pPr>
        <w:spacing w:line="240" w:lineRule="auto"/>
        <w:ind w:left="0" w:hanging="2"/>
        <w:jc w:val="both"/>
      </w:pPr>
      <w:r w:rsidRPr="00B17D35">
        <w:t>servicios a la Sociedad en virtud de algún contrato o acuerdo o tengan acceso temporal o permanente a las bases de datos administradas por la Sociedad.  El Comité de Auditoria es el encargado de velar por el cumplimiento, interpretación o alcance del contenido del Código.</w:t>
      </w:r>
    </w:p>
    <w:p w14:paraId="7F7DFB3C" w14:textId="77777777" w:rsidR="002E0323" w:rsidRPr="00B17D35" w:rsidRDefault="002E0323">
      <w:pPr>
        <w:spacing w:line="240" w:lineRule="auto"/>
        <w:ind w:left="0" w:hanging="2"/>
        <w:jc w:val="both"/>
      </w:pPr>
    </w:p>
    <w:p w14:paraId="1F1C189F" w14:textId="77777777" w:rsidR="002E0323" w:rsidRPr="00B17D35" w:rsidRDefault="00B17D35">
      <w:pPr>
        <w:spacing w:line="240" w:lineRule="auto"/>
        <w:ind w:left="0" w:hanging="2"/>
        <w:jc w:val="both"/>
        <w:rPr>
          <w:b/>
        </w:rPr>
      </w:pPr>
      <w:r w:rsidRPr="00B17D35">
        <w:rPr>
          <w:b/>
        </w:rPr>
        <w:t xml:space="preserve">23. El Directorio establece y revisa periódicamente, en base a los riesgos, dimensión y capacidad económica un Programa de Ética e Integridad. El plan es apoyado visible e inequívocamente por la gerencia quien designa un responsable interno para que desarrolle, coordine, supervise y evalúe periódicamente el programa en cuanto a su eficacia. El programa dispone: </w:t>
      </w:r>
    </w:p>
    <w:p w14:paraId="13E94DED" w14:textId="77777777" w:rsidR="002E0323" w:rsidRPr="00B17D35" w:rsidRDefault="00B17D35">
      <w:pPr>
        <w:spacing w:line="240" w:lineRule="auto"/>
        <w:ind w:left="0" w:hanging="2"/>
        <w:jc w:val="both"/>
        <w:rPr>
          <w:b/>
        </w:rPr>
      </w:pPr>
      <w:r w:rsidRPr="00B17D35">
        <w:rPr>
          <w:b/>
        </w:rPr>
        <w:t xml:space="preserve">(i) capacitaciones periódicas a directores, administradores y empleados sobre temas de ética, integridad y cumplimiento; (ii) canales internos de denuncia de irregularidades, abiertos a terceros y adecuadamente difundidos; (iii) una política de protección de denunciantes contra represalias; y un sistema de investigación interna que respete los derechos de los investigados e imponga sanciones efectivas a las violaciones del Código de Ética y Conducta; (iv) políticas de integridad en procedimientos licitatorios; (v) mecanismos para análisis periódico de riesgos, </w:t>
      </w:r>
      <w:r w:rsidRPr="00B17D35">
        <w:rPr>
          <w:b/>
        </w:rPr>
        <w:lastRenderedPageBreak/>
        <w:t>monitoreo y evaluación del Programa; y (vi) procedimientos que comprueben la integridad y trayectoria de terceros o socios de negocios (incluyendo la debida diligencia para la verificación de irregularidades, de hechos ilícitos o de la existencia de vulnerabilidades durante los procesos de transformación societaria y adquisiciones), incluyendo proveedores, distribuidores, prestadores de servicios, agentes e intermediarios.</w:t>
      </w:r>
    </w:p>
    <w:p w14:paraId="785F3F7B" w14:textId="77777777" w:rsidR="002E0323" w:rsidRPr="00B17D35" w:rsidRDefault="00B17D35">
      <w:pPr>
        <w:spacing w:line="240" w:lineRule="auto"/>
        <w:ind w:left="0" w:hanging="2"/>
        <w:jc w:val="both"/>
      </w:pPr>
      <w:r w:rsidRPr="00B17D35">
        <w:t xml:space="preserve">El Programa de Ética e Integridad se encuentra actualmente en desarrollo y su análisis y aprobación. </w:t>
      </w:r>
    </w:p>
    <w:p w14:paraId="79134F56" w14:textId="77777777" w:rsidR="002E0323" w:rsidRPr="00B17D35" w:rsidRDefault="002E0323">
      <w:pPr>
        <w:spacing w:line="240" w:lineRule="auto"/>
        <w:ind w:left="0" w:hanging="2"/>
        <w:jc w:val="both"/>
      </w:pPr>
    </w:p>
    <w:p w14:paraId="74D7879B" w14:textId="77777777" w:rsidR="002E0323" w:rsidRPr="00B17D35" w:rsidRDefault="00B17D35">
      <w:pPr>
        <w:spacing w:line="240" w:lineRule="auto"/>
        <w:ind w:left="0" w:hanging="2"/>
        <w:jc w:val="both"/>
      </w:pPr>
      <w:r w:rsidRPr="00B17D35">
        <w:rPr>
          <w:b/>
        </w:rPr>
        <w:t xml:space="preserve">24. El Directorio asegura la existencia de mecanismos formales para prevenir y tratar conflictos de interés. En el caso de transacciones entre partes relacionadas, el Directorio aprueba una política que establece el rol de cada órgano societario y define cómo se identifican, administran y divulgan aquellas transacciones perjudiciales a la compañía o sólo a ciertos inversores.  </w:t>
      </w:r>
      <w:r w:rsidRPr="00B17D35">
        <w:t>La Sociedad desarrolló una Política sobre Transacciones con partes relacionadas, en concordancia con el marco legal y regulatorio aplicable definiendo lo que se entiende por parte relacionada y el procedimiento aplicable en el caso que la Sociedad celebre una transacción con una parte relacionada y que involucren un monto relevante. Por otra parte, el Directorio aprobó una Política sobre Conflicto de Interés para identificar, manejar y resolver toda aquella situación que pueda generar un potencial conflicto de interés que pueda existir entre los miembros del Directorio y/o la Comisión Fiscalizadora y la Sociedad. Ambas Políticas se encuentran a disposición de los inversores y el público en general en la página web.</w:t>
      </w:r>
    </w:p>
    <w:p w14:paraId="0B7A3EC5" w14:textId="77777777" w:rsidR="002E0323" w:rsidRPr="00B17D35" w:rsidRDefault="002E0323">
      <w:pPr>
        <w:spacing w:line="240" w:lineRule="auto"/>
        <w:ind w:left="0" w:hanging="2"/>
        <w:jc w:val="both"/>
      </w:pPr>
    </w:p>
    <w:p w14:paraId="6BC6CFF9" w14:textId="77777777" w:rsidR="002E0323" w:rsidRPr="00B17D35" w:rsidRDefault="00B17D35">
      <w:pPr>
        <w:spacing w:line="240" w:lineRule="auto"/>
        <w:ind w:left="0" w:hanging="2"/>
        <w:jc w:val="both"/>
        <w:rPr>
          <w:b/>
        </w:rPr>
      </w:pPr>
      <w:r w:rsidRPr="00B17D35">
        <w:rPr>
          <w:b/>
        </w:rPr>
        <w:t>G) PARTICIPACIÓN DE LOS ACCIONISTAS Y PARTES INTERESADAS</w:t>
      </w:r>
    </w:p>
    <w:p w14:paraId="45257D71" w14:textId="77777777" w:rsidR="002E0323" w:rsidRPr="00B17D35" w:rsidRDefault="00B17D35">
      <w:pPr>
        <w:spacing w:line="240" w:lineRule="auto"/>
        <w:ind w:left="0" w:hanging="2"/>
        <w:jc w:val="both"/>
        <w:rPr>
          <w:i/>
        </w:rPr>
      </w:pPr>
      <w:r w:rsidRPr="00B17D35">
        <w:rPr>
          <w:i/>
        </w:rPr>
        <w:t>Principios</w:t>
      </w:r>
    </w:p>
    <w:p w14:paraId="4A4A26CD" w14:textId="77777777" w:rsidR="002E0323" w:rsidRPr="00B17D35" w:rsidRDefault="00B17D35">
      <w:pPr>
        <w:spacing w:line="240" w:lineRule="auto"/>
        <w:ind w:left="0" w:hanging="2"/>
        <w:jc w:val="both"/>
        <w:rPr>
          <w:i/>
        </w:rPr>
      </w:pPr>
      <w:r w:rsidRPr="00B17D35">
        <w:rPr>
          <w:i/>
        </w:rPr>
        <w:t>XIX. La compañía deberá tratar a todos los Accionistas de forma equitativa. Deberá garantizar el acceso igualitario a la información no confidencial y relevante para la toma de decisiones asamblearias de la compañía.</w:t>
      </w:r>
    </w:p>
    <w:p w14:paraId="19BF5CA5" w14:textId="77777777" w:rsidR="002E0323" w:rsidRPr="00B17D35" w:rsidRDefault="00B17D35">
      <w:pPr>
        <w:spacing w:line="240" w:lineRule="auto"/>
        <w:ind w:left="0" w:hanging="2"/>
        <w:jc w:val="both"/>
        <w:rPr>
          <w:i/>
        </w:rPr>
      </w:pPr>
      <w:r w:rsidRPr="00B17D35">
        <w:rPr>
          <w:i/>
        </w:rPr>
        <w:t>XX. La compañía deberá promover la participación activa y con información adecuada de todos los Accionistas en especial en la conformación del Directorio.</w:t>
      </w:r>
    </w:p>
    <w:p w14:paraId="5D51D512" w14:textId="77777777" w:rsidR="002E0323" w:rsidRPr="00B17D35" w:rsidRDefault="00B17D35">
      <w:pPr>
        <w:spacing w:line="240" w:lineRule="auto"/>
        <w:ind w:left="0" w:hanging="2"/>
        <w:jc w:val="both"/>
        <w:rPr>
          <w:i/>
        </w:rPr>
      </w:pPr>
      <w:r w:rsidRPr="00B17D35">
        <w:rPr>
          <w:i/>
        </w:rPr>
        <w:t>XXI. La compañía deberá contar con una Política de Distribución de Dividendos transparente que se encuentre alineada a la estrategia.</w:t>
      </w:r>
    </w:p>
    <w:p w14:paraId="2767F70C" w14:textId="77777777" w:rsidR="002E0323" w:rsidRPr="00B17D35" w:rsidRDefault="00B17D35">
      <w:pPr>
        <w:spacing w:line="240" w:lineRule="auto"/>
        <w:ind w:left="0" w:hanging="2"/>
        <w:jc w:val="both"/>
        <w:rPr>
          <w:i/>
        </w:rPr>
      </w:pPr>
      <w:r w:rsidRPr="00B17D35">
        <w:rPr>
          <w:i/>
        </w:rPr>
        <w:t>XXII. La compañía deberá tener en cuenta los intereses de sus partes interesadas.</w:t>
      </w:r>
    </w:p>
    <w:p w14:paraId="5A7D433A" w14:textId="77777777" w:rsidR="002E0323" w:rsidRPr="00B17D35" w:rsidRDefault="002E0323">
      <w:pPr>
        <w:spacing w:line="240" w:lineRule="auto"/>
        <w:ind w:left="0" w:hanging="2"/>
        <w:jc w:val="both"/>
      </w:pPr>
    </w:p>
    <w:p w14:paraId="1288E6EF" w14:textId="77777777" w:rsidR="002E0323" w:rsidRPr="00B17D35" w:rsidRDefault="00B17D35">
      <w:pPr>
        <w:spacing w:line="240" w:lineRule="auto"/>
        <w:ind w:left="0" w:hanging="2"/>
        <w:jc w:val="both"/>
        <w:rPr>
          <w:b/>
        </w:rPr>
      </w:pPr>
      <w:r w:rsidRPr="00B17D35">
        <w:rPr>
          <w:b/>
        </w:rPr>
        <w:t>25. El sitio web de la compañía divulga información financiera y no financiera, proporcionando acceso oportuno e igual a todos los Inversores. El sitio web cuenta con un área especializada para la atención de consultas por los Inversores.</w:t>
      </w:r>
    </w:p>
    <w:p w14:paraId="291010A7" w14:textId="77777777" w:rsidR="002E0323" w:rsidRPr="00B17D35" w:rsidRDefault="00B17D35">
      <w:pPr>
        <w:spacing w:line="240" w:lineRule="auto"/>
        <w:ind w:left="0" w:hanging="2"/>
        <w:jc w:val="both"/>
      </w:pPr>
      <w:r w:rsidRPr="00B17D35">
        <w:t>La Sociedad procura con especial interés mantener una relación transparente y cercana con los inversores, es por ello que desde el Directorio y el Comité Ejecutivo se busca</w:t>
      </w:r>
      <w:r w:rsidRPr="00B17D35">
        <w:rPr>
          <w:u w:val="single"/>
        </w:rPr>
        <w:t xml:space="preserve"> </w:t>
      </w:r>
      <w:r w:rsidRPr="00B17D35">
        <w:t>continuamente mejorar los canales de comunicación y la calidad de información que reciben los accionistas, para que éstos puedan realizar una mejor toma de decisiones, contando con toda la información suficiente para ello, y no sólo cuando los requerimientos legales así lo exijan. Particularmente, se ha establecido una casilla de correo electrónico a esos efectos: inversor@matbarofex.com.ar a los fines de evacuar inquietudes por parte de los accionistas</w:t>
      </w:r>
      <w:r w:rsidRPr="00B17D35">
        <w:rPr>
          <w:u w:val="single"/>
        </w:rPr>
        <w:t xml:space="preserve"> </w:t>
      </w:r>
      <w:r w:rsidRPr="00B17D35">
        <w:t>y un apartado en la</w:t>
      </w:r>
      <w:r w:rsidRPr="00B17D35">
        <w:rPr>
          <w:u w:val="single"/>
        </w:rPr>
        <w:t xml:space="preserve"> </w:t>
      </w:r>
      <w:r w:rsidRPr="00B17D35">
        <w:t>página web de la sociedad MtR (“Información para inversores”) donde se reúne toda la información y documentación de relevancia para estos.</w:t>
      </w:r>
    </w:p>
    <w:p w14:paraId="685BA87D" w14:textId="77777777" w:rsidR="002E0323" w:rsidRPr="00B17D35" w:rsidRDefault="002E0323">
      <w:pPr>
        <w:spacing w:line="240" w:lineRule="auto"/>
        <w:ind w:left="0" w:hanging="2"/>
        <w:jc w:val="both"/>
      </w:pPr>
    </w:p>
    <w:p w14:paraId="1F5BAABD" w14:textId="77777777" w:rsidR="002E0323" w:rsidRPr="00B17D35" w:rsidRDefault="00B17D35">
      <w:pPr>
        <w:spacing w:line="240" w:lineRule="auto"/>
        <w:ind w:left="0" w:hanging="2"/>
        <w:jc w:val="both"/>
        <w:rPr>
          <w:b/>
        </w:rPr>
      </w:pPr>
      <w:r w:rsidRPr="00B17D35">
        <w:rPr>
          <w:b/>
        </w:rPr>
        <w:t>26. El Directorio debe asegurar que exista un procedimiento de identificación y clasificación de sus partes interesadas y un canal de comunicación para las mismas.</w:t>
      </w:r>
    </w:p>
    <w:p w14:paraId="1AB1DAA5" w14:textId="77777777" w:rsidR="002E0323" w:rsidRPr="00B17D35" w:rsidRDefault="00B17D35">
      <w:pPr>
        <w:spacing w:line="240" w:lineRule="auto"/>
        <w:ind w:left="0" w:hanging="2"/>
        <w:jc w:val="both"/>
      </w:pPr>
      <w:r w:rsidRPr="00B17D35">
        <w:lastRenderedPageBreak/>
        <w:t xml:space="preserve">El Directorio, a través del Código de Gobierno Societario, el Reglamento de Directorio y el grupo ESG, por medio del Reporte de Sustentabilidad, ha analizado quiénes son los grupos de interés o “stakeholders” de la Sociedad definiéndolos y estableciendo los canales de comunicación con el objetivo de preservar sus intereses. Los grupos de interés son: </w:t>
      </w:r>
    </w:p>
    <w:p w14:paraId="341DB872" w14:textId="77777777" w:rsidR="002E0323" w:rsidRPr="00B17D35" w:rsidRDefault="00B17D35">
      <w:pPr>
        <w:numPr>
          <w:ilvl w:val="0"/>
          <w:numId w:val="2"/>
        </w:numPr>
        <w:pBdr>
          <w:top w:val="nil"/>
          <w:left w:val="nil"/>
          <w:bottom w:val="nil"/>
          <w:right w:val="nil"/>
          <w:between w:val="nil"/>
        </w:pBdr>
        <w:spacing w:line="240" w:lineRule="auto"/>
        <w:ind w:left="0" w:hanging="2"/>
        <w:jc w:val="both"/>
      </w:pPr>
      <w:r w:rsidRPr="00B17D35">
        <w:rPr>
          <w:color w:val="000000"/>
        </w:rPr>
        <w:t>Accionistas: los accionistas mantienen contacto directo con la Sociedad a través de la Asamblea Anual, mailing, el sitio web, un correo electrónico (</w:t>
      </w:r>
      <w:hyperlink r:id="rId12">
        <w:r w:rsidRPr="00B17D35">
          <w:rPr>
            <w:color w:val="0000FF"/>
            <w:u w:val="single"/>
          </w:rPr>
          <w:t>inversor@matbarofex.com.ar</w:t>
        </w:r>
      </w:hyperlink>
      <w:r w:rsidRPr="00B17D35">
        <w:rPr>
          <w:color w:val="000000"/>
        </w:rPr>
        <w:t>) y el reporte de sostenibilidad.</w:t>
      </w:r>
    </w:p>
    <w:p w14:paraId="7339B258" w14:textId="77777777" w:rsidR="002E0323" w:rsidRPr="00B17D35" w:rsidRDefault="00B17D35">
      <w:pPr>
        <w:numPr>
          <w:ilvl w:val="0"/>
          <w:numId w:val="2"/>
        </w:numPr>
        <w:pBdr>
          <w:top w:val="nil"/>
          <w:left w:val="nil"/>
          <w:bottom w:val="nil"/>
          <w:right w:val="nil"/>
          <w:between w:val="nil"/>
        </w:pBdr>
        <w:spacing w:line="240" w:lineRule="auto"/>
        <w:ind w:left="0" w:hanging="2"/>
        <w:jc w:val="both"/>
      </w:pPr>
      <w:r w:rsidRPr="00B17D35">
        <w:rPr>
          <w:color w:val="000000"/>
        </w:rPr>
        <w:t xml:space="preserve">Clientes: Mtr lleva a cabo reuniones presenciales y virtuales, establece como medio de comunicación; los llamados telefónicos diarios, charlas de interés, desayunos de trabajo, capacitaciones, webinars, redes sociales, mailing, redes sociales, encuestas de satisfacción, conferencias, exposiciones y eventos de la industria. </w:t>
      </w:r>
    </w:p>
    <w:p w14:paraId="077BDE5F" w14:textId="77777777" w:rsidR="002E0323" w:rsidRPr="00B17D35" w:rsidRDefault="00B17D35">
      <w:pPr>
        <w:numPr>
          <w:ilvl w:val="0"/>
          <w:numId w:val="2"/>
        </w:numPr>
        <w:pBdr>
          <w:top w:val="nil"/>
          <w:left w:val="nil"/>
          <w:bottom w:val="nil"/>
          <w:right w:val="nil"/>
          <w:between w:val="nil"/>
        </w:pBdr>
        <w:spacing w:line="240" w:lineRule="auto"/>
        <w:ind w:left="0" w:hanging="2"/>
        <w:jc w:val="both"/>
      </w:pPr>
      <w:r w:rsidRPr="00B17D35">
        <w:rPr>
          <w:color w:val="000000"/>
        </w:rPr>
        <w:t>Comunidad en general; los canales establecidos para comunicarse son a través de las redes sociales, el Reporte de Sustentabilidad y los cursos de capacitación.</w:t>
      </w:r>
    </w:p>
    <w:p w14:paraId="360E947D" w14:textId="77777777" w:rsidR="002E0323" w:rsidRPr="00B17D35" w:rsidRDefault="00B17D35">
      <w:pPr>
        <w:numPr>
          <w:ilvl w:val="0"/>
          <w:numId w:val="2"/>
        </w:numPr>
        <w:pBdr>
          <w:top w:val="nil"/>
          <w:left w:val="nil"/>
          <w:bottom w:val="nil"/>
          <w:right w:val="nil"/>
          <w:between w:val="nil"/>
        </w:pBdr>
        <w:spacing w:line="240" w:lineRule="auto"/>
        <w:ind w:left="0" w:hanging="2"/>
        <w:jc w:val="both"/>
      </w:pPr>
      <w:r w:rsidRPr="00B17D35">
        <w:rPr>
          <w:color w:val="000000"/>
        </w:rPr>
        <w:t>Empleados: los empleados tienen espacios de encuentro con el área de Capital Humano, inducciones formales del negocio y el propósito de la Sociedad para ingresantes, mailings, charlas y desayunos con Comité Ejecutivo y Gerencia, presentación de las Prioridades Estratégicas semestrales, slack y campañas de comunicación.</w:t>
      </w:r>
    </w:p>
    <w:p w14:paraId="68635F2B" w14:textId="77777777" w:rsidR="002E0323" w:rsidRPr="00B17D35" w:rsidRDefault="00B17D35">
      <w:pPr>
        <w:numPr>
          <w:ilvl w:val="0"/>
          <w:numId w:val="2"/>
        </w:numPr>
        <w:pBdr>
          <w:top w:val="nil"/>
          <w:left w:val="nil"/>
          <w:bottom w:val="nil"/>
          <w:right w:val="nil"/>
          <w:between w:val="nil"/>
        </w:pBdr>
        <w:spacing w:line="240" w:lineRule="auto"/>
        <w:ind w:left="0" w:hanging="2"/>
        <w:jc w:val="both"/>
      </w:pPr>
      <w:r w:rsidRPr="00B17D35">
        <w:rPr>
          <w:color w:val="000000"/>
        </w:rPr>
        <w:t>Medios de comunicación: MtR se pone a disposición a través de reuniones presenciales de relacionamiento, envío de gacetillas e información y notas con ejecutivos del Grupo.</w:t>
      </w:r>
    </w:p>
    <w:p w14:paraId="4746D3B4" w14:textId="77777777" w:rsidR="002E0323" w:rsidRPr="00B17D35" w:rsidRDefault="00B17D35">
      <w:pPr>
        <w:numPr>
          <w:ilvl w:val="0"/>
          <w:numId w:val="2"/>
        </w:numPr>
        <w:pBdr>
          <w:top w:val="nil"/>
          <w:left w:val="nil"/>
          <w:bottom w:val="nil"/>
          <w:right w:val="nil"/>
          <w:between w:val="nil"/>
        </w:pBdr>
        <w:spacing w:line="240" w:lineRule="auto"/>
        <w:ind w:left="0" w:hanging="2"/>
        <w:jc w:val="both"/>
      </w:pPr>
      <w:r w:rsidRPr="00B17D35">
        <w:rPr>
          <w:color w:val="000000"/>
        </w:rPr>
        <w:t>Proveedores: Los canales de comunicación con los proveedores se establecen a través de reuniones presenciales, virtuales y llamados y mailing.</w:t>
      </w:r>
    </w:p>
    <w:p w14:paraId="03348D7E" w14:textId="77777777" w:rsidR="002E0323" w:rsidRPr="00B17D35" w:rsidRDefault="00B17D35">
      <w:pPr>
        <w:numPr>
          <w:ilvl w:val="0"/>
          <w:numId w:val="2"/>
        </w:numPr>
        <w:pBdr>
          <w:top w:val="nil"/>
          <w:left w:val="nil"/>
          <w:bottom w:val="nil"/>
          <w:right w:val="nil"/>
          <w:between w:val="nil"/>
        </w:pBdr>
        <w:spacing w:line="240" w:lineRule="auto"/>
        <w:ind w:left="0" w:hanging="2"/>
        <w:jc w:val="both"/>
      </w:pPr>
      <w:r w:rsidRPr="00B17D35">
        <w:rPr>
          <w:color w:val="000000"/>
        </w:rPr>
        <w:t>Reguladores: La Sociedad lleva a cabo reuniones presenciales, participación en grupos de trabajo ad-hoc y mesas de innovación. A través de respuesta a vistas y requerimientos puntuales del regulador establece la relación con este incluyendo el cumplimiento de envío de hechos relevantes, mailings y el intercambio de visitas.</w:t>
      </w:r>
    </w:p>
    <w:p w14:paraId="1224B9DF" w14:textId="77777777" w:rsidR="002E0323" w:rsidRPr="00B17D35" w:rsidRDefault="002E0323">
      <w:pPr>
        <w:spacing w:line="240" w:lineRule="auto"/>
        <w:ind w:left="0" w:hanging="2"/>
        <w:jc w:val="both"/>
      </w:pPr>
    </w:p>
    <w:p w14:paraId="25FB621A" w14:textId="77777777" w:rsidR="002E0323" w:rsidRPr="00B17D35" w:rsidRDefault="00B17D35">
      <w:pPr>
        <w:spacing w:line="240" w:lineRule="auto"/>
        <w:ind w:left="0" w:hanging="2"/>
        <w:jc w:val="both"/>
        <w:rPr>
          <w:b/>
        </w:rPr>
      </w:pPr>
      <w:r w:rsidRPr="00B17D35">
        <w:rPr>
          <w:b/>
        </w:rPr>
        <w:t>27. El Directorio remite a los Accionistas, previo a la celebración de la Asamblea, un “paquete de información provisorio” que permite a los Accionistas -a través de un canal de comunicación formal realizar comentarios no vinculantes y compartir opiniones discrepantes con las recomendaciones realizadas por el Directorio, teniendo este último que, al enviar el paquete definitivo de información, expedirse expresamente sobre los comentarios recibidos que crea necesario.</w:t>
      </w:r>
    </w:p>
    <w:p w14:paraId="37EF51DE" w14:textId="77777777" w:rsidR="002E0323" w:rsidRPr="00B17D35" w:rsidRDefault="00B17D35">
      <w:pPr>
        <w:spacing w:line="240" w:lineRule="auto"/>
        <w:ind w:left="0" w:hanging="2"/>
        <w:jc w:val="both"/>
      </w:pPr>
      <w:r w:rsidRPr="00B17D35">
        <w:t xml:space="preserve">De conformidad con la Ley General de Sociedades, y reflejado en el Código de Gobierno Societario y la legislación vigente establece que es un derecho inherente a la calidad de accionista de la sociedad poner a disposición de este toda la información relativa a la Asamblea en la página web de MtR, e n la sede social y a través de la casilla de correo: </w:t>
      </w:r>
      <w:hyperlink r:id="rId13">
        <w:r w:rsidRPr="00B17D35">
          <w:rPr>
            <w:color w:val="0000FF"/>
            <w:u w:val="single"/>
          </w:rPr>
          <w:t>inversor@matbarofex.com.ar</w:t>
        </w:r>
      </w:hyperlink>
      <w:r w:rsidRPr="00B17D35">
        <w:t xml:space="preserve">. </w:t>
      </w:r>
    </w:p>
    <w:p w14:paraId="732483FE" w14:textId="77777777" w:rsidR="002E0323" w:rsidRPr="00B17D35" w:rsidRDefault="002E0323">
      <w:pPr>
        <w:spacing w:line="240" w:lineRule="auto"/>
        <w:ind w:left="0" w:hanging="2"/>
        <w:jc w:val="both"/>
      </w:pPr>
    </w:p>
    <w:p w14:paraId="5AE89903" w14:textId="77777777" w:rsidR="002E0323" w:rsidRPr="00B17D35" w:rsidRDefault="00B17D35">
      <w:pPr>
        <w:spacing w:line="240" w:lineRule="auto"/>
        <w:ind w:left="0" w:hanging="2"/>
        <w:jc w:val="both"/>
        <w:rPr>
          <w:b/>
        </w:rPr>
      </w:pPr>
      <w:r w:rsidRPr="00B17D35">
        <w:rPr>
          <w:b/>
        </w:rPr>
        <w:t>28. El estatuto de la compañía considera que los Accionistas puedan recibir los paquetes de información para la Asamblea de Accionistas a través de medios virtuales y participar en las Asambleas a través del uso de medios electrónicos de comunicación que permitan la transmisión simultánea de sonido, imágenes y palabras, asegurando el principio de igualdad de trato de los participantes.</w:t>
      </w:r>
    </w:p>
    <w:p w14:paraId="2842FE1B" w14:textId="77777777" w:rsidR="002E0323" w:rsidRPr="00B17D35" w:rsidRDefault="00B17D35">
      <w:pPr>
        <w:spacing w:line="240" w:lineRule="auto"/>
        <w:ind w:left="0" w:hanging="2"/>
        <w:jc w:val="both"/>
      </w:pPr>
      <w:r w:rsidRPr="00B17D35">
        <w:t xml:space="preserve">El Estatuto Social establece que los paquetes de información para los accionistas estén a disposición de estos a través de distintos canales de comunicación permitiendo de esta manera una relación fluida. El sitio web de la sociedad establece un apartado específico (“Información para Inversores”) orientado a facilitar el acceso a todo el paquete de información relativo a la Asamblea (Convocatoria </w:t>
      </w:r>
      <w:r w:rsidRPr="00B17D35">
        <w:lastRenderedPageBreak/>
        <w:t xml:space="preserve">junto al orden del día, modelo de carta poder, Memoria, Estados contables y todo el material relacionado) para que ellos hagan sus comentarios o puedan expedirse previa celebración de la asamblea, </w:t>
      </w:r>
    </w:p>
    <w:p w14:paraId="2D1B0882" w14:textId="77777777" w:rsidR="002E0323" w:rsidRPr="00B17D35" w:rsidRDefault="00B17D35">
      <w:pPr>
        <w:spacing w:line="240" w:lineRule="auto"/>
        <w:ind w:left="0" w:hanging="2"/>
        <w:jc w:val="both"/>
      </w:pPr>
      <w:r w:rsidRPr="00B17D35">
        <w:t>Se han introducido cambios en los procedimientos internos vigentes respecto de las Asambleas y la digitalización de la información que se brinda  a los accionistas de acuerdo a la normativa vigente aunque estas prácticas aún no se han reflejado en el Estatuto Social. No obstante, la Sociedad se encuentra trabajando en un proyecto de modificación con el objeto de brindar el mejor acceso y asistencia a los inversores</w:t>
      </w:r>
    </w:p>
    <w:p w14:paraId="01222DA2" w14:textId="77777777" w:rsidR="002E0323" w:rsidRPr="00B17D35" w:rsidRDefault="002E0323">
      <w:pPr>
        <w:spacing w:line="240" w:lineRule="auto"/>
        <w:ind w:left="0" w:hanging="2"/>
        <w:jc w:val="both"/>
      </w:pPr>
    </w:p>
    <w:p w14:paraId="173D617E" w14:textId="77777777" w:rsidR="002E0323" w:rsidRPr="00B17D35" w:rsidRDefault="00B17D35">
      <w:pPr>
        <w:spacing w:line="240" w:lineRule="auto"/>
        <w:ind w:left="0" w:hanging="2"/>
        <w:jc w:val="both"/>
        <w:rPr>
          <w:b/>
        </w:rPr>
      </w:pPr>
      <w:r w:rsidRPr="00B17D35">
        <w:rPr>
          <w:b/>
        </w:rPr>
        <w:t>29. La Política de Distribución de Dividendos está alineada a la estrategia y establece claramente los criterios, frecuencia y condiciones bajo las cuales se realizará la distribución de dividendos.</w:t>
      </w:r>
    </w:p>
    <w:p w14:paraId="0F2D462E" w14:textId="37D9E8CA" w:rsidR="002E0323" w:rsidRPr="00B17D35" w:rsidRDefault="00B17D35" w:rsidP="00E179DD">
      <w:pPr>
        <w:spacing w:line="240" w:lineRule="auto"/>
        <w:ind w:left="0" w:hanging="2"/>
        <w:jc w:val="both"/>
        <w:rPr>
          <w:sz w:val="24"/>
          <w:szCs w:val="24"/>
        </w:rPr>
      </w:pPr>
      <w:r w:rsidRPr="00B17D35">
        <w:t xml:space="preserve">La Sociedad cuenta con una Política de Distribución de Dividendos aprobado por el Directorio y en concordancia con la normativa vigentes, en donde se estipula como objetivo fijar las directrices que debe orientar a la propuesta de distribución de dividendos para los accionistas y establece los parámetros del procedimiento por el cual se realizará la misma. También establece el ámbito y los órganos de aplicación, las oportunidades y procedimiento de pago, así como los parámetros de cálculo. Esta Política disponible en la página web de la Sociedad.” </w:t>
      </w:r>
    </w:p>
    <w:p w14:paraId="56E9FBD8" w14:textId="77777777" w:rsidR="002E0323" w:rsidRPr="00B17D35" w:rsidRDefault="00B17D35">
      <w:pPr>
        <w:spacing w:line="240" w:lineRule="auto"/>
        <w:ind w:left="0" w:hanging="2"/>
        <w:jc w:val="both"/>
        <w:rPr>
          <w:sz w:val="24"/>
          <w:szCs w:val="24"/>
        </w:rPr>
      </w:pPr>
      <w:r w:rsidRPr="00B17D35">
        <w:rPr>
          <w:b/>
          <w:sz w:val="24"/>
          <w:szCs w:val="24"/>
        </w:rPr>
        <w:t>Propuesta del destino a dar al resultado del ejercicio. Ratificación de la aprobación de dividendos anticipados. Integración del Fondo de Garantía III (art. 15 Cap. I, Título VI de las Normas de CNV). Distribución de Utilidades. Propuesta de las remuneraciones al Directorio y Comisión Fiscalizadora correspondientes al ejercicio cerrado al 30 de junio de 2020.</w:t>
      </w:r>
      <w:r w:rsidRPr="00B17D35">
        <w:rPr>
          <w:sz w:val="24"/>
          <w:szCs w:val="24"/>
        </w:rPr>
        <w:t xml:space="preserve"> El Directorio resolvió realizar la siguiente propuesta: </w:t>
      </w:r>
    </w:p>
    <w:tbl>
      <w:tblPr>
        <w:tblStyle w:val="a5"/>
        <w:tblW w:w="883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19"/>
        <w:gridCol w:w="4419"/>
      </w:tblGrid>
      <w:tr w:rsidR="002E0323" w:rsidRPr="00B17D35" w14:paraId="70019E8E" w14:textId="77777777" w:rsidTr="00A31B0F">
        <w:trPr>
          <w:trHeight w:val="269"/>
        </w:trPr>
        <w:tc>
          <w:tcPr>
            <w:tcW w:w="4419" w:type="dxa"/>
          </w:tcPr>
          <w:p w14:paraId="696F82F4" w14:textId="77777777" w:rsidR="002E0323" w:rsidRPr="00B17D35" w:rsidRDefault="00B17D35">
            <w:pPr>
              <w:spacing w:line="240" w:lineRule="auto"/>
              <w:ind w:left="0" w:hanging="2"/>
            </w:pPr>
            <w:r w:rsidRPr="00B17D35">
              <w:rPr>
                <w:sz w:val="24"/>
                <w:szCs w:val="24"/>
              </w:rPr>
              <w:t>A Fondo de Garantía Ley 26.831</w:t>
            </w:r>
          </w:p>
        </w:tc>
        <w:tc>
          <w:tcPr>
            <w:tcW w:w="4419" w:type="dxa"/>
          </w:tcPr>
          <w:p w14:paraId="75FFC3A6" w14:textId="77777777" w:rsidR="002E0323" w:rsidRPr="00B17D35" w:rsidRDefault="00B17D35">
            <w:pPr>
              <w:spacing w:line="240" w:lineRule="auto"/>
              <w:ind w:left="0" w:hanging="2"/>
              <w:jc w:val="right"/>
            </w:pPr>
            <w:r w:rsidRPr="00B17D35">
              <w:rPr>
                <w:sz w:val="24"/>
                <w:szCs w:val="24"/>
              </w:rPr>
              <w:t>$  180.000.000</w:t>
            </w:r>
          </w:p>
        </w:tc>
      </w:tr>
      <w:tr w:rsidR="002E0323" w:rsidRPr="00B17D35" w14:paraId="4804C145" w14:textId="77777777" w:rsidTr="00A31B0F">
        <w:trPr>
          <w:trHeight w:val="269"/>
        </w:trPr>
        <w:tc>
          <w:tcPr>
            <w:tcW w:w="4419" w:type="dxa"/>
          </w:tcPr>
          <w:p w14:paraId="092C931E" w14:textId="77777777" w:rsidR="002E0323" w:rsidRPr="00B17D35" w:rsidRDefault="00B17D35">
            <w:pPr>
              <w:spacing w:line="240" w:lineRule="auto"/>
              <w:ind w:left="0" w:hanging="2"/>
            </w:pPr>
            <w:r w:rsidRPr="00B17D35">
              <w:rPr>
                <w:sz w:val="24"/>
                <w:szCs w:val="24"/>
              </w:rPr>
              <w:t>A Reserva Legal</w:t>
            </w:r>
          </w:p>
        </w:tc>
        <w:tc>
          <w:tcPr>
            <w:tcW w:w="4419" w:type="dxa"/>
          </w:tcPr>
          <w:p w14:paraId="0E149E2C" w14:textId="77777777" w:rsidR="002E0323" w:rsidRPr="00B17D35" w:rsidRDefault="00B17D35">
            <w:pPr>
              <w:spacing w:line="240" w:lineRule="auto"/>
              <w:ind w:left="0" w:hanging="2"/>
              <w:jc w:val="right"/>
            </w:pPr>
            <w:r w:rsidRPr="00B17D35">
              <w:rPr>
                <w:sz w:val="24"/>
                <w:szCs w:val="24"/>
              </w:rPr>
              <w:t>$    29.542.746</w:t>
            </w:r>
          </w:p>
        </w:tc>
      </w:tr>
      <w:tr w:rsidR="002E0323" w:rsidRPr="00B17D35" w14:paraId="6D10FDB0" w14:textId="77777777" w:rsidTr="00A31B0F">
        <w:trPr>
          <w:trHeight w:val="283"/>
        </w:trPr>
        <w:tc>
          <w:tcPr>
            <w:tcW w:w="4419" w:type="dxa"/>
          </w:tcPr>
          <w:p w14:paraId="79775240" w14:textId="77777777" w:rsidR="002E0323" w:rsidRPr="00B17D35" w:rsidRDefault="00B17D35">
            <w:pPr>
              <w:spacing w:line="240" w:lineRule="auto"/>
              <w:ind w:left="0" w:hanging="2"/>
            </w:pPr>
            <w:r w:rsidRPr="00B17D35">
              <w:rPr>
                <w:sz w:val="24"/>
                <w:szCs w:val="24"/>
              </w:rPr>
              <w:t>A Dividendos en efectivo</w:t>
            </w:r>
          </w:p>
        </w:tc>
        <w:tc>
          <w:tcPr>
            <w:tcW w:w="4419" w:type="dxa"/>
          </w:tcPr>
          <w:p w14:paraId="719B4773" w14:textId="77777777" w:rsidR="002E0323" w:rsidRPr="00B17D35" w:rsidRDefault="00B17D35">
            <w:pPr>
              <w:spacing w:line="240" w:lineRule="auto"/>
              <w:ind w:left="0" w:hanging="2"/>
              <w:jc w:val="right"/>
            </w:pPr>
            <w:r w:rsidRPr="00B17D35">
              <w:rPr>
                <w:sz w:val="24"/>
                <w:szCs w:val="24"/>
              </w:rPr>
              <w:t>$  500.000.000</w:t>
            </w:r>
          </w:p>
        </w:tc>
      </w:tr>
      <w:tr w:rsidR="002E0323" w:rsidRPr="00B17D35" w14:paraId="1F29E720" w14:textId="77777777" w:rsidTr="00A31B0F">
        <w:trPr>
          <w:trHeight w:val="269"/>
        </w:trPr>
        <w:tc>
          <w:tcPr>
            <w:tcW w:w="4419" w:type="dxa"/>
          </w:tcPr>
          <w:p w14:paraId="3FE12CF8" w14:textId="77777777" w:rsidR="002E0323" w:rsidRPr="00B17D35" w:rsidRDefault="00B17D35">
            <w:pPr>
              <w:spacing w:line="240" w:lineRule="auto"/>
              <w:ind w:left="0" w:hanging="2"/>
            </w:pPr>
            <w:r w:rsidRPr="00B17D35">
              <w:rPr>
                <w:sz w:val="24"/>
                <w:szCs w:val="24"/>
              </w:rPr>
              <w:t>A próximos ejercicios</w:t>
            </w:r>
          </w:p>
        </w:tc>
        <w:tc>
          <w:tcPr>
            <w:tcW w:w="4419" w:type="dxa"/>
          </w:tcPr>
          <w:p w14:paraId="3C86EC74" w14:textId="1D4CB52C" w:rsidR="002E0323" w:rsidRPr="00B17D35" w:rsidRDefault="00B17D35">
            <w:pPr>
              <w:spacing w:line="240" w:lineRule="auto"/>
              <w:ind w:left="0" w:hanging="2"/>
              <w:jc w:val="right"/>
            </w:pPr>
            <w:r w:rsidRPr="00B17D35">
              <w:rPr>
                <w:sz w:val="24"/>
                <w:szCs w:val="24"/>
              </w:rPr>
              <w:t>$  5</w:t>
            </w:r>
            <w:r w:rsidR="00E179DD">
              <w:rPr>
                <w:sz w:val="24"/>
                <w:szCs w:val="24"/>
              </w:rPr>
              <w:t>25</w:t>
            </w:r>
            <w:r w:rsidRPr="00B17D35">
              <w:rPr>
                <w:sz w:val="24"/>
                <w:szCs w:val="24"/>
              </w:rPr>
              <w:t>.</w:t>
            </w:r>
            <w:r w:rsidR="00E179DD">
              <w:rPr>
                <w:sz w:val="24"/>
                <w:szCs w:val="24"/>
              </w:rPr>
              <w:t>888</w:t>
            </w:r>
            <w:r w:rsidRPr="00B17D35">
              <w:rPr>
                <w:sz w:val="24"/>
                <w:szCs w:val="24"/>
              </w:rPr>
              <w:t>.</w:t>
            </w:r>
            <w:r w:rsidR="00E179DD">
              <w:rPr>
                <w:sz w:val="24"/>
                <w:szCs w:val="24"/>
              </w:rPr>
              <w:t>053</w:t>
            </w:r>
          </w:p>
        </w:tc>
      </w:tr>
    </w:tbl>
    <w:p w14:paraId="259466F5" w14:textId="7298A964" w:rsidR="002E0323" w:rsidRPr="00B17D35" w:rsidRDefault="00B17D35">
      <w:pPr>
        <w:spacing w:line="240" w:lineRule="auto"/>
        <w:ind w:left="0" w:hanging="2"/>
        <w:jc w:val="both"/>
        <w:rPr>
          <w:sz w:val="24"/>
          <w:szCs w:val="24"/>
        </w:rPr>
      </w:pPr>
      <w:r w:rsidRPr="00B17D35">
        <w:rPr>
          <w:sz w:val="24"/>
          <w:szCs w:val="24"/>
        </w:rPr>
        <w:t>Cabe señalar en relación a la suma propuesta a dividendos en efectivo por $ 500.000.000 que la misma incluye el monto sujeto a ratificación de la Asamblea con motivo de la decisión adoptada por el Directorio en su reunión del 10 de febrero de 2020 consistente en disponer el pago de dividendos anticipados (artículo 224, segundo párrafo de la Ley General de Sociedades N° 19.550) por un total USD 3.687.600 -que resulta equivalente a $ 224.828.546,88 según tipo de cambio Comunicación “A” BCRA 3500 del día de la fecha de la reunión del Directorio-, correspondiente a la utilidad neta (líquida y realizada) acumulada al 31 de diciembre de 2019, sobre la base de los Estados Financieros elaborados al efecto.</w:t>
      </w:r>
    </w:p>
    <w:p w14:paraId="493E7E8C" w14:textId="77777777" w:rsidR="002E0323" w:rsidRPr="00B17D35" w:rsidRDefault="00B17D35">
      <w:pPr>
        <w:spacing w:line="240" w:lineRule="auto"/>
        <w:ind w:left="0" w:hanging="2"/>
        <w:jc w:val="both"/>
        <w:rPr>
          <w:sz w:val="24"/>
          <w:szCs w:val="24"/>
        </w:rPr>
      </w:pPr>
      <w:r w:rsidRPr="00B17D35">
        <w:rPr>
          <w:b/>
          <w:sz w:val="24"/>
          <w:szCs w:val="24"/>
        </w:rPr>
        <w:t>Propuesta de presupuesto de gastos para la gestión del Comité de Auditoría</w:t>
      </w:r>
      <w:r w:rsidRPr="00B17D35">
        <w:rPr>
          <w:sz w:val="24"/>
          <w:szCs w:val="24"/>
        </w:rPr>
        <w:t xml:space="preserve">. Seguidamente se recuerda a las autoridades que el Artículo 110 de la ley de Mercado de Capitales N° 26.831, establece que para el caso de que el Comité de Auditoría requiera asesoramiento de letrados y otros profesionales independientes y contratar sus servicios por cuenta de la sociedad, deberá hacerlo dentro del presupuesto que a tal efecto le apruebe la Asamblea de Accionistas. </w:t>
      </w:r>
    </w:p>
    <w:p w14:paraId="7D89ADE0" w14:textId="77777777" w:rsidR="002E0323" w:rsidRPr="00B17D35" w:rsidRDefault="00B17D35">
      <w:pPr>
        <w:spacing w:line="240" w:lineRule="auto"/>
        <w:ind w:left="0" w:hanging="2"/>
        <w:jc w:val="both"/>
        <w:rPr>
          <w:sz w:val="24"/>
          <w:szCs w:val="24"/>
        </w:rPr>
      </w:pPr>
      <w:r w:rsidRPr="00B17D35">
        <w:rPr>
          <w:sz w:val="24"/>
          <w:szCs w:val="24"/>
        </w:rPr>
        <w:t>Teniendo en cuenta el promedio de presupuestos aprobados por las principales sociedades emisoras en el corriente año, y el presupuesto aprobado para el ejercicio anterior, se propone llevar a la Asamblea un presupuesto de $ 1.000.000.</w:t>
      </w:r>
    </w:p>
    <w:p w14:paraId="25E07598" w14:textId="77777777" w:rsidR="002E0323" w:rsidRPr="00B17D35" w:rsidRDefault="00B17D35">
      <w:pPr>
        <w:spacing w:line="240" w:lineRule="auto"/>
        <w:ind w:left="0" w:hanging="2"/>
        <w:jc w:val="both"/>
        <w:rPr>
          <w:sz w:val="24"/>
          <w:szCs w:val="24"/>
        </w:rPr>
      </w:pPr>
      <w:r w:rsidRPr="00B17D35">
        <w:rPr>
          <w:sz w:val="24"/>
          <w:szCs w:val="24"/>
        </w:rPr>
        <w:lastRenderedPageBreak/>
        <w:t>Acto seguido las autoridades presentes acuerdan en forma unánime proponer a la Asamblea asignar un presupuesto de $ 1.000.000 para el Comité de Auditoría cuyo tratamiento se realizará en el punto específico que preverá el Orden del día de la Asamblea cuya convocatoria se aprobará en la presente reunión.</w:t>
      </w:r>
    </w:p>
    <w:p w14:paraId="2F0C0E94" w14:textId="77777777" w:rsidR="002E0323" w:rsidRPr="00B17D35" w:rsidRDefault="00B17D35">
      <w:pPr>
        <w:spacing w:line="240" w:lineRule="auto"/>
        <w:ind w:left="0" w:hanging="2"/>
        <w:jc w:val="both"/>
        <w:rPr>
          <w:sz w:val="24"/>
          <w:szCs w:val="24"/>
        </w:rPr>
      </w:pPr>
      <w:r w:rsidRPr="00B17D35">
        <w:rPr>
          <w:b/>
          <w:sz w:val="24"/>
          <w:szCs w:val="24"/>
        </w:rPr>
        <w:t>Propuesta de designación de auditor externo titular y suplente</w:t>
      </w:r>
      <w:r w:rsidRPr="00B17D35">
        <w:rPr>
          <w:sz w:val="24"/>
          <w:szCs w:val="24"/>
        </w:rPr>
        <w:t>. Se informó que, conforme el art. 105 de la Ley N° 26.831, corresponde a la Asamblea Ordinaria la designación de los Contadores Públicos matriculados independientes que desempeñarán las funciones de auditoría externa correspondientes al presente ejercicio que finaliza el 30 de junio 2021. Al respecto, el Comité de Auditoría, de conformidad con los artículos 105 y 110 inc. a) de la Ley referida, opinó favorablemente respecto de la designación de los Sres. Contadores Sergio Miguel Roldán y Jorge Fernando Felcaro (ambos socios del Estudio “Felcaro, Roldán y Asociados”) como auditores titular y suplente respectivamente, toda vez que los nombrados cuentan con experiencia y trayectoria suficiente para la realización de la tarea referida. Por lo tanto, el Directorio resolvió por unanimidad, con la previa opinión del Comité de Auditoría, proponer a la Asamblea Ordinaria la designación de los contadores referidos en el punto específico que preverá el Orden del día de la Asamblea cuya convocatoria se aprobará en la presente reunión.</w:t>
      </w:r>
    </w:p>
    <w:p w14:paraId="7C980CBE" w14:textId="77777777" w:rsidR="002E0323" w:rsidRPr="00B17D35" w:rsidRDefault="00B17D35">
      <w:pPr>
        <w:spacing w:line="240" w:lineRule="auto"/>
        <w:ind w:left="0" w:hanging="2"/>
        <w:jc w:val="both"/>
        <w:rPr>
          <w:sz w:val="24"/>
          <w:szCs w:val="24"/>
        </w:rPr>
      </w:pPr>
      <w:r w:rsidRPr="00B17D35">
        <w:rPr>
          <w:b/>
          <w:sz w:val="24"/>
          <w:szCs w:val="24"/>
        </w:rPr>
        <w:t>Propuesta de Reglamento de Asambleas</w:t>
      </w:r>
      <w:r w:rsidRPr="00B17D35">
        <w:rPr>
          <w:sz w:val="24"/>
          <w:szCs w:val="24"/>
        </w:rPr>
        <w:t>. Se informó que el área de Legales desarrolló una propuesta de Reglamento de Asamblea que tiene por objeto desarrollar y complementar lo establecido en la normativa pertinente y las mejores prácticas de Gobierno Corporativo respecto de la Asamblea General de Accionistas. Teniendo en cuenta lo expresado, el Directorio, luego de analizar los distintos aspectos que se incluyen en el mismo, resolvió por unanimidad aprobar la siguiente propuesta de Reglamento de Asamblea, cuyo texto se tratará en el punto específico que preverá el Orden del día de la Asamblea cuya convocatoria se aprobará en la presente reunión:</w:t>
      </w:r>
    </w:p>
    <w:p w14:paraId="702DD213" w14:textId="77777777" w:rsidR="002E0323" w:rsidRPr="00B17D35" w:rsidRDefault="00B17D35">
      <w:pPr>
        <w:spacing w:line="240" w:lineRule="auto"/>
        <w:ind w:left="0" w:hanging="2"/>
        <w:jc w:val="center"/>
        <w:rPr>
          <w:b/>
          <w:sz w:val="24"/>
          <w:szCs w:val="24"/>
        </w:rPr>
      </w:pPr>
      <w:r w:rsidRPr="00B17D35">
        <w:rPr>
          <w:sz w:val="24"/>
          <w:szCs w:val="24"/>
        </w:rPr>
        <w:t>“</w:t>
      </w:r>
      <w:r w:rsidRPr="00B17D35">
        <w:rPr>
          <w:b/>
          <w:sz w:val="24"/>
          <w:szCs w:val="24"/>
        </w:rPr>
        <w:t>Reglamento de Asambleas</w:t>
      </w:r>
    </w:p>
    <w:p w14:paraId="28E12940" w14:textId="77777777" w:rsidR="002E0323" w:rsidRPr="00B17D35" w:rsidRDefault="002E0323">
      <w:pPr>
        <w:spacing w:line="240" w:lineRule="auto"/>
        <w:ind w:left="0" w:hanging="2"/>
        <w:jc w:val="both"/>
        <w:rPr>
          <w:sz w:val="24"/>
          <w:szCs w:val="24"/>
        </w:rPr>
      </w:pPr>
    </w:p>
    <w:p w14:paraId="60F849F3" w14:textId="77777777" w:rsidR="002E0323" w:rsidRPr="00B17D35" w:rsidRDefault="00B17D35">
      <w:pPr>
        <w:pBdr>
          <w:bottom w:val="single" w:sz="4" w:space="1" w:color="000000"/>
        </w:pBdr>
        <w:spacing w:line="240" w:lineRule="auto"/>
        <w:ind w:left="0" w:hanging="2"/>
        <w:jc w:val="both"/>
        <w:rPr>
          <w:b/>
          <w:sz w:val="24"/>
          <w:szCs w:val="24"/>
        </w:rPr>
      </w:pPr>
      <w:r w:rsidRPr="00B17D35">
        <w:rPr>
          <w:b/>
          <w:sz w:val="24"/>
          <w:szCs w:val="24"/>
        </w:rPr>
        <w:t>1. Objetivo. Aplicación</w:t>
      </w:r>
    </w:p>
    <w:p w14:paraId="3039D6FB" w14:textId="77777777" w:rsidR="002E0323" w:rsidRPr="00B17D35" w:rsidRDefault="00B17D35">
      <w:pPr>
        <w:spacing w:line="240" w:lineRule="auto"/>
        <w:ind w:left="0" w:hanging="2"/>
        <w:jc w:val="both"/>
        <w:rPr>
          <w:sz w:val="24"/>
          <w:szCs w:val="24"/>
        </w:rPr>
      </w:pPr>
      <w:r w:rsidRPr="00B17D35">
        <w:rPr>
          <w:sz w:val="24"/>
          <w:szCs w:val="24"/>
        </w:rPr>
        <w:t>El presente Reglamento desarrolla y complementa lo establecido en la normativa aplicable (punto 2) y las mejores prácticas de Gobierno Corporativo aplicables respecto de las Asambleas Generales de Accionistas.</w:t>
      </w:r>
    </w:p>
    <w:p w14:paraId="35F91DA5" w14:textId="77777777" w:rsidR="002E0323" w:rsidRPr="00B17D35" w:rsidRDefault="00B17D35">
      <w:pPr>
        <w:spacing w:line="240" w:lineRule="auto"/>
        <w:ind w:left="0" w:hanging="2"/>
        <w:jc w:val="both"/>
        <w:rPr>
          <w:sz w:val="24"/>
          <w:szCs w:val="24"/>
        </w:rPr>
      </w:pPr>
      <w:r w:rsidRPr="00B17D35">
        <w:rPr>
          <w:sz w:val="24"/>
          <w:szCs w:val="24"/>
        </w:rPr>
        <w:t>Este Reglamento es aplicable a las Asambleas Generales de Accionistas como órgano colegiado, a los accionistas individualmente considerados, autoridades, gerentes y a cualquier otro actor en cuanto tuviere relación con las Asambleas Generales de Accionistas. Todos ellos tendrán la obligación de conocer, cumplir y hacer cumplir el presente Reglamento.</w:t>
      </w:r>
    </w:p>
    <w:p w14:paraId="30F32134" w14:textId="77777777" w:rsidR="002E0323" w:rsidRPr="00B17D35" w:rsidRDefault="002E0323">
      <w:pPr>
        <w:spacing w:line="240" w:lineRule="auto"/>
        <w:ind w:left="0" w:hanging="2"/>
        <w:jc w:val="both"/>
        <w:rPr>
          <w:sz w:val="24"/>
          <w:szCs w:val="24"/>
        </w:rPr>
      </w:pPr>
    </w:p>
    <w:p w14:paraId="7A4D8EB2" w14:textId="77777777" w:rsidR="002E0323" w:rsidRPr="00B17D35" w:rsidRDefault="00B17D35">
      <w:pPr>
        <w:pBdr>
          <w:bottom w:val="single" w:sz="4" w:space="1" w:color="000000"/>
        </w:pBdr>
        <w:spacing w:line="240" w:lineRule="auto"/>
        <w:ind w:left="0" w:hanging="2"/>
        <w:jc w:val="both"/>
        <w:rPr>
          <w:b/>
          <w:sz w:val="24"/>
          <w:szCs w:val="24"/>
        </w:rPr>
      </w:pPr>
      <w:r w:rsidRPr="00B17D35">
        <w:rPr>
          <w:b/>
          <w:sz w:val="24"/>
          <w:szCs w:val="24"/>
        </w:rPr>
        <w:t>2. Normativa aplicable</w:t>
      </w:r>
    </w:p>
    <w:p w14:paraId="0C683575" w14:textId="77777777" w:rsidR="002E0323" w:rsidRPr="00B17D35" w:rsidRDefault="00B17D35">
      <w:pPr>
        <w:spacing w:line="240" w:lineRule="auto"/>
        <w:ind w:left="0" w:hanging="2"/>
        <w:jc w:val="both"/>
        <w:rPr>
          <w:sz w:val="24"/>
          <w:szCs w:val="24"/>
        </w:rPr>
      </w:pPr>
      <w:r w:rsidRPr="00B17D35">
        <w:rPr>
          <w:sz w:val="24"/>
          <w:szCs w:val="24"/>
        </w:rPr>
        <w:t xml:space="preserve">Seguidamente se detalla la normativa aplicable para el presente Reglamento: </w:t>
      </w:r>
    </w:p>
    <w:p w14:paraId="14D78779" w14:textId="77777777" w:rsidR="002E0323" w:rsidRPr="00B17D35" w:rsidRDefault="00B17D35">
      <w:pPr>
        <w:numPr>
          <w:ilvl w:val="0"/>
          <w:numId w:val="6"/>
        </w:numPr>
        <w:spacing w:line="240" w:lineRule="auto"/>
        <w:ind w:left="0" w:hanging="2"/>
        <w:jc w:val="both"/>
        <w:rPr>
          <w:sz w:val="24"/>
          <w:szCs w:val="24"/>
        </w:rPr>
      </w:pPr>
      <w:r w:rsidRPr="00B17D35">
        <w:rPr>
          <w:sz w:val="24"/>
          <w:szCs w:val="24"/>
        </w:rPr>
        <w:t>Ley General de Sociedades (19.550 y mod)</w:t>
      </w:r>
    </w:p>
    <w:p w14:paraId="2B74E8C0" w14:textId="77777777" w:rsidR="002E0323" w:rsidRPr="00B17D35" w:rsidRDefault="00B17D35">
      <w:pPr>
        <w:numPr>
          <w:ilvl w:val="0"/>
          <w:numId w:val="6"/>
        </w:numPr>
        <w:spacing w:line="240" w:lineRule="auto"/>
        <w:ind w:left="0" w:hanging="2"/>
        <w:jc w:val="both"/>
        <w:rPr>
          <w:sz w:val="24"/>
          <w:szCs w:val="24"/>
        </w:rPr>
      </w:pPr>
      <w:r w:rsidRPr="00B17D35">
        <w:rPr>
          <w:sz w:val="24"/>
          <w:szCs w:val="24"/>
        </w:rPr>
        <w:t>Ley de Mercado de Capitales (26.831 y mod).</w:t>
      </w:r>
    </w:p>
    <w:p w14:paraId="3F11E5A4" w14:textId="77777777" w:rsidR="002E0323" w:rsidRPr="00B17D35" w:rsidRDefault="00B17D35">
      <w:pPr>
        <w:numPr>
          <w:ilvl w:val="0"/>
          <w:numId w:val="6"/>
        </w:numPr>
        <w:spacing w:line="240" w:lineRule="auto"/>
        <w:ind w:left="0" w:hanging="2"/>
        <w:jc w:val="both"/>
        <w:rPr>
          <w:sz w:val="24"/>
          <w:szCs w:val="24"/>
        </w:rPr>
      </w:pPr>
      <w:r w:rsidRPr="00B17D35">
        <w:rPr>
          <w:sz w:val="24"/>
          <w:szCs w:val="24"/>
        </w:rPr>
        <w:t>Normas de la Comisión Nacional de Valores, en cuanto resulten de aplicación.</w:t>
      </w:r>
    </w:p>
    <w:p w14:paraId="2CA3A0E4" w14:textId="77777777" w:rsidR="002E0323" w:rsidRPr="00B17D35" w:rsidRDefault="00B17D35">
      <w:pPr>
        <w:numPr>
          <w:ilvl w:val="0"/>
          <w:numId w:val="6"/>
        </w:numPr>
        <w:spacing w:line="240" w:lineRule="auto"/>
        <w:ind w:left="0" w:hanging="2"/>
        <w:jc w:val="both"/>
        <w:rPr>
          <w:sz w:val="24"/>
          <w:szCs w:val="24"/>
        </w:rPr>
      </w:pPr>
      <w:r w:rsidRPr="00B17D35">
        <w:rPr>
          <w:sz w:val="24"/>
          <w:szCs w:val="24"/>
        </w:rPr>
        <w:lastRenderedPageBreak/>
        <w:t>Normativa de la Inspección General de Personas Jurídicas de la Provincia de Santa Fe.</w:t>
      </w:r>
    </w:p>
    <w:p w14:paraId="1C601C47" w14:textId="77777777" w:rsidR="002E0323" w:rsidRPr="00B17D35" w:rsidRDefault="00B17D35">
      <w:pPr>
        <w:numPr>
          <w:ilvl w:val="0"/>
          <w:numId w:val="6"/>
        </w:numPr>
        <w:spacing w:line="240" w:lineRule="auto"/>
        <w:ind w:left="0" w:hanging="2"/>
        <w:jc w:val="both"/>
        <w:rPr>
          <w:sz w:val="24"/>
          <w:szCs w:val="24"/>
        </w:rPr>
      </w:pPr>
      <w:r w:rsidRPr="00B17D35">
        <w:rPr>
          <w:sz w:val="24"/>
          <w:szCs w:val="24"/>
        </w:rPr>
        <w:t>Normativa del Registro Público de Rosario, Provincia de Santa Fe.</w:t>
      </w:r>
    </w:p>
    <w:p w14:paraId="2E299447" w14:textId="77777777" w:rsidR="002E0323" w:rsidRPr="00B17D35" w:rsidRDefault="00B17D35">
      <w:pPr>
        <w:numPr>
          <w:ilvl w:val="0"/>
          <w:numId w:val="6"/>
        </w:numPr>
        <w:spacing w:line="240" w:lineRule="auto"/>
        <w:ind w:left="0" w:hanging="2"/>
        <w:jc w:val="both"/>
        <w:rPr>
          <w:sz w:val="24"/>
          <w:szCs w:val="24"/>
        </w:rPr>
      </w:pPr>
      <w:r w:rsidRPr="00B17D35">
        <w:rPr>
          <w:sz w:val="24"/>
          <w:szCs w:val="24"/>
        </w:rPr>
        <w:t>Estatuto Social.</w:t>
      </w:r>
    </w:p>
    <w:p w14:paraId="0C2A4262" w14:textId="77777777" w:rsidR="002E0323" w:rsidRPr="00B17D35" w:rsidRDefault="002E0323">
      <w:pPr>
        <w:spacing w:line="240" w:lineRule="auto"/>
        <w:ind w:left="0" w:hanging="2"/>
        <w:jc w:val="both"/>
        <w:rPr>
          <w:sz w:val="24"/>
          <w:szCs w:val="24"/>
        </w:rPr>
      </w:pPr>
    </w:p>
    <w:p w14:paraId="4C41743B" w14:textId="77777777" w:rsidR="002E0323" w:rsidRPr="00B17D35" w:rsidRDefault="00B17D35">
      <w:pPr>
        <w:pBdr>
          <w:bottom w:val="single" w:sz="4" w:space="1" w:color="000000"/>
        </w:pBdr>
        <w:spacing w:line="240" w:lineRule="auto"/>
        <w:ind w:left="0" w:hanging="2"/>
        <w:jc w:val="both"/>
        <w:rPr>
          <w:b/>
          <w:sz w:val="24"/>
          <w:szCs w:val="24"/>
        </w:rPr>
      </w:pPr>
      <w:r w:rsidRPr="00B17D35">
        <w:rPr>
          <w:b/>
          <w:sz w:val="24"/>
          <w:szCs w:val="24"/>
        </w:rPr>
        <w:t>3. Definiciones</w:t>
      </w:r>
    </w:p>
    <w:p w14:paraId="0614D1FB" w14:textId="77777777" w:rsidR="002E0323" w:rsidRPr="00B17D35" w:rsidRDefault="00B17D35">
      <w:pPr>
        <w:numPr>
          <w:ilvl w:val="0"/>
          <w:numId w:val="7"/>
        </w:numPr>
        <w:spacing w:line="240" w:lineRule="auto"/>
        <w:ind w:left="0" w:hanging="2"/>
        <w:jc w:val="both"/>
        <w:rPr>
          <w:sz w:val="24"/>
          <w:szCs w:val="24"/>
        </w:rPr>
      </w:pPr>
      <w:r w:rsidRPr="00B17D35">
        <w:rPr>
          <w:sz w:val="24"/>
          <w:szCs w:val="24"/>
        </w:rPr>
        <w:t>Código de Gobierno Societario: CGS</w:t>
      </w:r>
    </w:p>
    <w:p w14:paraId="67C835CA" w14:textId="77777777" w:rsidR="002E0323" w:rsidRPr="00B17D35" w:rsidRDefault="00B17D35">
      <w:pPr>
        <w:numPr>
          <w:ilvl w:val="0"/>
          <w:numId w:val="7"/>
        </w:numPr>
        <w:spacing w:line="240" w:lineRule="auto"/>
        <w:ind w:left="0" w:hanging="2"/>
        <w:jc w:val="both"/>
        <w:rPr>
          <w:sz w:val="24"/>
          <w:szCs w:val="24"/>
        </w:rPr>
      </w:pPr>
      <w:r w:rsidRPr="00B17D35">
        <w:rPr>
          <w:sz w:val="24"/>
          <w:szCs w:val="24"/>
        </w:rPr>
        <w:t>Comisión Nacional de Valores: CNV</w:t>
      </w:r>
    </w:p>
    <w:p w14:paraId="06C47BA6" w14:textId="77777777" w:rsidR="002E0323" w:rsidRPr="00B17D35" w:rsidRDefault="00B17D35">
      <w:pPr>
        <w:numPr>
          <w:ilvl w:val="0"/>
          <w:numId w:val="7"/>
        </w:numPr>
        <w:spacing w:line="240" w:lineRule="auto"/>
        <w:ind w:left="0" w:hanging="2"/>
        <w:jc w:val="both"/>
        <w:rPr>
          <w:sz w:val="24"/>
          <w:szCs w:val="24"/>
        </w:rPr>
      </w:pPr>
      <w:r w:rsidRPr="00B17D35">
        <w:rPr>
          <w:sz w:val="24"/>
          <w:szCs w:val="24"/>
        </w:rPr>
        <w:t>Matba Rofex SA</w:t>
      </w:r>
      <w:r w:rsidRPr="00B17D35">
        <w:rPr>
          <w:b/>
          <w:sz w:val="24"/>
          <w:szCs w:val="24"/>
        </w:rPr>
        <w:t xml:space="preserve">: </w:t>
      </w:r>
      <w:r w:rsidRPr="00B17D35">
        <w:rPr>
          <w:sz w:val="24"/>
          <w:szCs w:val="24"/>
        </w:rPr>
        <w:t>MtR o la Sociedad</w:t>
      </w:r>
    </w:p>
    <w:p w14:paraId="3AC84D0C" w14:textId="77777777" w:rsidR="002E0323" w:rsidRPr="00B17D35" w:rsidRDefault="00B17D35">
      <w:pPr>
        <w:numPr>
          <w:ilvl w:val="0"/>
          <w:numId w:val="7"/>
        </w:numPr>
        <w:spacing w:line="240" w:lineRule="auto"/>
        <w:ind w:left="0" w:hanging="2"/>
        <w:jc w:val="both"/>
        <w:rPr>
          <w:sz w:val="24"/>
          <w:szCs w:val="24"/>
        </w:rPr>
      </w:pPr>
      <w:r w:rsidRPr="00B17D35">
        <w:rPr>
          <w:sz w:val="24"/>
          <w:szCs w:val="24"/>
        </w:rPr>
        <w:t>Número de orden: orden que se le asigna al accionista al comunicar asistencia a Asamblea a los efectos de su identificación</w:t>
      </w:r>
    </w:p>
    <w:p w14:paraId="3140929D" w14:textId="77777777" w:rsidR="002E0323" w:rsidRPr="00B17D35" w:rsidRDefault="00B17D35">
      <w:pPr>
        <w:numPr>
          <w:ilvl w:val="0"/>
          <w:numId w:val="7"/>
        </w:numPr>
        <w:spacing w:line="240" w:lineRule="auto"/>
        <w:ind w:left="0" w:hanging="2"/>
        <w:jc w:val="both"/>
        <w:rPr>
          <w:sz w:val="24"/>
          <w:szCs w:val="24"/>
        </w:rPr>
      </w:pPr>
      <w:r w:rsidRPr="00B17D35">
        <w:rPr>
          <w:sz w:val="24"/>
          <w:szCs w:val="24"/>
        </w:rPr>
        <w:t>Página web de la Sociedad: web/página web: www.matbarofex.com.ar</w:t>
      </w:r>
    </w:p>
    <w:p w14:paraId="15454EEE" w14:textId="77777777" w:rsidR="002E0323" w:rsidRPr="00B17D35" w:rsidRDefault="002E0323">
      <w:pPr>
        <w:spacing w:line="240" w:lineRule="auto"/>
        <w:ind w:left="0" w:hanging="2"/>
        <w:jc w:val="both"/>
        <w:rPr>
          <w:sz w:val="24"/>
          <w:szCs w:val="24"/>
        </w:rPr>
      </w:pPr>
    </w:p>
    <w:p w14:paraId="1EF1B54A" w14:textId="77777777" w:rsidR="002E0323" w:rsidRPr="00B17D35" w:rsidRDefault="00B17D35">
      <w:pPr>
        <w:pBdr>
          <w:bottom w:val="single" w:sz="4" w:space="1" w:color="000000"/>
        </w:pBdr>
        <w:spacing w:line="240" w:lineRule="auto"/>
        <w:ind w:left="0" w:hanging="2"/>
        <w:jc w:val="both"/>
      </w:pPr>
      <w:r w:rsidRPr="00B17D35">
        <w:rPr>
          <w:b/>
          <w:sz w:val="24"/>
          <w:szCs w:val="24"/>
        </w:rPr>
        <w:t>4. Derechos y Deberes de los accionistas</w:t>
      </w:r>
    </w:p>
    <w:p w14:paraId="39C48D88" w14:textId="77777777" w:rsidR="002E0323" w:rsidRPr="00B17D35" w:rsidRDefault="00B17D35">
      <w:pPr>
        <w:spacing w:line="240" w:lineRule="auto"/>
        <w:ind w:left="0" w:hanging="2"/>
        <w:jc w:val="both"/>
        <w:rPr>
          <w:sz w:val="24"/>
          <w:szCs w:val="24"/>
        </w:rPr>
      </w:pPr>
      <w:r w:rsidRPr="00B17D35">
        <w:rPr>
          <w:sz w:val="24"/>
          <w:szCs w:val="24"/>
        </w:rPr>
        <w:t xml:space="preserve">Los derechos y deberes de los accionistas se encuentran establecidos en la normativa vigente y están detallados en el CGS de la Sociedad siendo estos los siguientes a modo enunciativo y no taxativo: </w:t>
      </w:r>
    </w:p>
    <w:p w14:paraId="44767658" w14:textId="77777777" w:rsidR="002E0323" w:rsidRPr="00B17D35" w:rsidRDefault="00B17D35">
      <w:pPr>
        <w:spacing w:line="240" w:lineRule="auto"/>
        <w:ind w:left="0" w:hanging="2"/>
        <w:jc w:val="both"/>
        <w:rPr>
          <w:sz w:val="24"/>
          <w:szCs w:val="24"/>
        </w:rPr>
      </w:pPr>
      <w:r w:rsidRPr="00B17D35">
        <w:rPr>
          <w:b/>
          <w:sz w:val="24"/>
          <w:szCs w:val="24"/>
        </w:rPr>
        <w:t>4.1.</w:t>
      </w:r>
      <w:r w:rsidRPr="00B17D35">
        <w:rPr>
          <w:sz w:val="24"/>
          <w:szCs w:val="24"/>
        </w:rPr>
        <w:t xml:space="preserve"> </w:t>
      </w:r>
      <w:r w:rsidRPr="00B17D35">
        <w:rPr>
          <w:i/>
          <w:sz w:val="24"/>
          <w:szCs w:val="24"/>
        </w:rPr>
        <w:t>Derechos</w:t>
      </w:r>
      <w:r w:rsidRPr="00B17D35">
        <w:rPr>
          <w:sz w:val="24"/>
          <w:szCs w:val="24"/>
        </w:rPr>
        <w:t xml:space="preserve">: </w:t>
      </w:r>
    </w:p>
    <w:p w14:paraId="0FA6E2F1" w14:textId="77777777" w:rsidR="002E0323" w:rsidRPr="00B17D35" w:rsidRDefault="00B17D35">
      <w:pPr>
        <w:numPr>
          <w:ilvl w:val="0"/>
          <w:numId w:val="5"/>
        </w:numPr>
        <w:spacing w:line="240" w:lineRule="auto"/>
        <w:ind w:left="0" w:hanging="2"/>
        <w:jc w:val="both"/>
        <w:rPr>
          <w:sz w:val="24"/>
          <w:szCs w:val="24"/>
        </w:rPr>
      </w:pPr>
      <w:r w:rsidRPr="00B17D35">
        <w:rPr>
          <w:sz w:val="24"/>
          <w:szCs w:val="24"/>
        </w:rPr>
        <w:t>trato equitativo</w:t>
      </w:r>
    </w:p>
    <w:p w14:paraId="105CEA48" w14:textId="77777777" w:rsidR="002E0323" w:rsidRPr="00B17D35" w:rsidRDefault="00B17D35">
      <w:pPr>
        <w:numPr>
          <w:ilvl w:val="0"/>
          <w:numId w:val="5"/>
        </w:numPr>
        <w:spacing w:line="240" w:lineRule="auto"/>
        <w:ind w:left="0" w:hanging="2"/>
        <w:jc w:val="both"/>
        <w:rPr>
          <w:sz w:val="24"/>
          <w:szCs w:val="24"/>
        </w:rPr>
      </w:pPr>
      <w:r w:rsidRPr="00B17D35">
        <w:rPr>
          <w:sz w:val="24"/>
          <w:szCs w:val="24"/>
        </w:rPr>
        <w:t>acceso a la información</w:t>
      </w:r>
    </w:p>
    <w:p w14:paraId="57947E82" w14:textId="77777777" w:rsidR="002E0323" w:rsidRPr="00B17D35" w:rsidRDefault="00B17D35">
      <w:pPr>
        <w:numPr>
          <w:ilvl w:val="0"/>
          <w:numId w:val="5"/>
        </w:numPr>
        <w:spacing w:line="240" w:lineRule="auto"/>
        <w:ind w:left="0" w:hanging="2"/>
        <w:jc w:val="both"/>
        <w:rPr>
          <w:sz w:val="24"/>
          <w:szCs w:val="24"/>
        </w:rPr>
      </w:pPr>
      <w:r w:rsidRPr="00B17D35">
        <w:rPr>
          <w:sz w:val="24"/>
          <w:szCs w:val="24"/>
        </w:rPr>
        <w:t>participación en reuniones informativas</w:t>
      </w:r>
    </w:p>
    <w:p w14:paraId="76C61D76" w14:textId="77777777" w:rsidR="002E0323" w:rsidRPr="00B17D35" w:rsidRDefault="00B17D35">
      <w:pPr>
        <w:numPr>
          <w:ilvl w:val="0"/>
          <w:numId w:val="5"/>
        </w:numPr>
        <w:spacing w:line="240" w:lineRule="auto"/>
        <w:ind w:left="0" w:hanging="2"/>
        <w:jc w:val="both"/>
        <w:rPr>
          <w:sz w:val="24"/>
          <w:szCs w:val="24"/>
        </w:rPr>
      </w:pPr>
      <w:r w:rsidRPr="00B17D35">
        <w:rPr>
          <w:sz w:val="24"/>
          <w:szCs w:val="24"/>
        </w:rPr>
        <w:t>libre transferencia de acciones</w:t>
      </w:r>
    </w:p>
    <w:p w14:paraId="296528B6" w14:textId="77777777" w:rsidR="002E0323" w:rsidRPr="00B17D35" w:rsidRDefault="00B17D35">
      <w:pPr>
        <w:numPr>
          <w:ilvl w:val="0"/>
          <w:numId w:val="5"/>
        </w:numPr>
        <w:spacing w:line="240" w:lineRule="auto"/>
        <w:ind w:left="0" w:hanging="2"/>
        <w:jc w:val="both"/>
        <w:rPr>
          <w:sz w:val="24"/>
          <w:szCs w:val="24"/>
        </w:rPr>
      </w:pPr>
      <w:r w:rsidRPr="00B17D35">
        <w:rPr>
          <w:sz w:val="24"/>
          <w:szCs w:val="24"/>
        </w:rPr>
        <w:t>libre comunicación</w:t>
      </w:r>
    </w:p>
    <w:p w14:paraId="28D796E0" w14:textId="77777777" w:rsidR="002E0323" w:rsidRPr="00B17D35" w:rsidRDefault="00B17D35">
      <w:pPr>
        <w:numPr>
          <w:ilvl w:val="0"/>
          <w:numId w:val="5"/>
        </w:numPr>
        <w:spacing w:line="240" w:lineRule="auto"/>
        <w:ind w:left="0" w:hanging="2"/>
        <w:jc w:val="both"/>
        <w:rPr>
          <w:sz w:val="24"/>
          <w:szCs w:val="24"/>
        </w:rPr>
      </w:pPr>
      <w:r w:rsidRPr="00B17D35">
        <w:rPr>
          <w:sz w:val="24"/>
          <w:szCs w:val="24"/>
        </w:rPr>
        <w:t xml:space="preserve">votación presencial o por representación </w:t>
      </w:r>
    </w:p>
    <w:p w14:paraId="71C3D129" w14:textId="77777777" w:rsidR="002E0323" w:rsidRPr="00B17D35" w:rsidRDefault="00B17D35">
      <w:pPr>
        <w:numPr>
          <w:ilvl w:val="0"/>
          <w:numId w:val="5"/>
        </w:numPr>
        <w:spacing w:line="240" w:lineRule="auto"/>
        <w:ind w:left="0" w:hanging="2"/>
        <w:jc w:val="both"/>
        <w:rPr>
          <w:sz w:val="24"/>
          <w:szCs w:val="24"/>
        </w:rPr>
      </w:pPr>
      <w:r w:rsidRPr="00B17D35">
        <w:rPr>
          <w:sz w:val="24"/>
          <w:szCs w:val="24"/>
        </w:rPr>
        <w:t>asistencia a asambleas, sea en forma presencial o a distancia.</w:t>
      </w:r>
    </w:p>
    <w:p w14:paraId="003BFE2C" w14:textId="77777777" w:rsidR="002E0323" w:rsidRPr="00B17D35" w:rsidRDefault="00B17D35">
      <w:pPr>
        <w:numPr>
          <w:ilvl w:val="0"/>
          <w:numId w:val="5"/>
        </w:numPr>
        <w:spacing w:line="240" w:lineRule="auto"/>
        <w:ind w:left="0" w:hanging="2"/>
        <w:jc w:val="both"/>
        <w:rPr>
          <w:sz w:val="24"/>
          <w:szCs w:val="24"/>
        </w:rPr>
      </w:pPr>
      <w:r w:rsidRPr="00B17D35">
        <w:rPr>
          <w:sz w:val="24"/>
          <w:szCs w:val="24"/>
        </w:rPr>
        <w:t>participación en las ganancias.</w:t>
      </w:r>
    </w:p>
    <w:p w14:paraId="18927D3B" w14:textId="77777777" w:rsidR="002E0323" w:rsidRPr="00B17D35" w:rsidRDefault="00B17D35">
      <w:pPr>
        <w:spacing w:line="240" w:lineRule="auto"/>
        <w:ind w:left="0" w:hanging="2"/>
        <w:jc w:val="both"/>
        <w:rPr>
          <w:sz w:val="24"/>
          <w:szCs w:val="24"/>
        </w:rPr>
      </w:pPr>
      <w:r w:rsidRPr="00B17D35">
        <w:rPr>
          <w:b/>
          <w:sz w:val="24"/>
          <w:szCs w:val="24"/>
        </w:rPr>
        <w:t>4.2.</w:t>
      </w:r>
      <w:r w:rsidRPr="00B17D35">
        <w:rPr>
          <w:sz w:val="24"/>
          <w:szCs w:val="24"/>
        </w:rPr>
        <w:t xml:space="preserve"> </w:t>
      </w:r>
      <w:r w:rsidRPr="00B17D35">
        <w:rPr>
          <w:i/>
          <w:sz w:val="24"/>
          <w:szCs w:val="24"/>
        </w:rPr>
        <w:t>Obligaciones</w:t>
      </w:r>
      <w:r w:rsidRPr="00B17D35">
        <w:rPr>
          <w:sz w:val="24"/>
          <w:szCs w:val="24"/>
        </w:rPr>
        <w:t xml:space="preserve">: </w:t>
      </w:r>
    </w:p>
    <w:p w14:paraId="46DB1075" w14:textId="77777777" w:rsidR="002E0323" w:rsidRPr="00B17D35" w:rsidRDefault="00B17D35">
      <w:pPr>
        <w:numPr>
          <w:ilvl w:val="0"/>
          <w:numId w:val="8"/>
        </w:numPr>
        <w:spacing w:line="240" w:lineRule="auto"/>
        <w:ind w:left="0" w:hanging="2"/>
        <w:jc w:val="both"/>
        <w:rPr>
          <w:sz w:val="24"/>
          <w:szCs w:val="24"/>
        </w:rPr>
      </w:pPr>
      <w:r w:rsidRPr="00B17D35">
        <w:rPr>
          <w:sz w:val="24"/>
          <w:szCs w:val="24"/>
        </w:rPr>
        <w:t xml:space="preserve">informar cualquier modificación en su tenencia accionaria </w:t>
      </w:r>
    </w:p>
    <w:p w14:paraId="5D134069" w14:textId="77777777" w:rsidR="002E0323" w:rsidRPr="00B17D35" w:rsidRDefault="00B17D35">
      <w:pPr>
        <w:numPr>
          <w:ilvl w:val="0"/>
          <w:numId w:val="8"/>
        </w:numPr>
        <w:spacing w:line="240" w:lineRule="auto"/>
        <w:ind w:left="0" w:hanging="2"/>
        <w:jc w:val="both"/>
        <w:rPr>
          <w:sz w:val="24"/>
          <w:szCs w:val="24"/>
        </w:rPr>
      </w:pPr>
      <w:r w:rsidRPr="00B17D35">
        <w:rPr>
          <w:sz w:val="24"/>
          <w:szCs w:val="24"/>
        </w:rPr>
        <w:t xml:space="preserve">Registrar su firma e informar casilla de correo electrónico y en su caso notificar, con carácter de declaración jurada, cualquier modificación de los datos oportunamente denunciados a la Sociedad. </w:t>
      </w:r>
    </w:p>
    <w:p w14:paraId="469ADB61" w14:textId="77777777" w:rsidR="002E0323" w:rsidRPr="00B17D35" w:rsidRDefault="00B17D35">
      <w:pPr>
        <w:numPr>
          <w:ilvl w:val="0"/>
          <w:numId w:val="8"/>
        </w:numPr>
        <w:spacing w:line="240" w:lineRule="auto"/>
        <w:ind w:left="0" w:hanging="2"/>
        <w:jc w:val="both"/>
        <w:rPr>
          <w:sz w:val="24"/>
          <w:szCs w:val="24"/>
        </w:rPr>
      </w:pPr>
      <w:r w:rsidRPr="00B17D35">
        <w:rPr>
          <w:sz w:val="24"/>
          <w:szCs w:val="24"/>
        </w:rPr>
        <w:t xml:space="preserve">de haberse convocado una Asamblea, proceder de acuerdo a lo dispuesto en el presente Reglamento y la normativa vigente </w:t>
      </w:r>
    </w:p>
    <w:p w14:paraId="3DDEECE8" w14:textId="77777777" w:rsidR="002E0323" w:rsidRPr="00B17D35" w:rsidRDefault="00B17D35">
      <w:pPr>
        <w:numPr>
          <w:ilvl w:val="0"/>
          <w:numId w:val="8"/>
        </w:numPr>
        <w:spacing w:line="240" w:lineRule="auto"/>
        <w:ind w:left="0" w:hanging="2"/>
        <w:jc w:val="both"/>
        <w:rPr>
          <w:sz w:val="24"/>
          <w:szCs w:val="24"/>
        </w:rPr>
      </w:pPr>
      <w:r w:rsidRPr="00B17D35">
        <w:rPr>
          <w:sz w:val="24"/>
          <w:szCs w:val="24"/>
        </w:rPr>
        <w:t>actuar bajo los principios generales de buena fe, evitando contraponer los intereses propios por sobre el interés social</w:t>
      </w:r>
    </w:p>
    <w:p w14:paraId="2C3363DD" w14:textId="77777777" w:rsidR="002E0323" w:rsidRPr="00B17D35" w:rsidRDefault="00B17D35">
      <w:pPr>
        <w:numPr>
          <w:ilvl w:val="0"/>
          <w:numId w:val="8"/>
        </w:numPr>
        <w:spacing w:line="240" w:lineRule="auto"/>
        <w:ind w:left="0" w:hanging="2"/>
        <w:jc w:val="both"/>
        <w:rPr>
          <w:sz w:val="24"/>
          <w:szCs w:val="24"/>
        </w:rPr>
      </w:pPr>
      <w:r w:rsidRPr="00B17D35">
        <w:rPr>
          <w:sz w:val="24"/>
          <w:szCs w:val="24"/>
        </w:rPr>
        <w:t xml:space="preserve">respetar la actuación del Directorio y la Comisión Fiscalizadora evaluando su actuación en ocasión de las Asambleas correspondientes </w:t>
      </w:r>
    </w:p>
    <w:p w14:paraId="4A8AD81F" w14:textId="77777777" w:rsidR="002E0323" w:rsidRPr="00B17D35" w:rsidRDefault="00B17D35">
      <w:pPr>
        <w:numPr>
          <w:ilvl w:val="0"/>
          <w:numId w:val="8"/>
        </w:numPr>
        <w:spacing w:line="240" w:lineRule="auto"/>
        <w:ind w:left="0" w:hanging="2"/>
        <w:jc w:val="both"/>
        <w:rPr>
          <w:sz w:val="24"/>
          <w:szCs w:val="24"/>
        </w:rPr>
      </w:pPr>
      <w:r w:rsidRPr="00B17D35">
        <w:rPr>
          <w:sz w:val="24"/>
          <w:szCs w:val="24"/>
        </w:rPr>
        <w:t>preservar la imagen de la Sociedad, evitando difundir información falsa y errónea que pudiere menoscabar el prestigio y/o interrumpir el normal desarrollo de los negocios</w:t>
      </w:r>
    </w:p>
    <w:p w14:paraId="4B91F800" w14:textId="77777777" w:rsidR="002E0323" w:rsidRPr="00B17D35" w:rsidRDefault="00B17D35">
      <w:pPr>
        <w:numPr>
          <w:ilvl w:val="0"/>
          <w:numId w:val="8"/>
        </w:numPr>
        <w:spacing w:line="240" w:lineRule="auto"/>
        <w:ind w:left="0" w:hanging="2"/>
        <w:jc w:val="both"/>
        <w:rPr>
          <w:sz w:val="24"/>
          <w:szCs w:val="24"/>
        </w:rPr>
      </w:pPr>
      <w:r w:rsidRPr="00B17D35">
        <w:rPr>
          <w:sz w:val="24"/>
          <w:szCs w:val="24"/>
        </w:rPr>
        <w:t>cuando el accionista o su representante tenga, por cuenta propia o ajena, un interés contrario al de la Sociedad, tiene obligación de abstenerse de votar en las asambleas los acuerdos relativos a aquélla</w:t>
      </w:r>
    </w:p>
    <w:p w14:paraId="39E3F091" w14:textId="77777777" w:rsidR="002E0323" w:rsidRPr="00B17D35" w:rsidRDefault="00B17D35">
      <w:pPr>
        <w:numPr>
          <w:ilvl w:val="0"/>
          <w:numId w:val="8"/>
        </w:numPr>
        <w:spacing w:line="240" w:lineRule="auto"/>
        <w:ind w:left="0" w:hanging="2"/>
        <w:jc w:val="both"/>
        <w:rPr>
          <w:sz w:val="24"/>
          <w:szCs w:val="24"/>
        </w:rPr>
      </w:pPr>
      <w:r w:rsidRPr="00B17D35">
        <w:rPr>
          <w:sz w:val="24"/>
          <w:szCs w:val="24"/>
        </w:rPr>
        <w:lastRenderedPageBreak/>
        <w:t>en el caso de accionistas con tenencias iguales o superiores al 2%: informar a la CNV, toda variación de sus tenencias, conforme el procedimiento y con los alcances dispuestos por las Normas de dicho Organismo</w:t>
      </w:r>
    </w:p>
    <w:p w14:paraId="7890B8F9" w14:textId="77777777" w:rsidR="002E0323" w:rsidRPr="00B17D35" w:rsidRDefault="00B17D35">
      <w:pPr>
        <w:numPr>
          <w:ilvl w:val="0"/>
          <w:numId w:val="8"/>
        </w:numPr>
        <w:spacing w:line="240" w:lineRule="auto"/>
        <w:ind w:left="0" w:hanging="2"/>
        <w:jc w:val="both"/>
        <w:rPr>
          <w:sz w:val="24"/>
          <w:szCs w:val="24"/>
        </w:rPr>
      </w:pPr>
      <w:r w:rsidRPr="00B17D35">
        <w:rPr>
          <w:sz w:val="24"/>
          <w:szCs w:val="24"/>
        </w:rPr>
        <w:t>cumplir las obligaciones establecidas en el Régimen de Transparencia de las Normas de CNV.</w:t>
      </w:r>
    </w:p>
    <w:p w14:paraId="6315218A" w14:textId="77777777" w:rsidR="002E0323" w:rsidRPr="00B17D35" w:rsidRDefault="002E0323">
      <w:pPr>
        <w:spacing w:line="240" w:lineRule="auto"/>
        <w:ind w:left="0" w:hanging="2"/>
        <w:jc w:val="both"/>
        <w:rPr>
          <w:b/>
          <w:sz w:val="24"/>
          <w:szCs w:val="24"/>
        </w:rPr>
      </w:pPr>
    </w:p>
    <w:p w14:paraId="3CB4995A" w14:textId="77777777" w:rsidR="002E0323" w:rsidRPr="00B17D35" w:rsidRDefault="00B17D35">
      <w:pPr>
        <w:pBdr>
          <w:bottom w:val="single" w:sz="4" w:space="1" w:color="000000"/>
        </w:pBdr>
        <w:spacing w:line="240" w:lineRule="auto"/>
        <w:ind w:left="0" w:hanging="2"/>
        <w:jc w:val="both"/>
      </w:pPr>
      <w:r w:rsidRPr="00B17D35">
        <w:rPr>
          <w:b/>
          <w:sz w:val="24"/>
          <w:szCs w:val="24"/>
        </w:rPr>
        <w:t>5. Convocatorias</w:t>
      </w:r>
    </w:p>
    <w:p w14:paraId="776BF2F3" w14:textId="77777777" w:rsidR="002E0323" w:rsidRPr="00B17D35" w:rsidRDefault="00B17D35">
      <w:pPr>
        <w:spacing w:line="240" w:lineRule="auto"/>
        <w:ind w:left="0" w:hanging="2"/>
        <w:jc w:val="both"/>
        <w:rPr>
          <w:sz w:val="24"/>
          <w:szCs w:val="24"/>
        </w:rPr>
      </w:pPr>
      <w:r w:rsidRPr="00B17D35">
        <w:rPr>
          <w:b/>
          <w:sz w:val="24"/>
          <w:szCs w:val="24"/>
        </w:rPr>
        <w:t>5.1</w:t>
      </w:r>
      <w:r w:rsidRPr="00B17D35">
        <w:rPr>
          <w:sz w:val="24"/>
          <w:szCs w:val="24"/>
        </w:rPr>
        <w:t xml:space="preserve">. </w:t>
      </w:r>
      <w:r w:rsidRPr="00B17D35">
        <w:rPr>
          <w:b/>
          <w:sz w:val="24"/>
          <w:szCs w:val="24"/>
        </w:rPr>
        <w:t>Oportunidad.</w:t>
      </w:r>
    </w:p>
    <w:p w14:paraId="03544BA4" w14:textId="77777777" w:rsidR="002E0323" w:rsidRPr="00B17D35" w:rsidRDefault="00B17D35">
      <w:pPr>
        <w:spacing w:line="240" w:lineRule="auto"/>
        <w:ind w:left="0" w:hanging="2"/>
        <w:jc w:val="both"/>
        <w:rPr>
          <w:sz w:val="24"/>
          <w:szCs w:val="24"/>
        </w:rPr>
      </w:pPr>
      <w:r w:rsidRPr="00B17D35">
        <w:rPr>
          <w:sz w:val="24"/>
          <w:szCs w:val="24"/>
        </w:rPr>
        <w:t>Las asambleas ordinarias y extraordinarias serán convocadas por el Directorio o la Comisión Fiscalizadora en los casos previstos por la ley (establecidos en el punto 6), cuando cualquiera de ellos lo juzgue necesario o cuando sean requeridas por accionistas que representan por lo menos el 5 % del capital social. En este último supuesto la petición indicará los temas a tratar y el Directorio o la Comisión Fiscalizadora convocará la Asamblea para que se celebre en el plazo máximo de 40 días de recibida la solicitud.</w:t>
      </w:r>
    </w:p>
    <w:p w14:paraId="53E693B1" w14:textId="77777777" w:rsidR="002E0323" w:rsidRPr="00B17D35" w:rsidRDefault="00B17D35">
      <w:pPr>
        <w:spacing w:line="240" w:lineRule="auto"/>
        <w:ind w:left="0" w:hanging="2"/>
        <w:jc w:val="both"/>
        <w:rPr>
          <w:sz w:val="24"/>
          <w:szCs w:val="24"/>
        </w:rPr>
      </w:pPr>
      <w:r w:rsidRPr="00B17D35">
        <w:rPr>
          <w:sz w:val="24"/>
          <w:szCs w:val="24"/>
        </w:rPr>
        <w:t>Si el Directorio o la Comisión Fiscalizadora omite hacerlo, la convocatoria podrá hacerse por la autoridad de contralor o judicialmente.</w:t>
      </w:r>
    </w:p>
    <w:p w14:paraId="4FBCC139" w14:textId="77777777" w:rsidR="002E0323" w:rsidRPr="00B17D35" w:rsidRDefault="00B17D35">
      <w:pPr>
        <w:spacing w:line="240" w:lineRule="auto"/>
        <w:ind w:left="0" w:hanging="2"/>
        <w:jc w:val="both"/>
        <w:rPr>
          <w:sz w:val="24"/>
          <w:szCs w:val="24"/>
        </w:rPr>
      </w:pPr>
      <w:r w:rsidRPr="00B17D35">
        <w:rPr>
          <w:b/>
          <w:sz w:val="24"/>
          <w:szCs w:val="24"/>
        </w:rPr>
        <w:t>5.2</w:t>
      </w:r>
      <w:r w:rsidRPr="00B17D35">
        <w:rPr>
          <w:sz w:val="24"/>
          <w:szCs w:val="24"/>
        </w:rPr>
        <w:t xml:space="preserve">. </w:t>
      </w:r>
      <w:r w:rsidRPr="00B17D35">
        <w:rPr>
          <w:b/>
          <w:sz w:val="24"/>
          <w:szCs w:val="24"/>
        </w:rPr>
        <w:t>Asambleas Ordinarias y Extraordinarias</w:t>
      </w:r>
    </w:p>
    <w:p w14:paraId="174D82F9" w14:textId="77777777" w:rsidR="002E0323" w:rsidRPr="00B17D35" w:rsidRDefault="00B17D35">
      <w:pPr>
        <w:spacing w:line="240" w:lineRule="auto"/>
        <w:ind w:left="0" w:hanging="2"/>
        <w:jc w:val="both"/>
        <w:rPr>
          <w:sz w:val="24"/>
          <w:szCs w:val="24"/>
        </w:rPr>
      </w:pPr>
      <w:r w:rsidRPr="00B17D35">
        <w:rPr>
          <w:b/>
          <w:sz w:val="24"/>
          <w:szCs w:val="24"/>
        </w:rPr>
        <w:t>5.2.1.</w:t>
      </w:r>
      <w:r w:rsidRPr="00B17D35">
        <w:rPr>
          <w:sz w:val="24"/>
          <w:szCs w:val="24"/>
        </w:rPr>
        <w:t xml:space="preserve"> </w:t>
      </w:r>
      <w:r w:rsidRPr="00B17D35">
        <w:rPr>
          <w:i/>
          <w:sz w:val="24"/>
          <w:szCs w:val="24"/>
        </w:rPr>
        <w:t>Convocatoria</w:t>
      </w:r>
    </w:p>
    <w:p w14:paraId="13A64714" w14:textId="77777777" w:rsidR="002E0323" w:rsidRPr="00B17D35" w:rsidRDefault="00B17D35">
      <w:pPr>
        <w:spacing w:line="240" w:lineRule="auto"/>
        <w:ind w:left="0" w:hanging="2"/>
        <w:jc w:val="both"/>
      </w:pPr>
      <w:r w:rsidRPr="00B17D35">
        <w:rPr>
          <w:b/>
          <w:sz w:val="24"/>
          <w:szCs w:val="24"/>
        </w:rPr>
        <w:t>5.2.1.1</w:t>
      </w:r>
      <w:r w:rsidRPr="00B17D35">
        <w:rPr>
          <w:i/>
          <w:sz w:val="24"/>
          <w:szCs w:val="24"/>
        </w:rPr>
        <w:t>. Primera Convocatoria.</w:t>
      </w:r>
      <w:r w:rsidRPr="00B17D35">
        <w:rPr>
          <w:sz w:val="24"/>
          <w:szCs w:val="24"/>
        </w:rPr>
        <w:t xml:space="preserve"> Las asambleas ordinarias podrán ser citadas simultáneamente en primera y segunda convocatoria, debiendo ésta celebrarse el mismo día una hora después de fijada la primera. La convocatoria, en la cual se informarán los puntos del orden del día establecidos en el punto 5.2.4, se publicarán en el Boletín Oficial de la Provincia de Santa Fe, en uno de los diarios de mayor circulación nacional, y se remitirá a la CNV mediante el sistema establecido al efecto, y a el o los Mercados donde las acciones de la Sociedad se encuentren listadas, con una anticipación no menor a 20 días corridos y no mayor a 45 días corridos de la fecha de su celebración.</w:t>
      </w:r>
      <w:r w:rsidRPr="00B17D35">
        <w:t xml:space="preserve"> </w:t>
      </w:r>
    </w:p>
    <w:p w14:paraId="6D017BB7" w14:textId="77777777" w:rsidR="002E0323" w:rsidRPr="00B17D35" w:rsidRDefault="00B17D35">
      <w:pPr>
        <w:spacing w:line="240" w:lineRule="auto"/>
        <w:ind w:left="0" w:hanging="2"/>
        <w:jc w:val="both"/>
        <w:rPr>
          <w:sz w:val="24"/>
          <w:szCs w:val="24"/>
        </w:rPr>
      </w:pPr>
      <w:r w:rsidRPr="00B17D35">
        <w:rPr>
          <w:sz w:val="24"/>
          <w:szCs w:val="24"/>
        </w:rPr>
        <w:t xml:space="preserve">En el mismo plazo se pondrá a disposición de los accionistas en la Sede Social y en la página web de la Sociedad, toda la información relevante concerniente a la celebración de la asamblea, la documentación a ser considerada en la misma, las propuestas del Directorio y demás elementos que refiere el punto 8. </w:t>
      </w:r>
    </w:p>
    <w:p w14:paraId="6CF4172F" w14:textId="77777777" w:rsidR="002E0323" w:rsidRPr="00B17D35" w:rsidRDefault="00B17D35">
      <w:pPr>
        <w:spacing w:line="240" w:lineRule="auto"/>
        <w:ind w:left="0" w:hanging="2"/>
        <w:jc w:val="both"/>
        <w:rPr>
          <w:sz w:val="24"/>
          <w:szCs w:val="24"/>
        </w:rPr>
      </w:pPr>
      <w:r w:rsidRPr="00B17D35">
        <w:rPr>
          <w:b/>
          <w:sz w:val="24"/>
          <w:szCs w:val="24"/>
        </w:rPr>
        <w:t>5.1.1.2.</w:t>
      </w:r>
      <w:r w:rsidRPr="00B17D35">
        <w:rPr>
          <w:sz w:val="24"/>
          <w:szCs w:val="24"/>
        </w:rPr>
        <w:t xml:space="preserve"> </w:t>
      </w:r>
      <w:r w:rsidRPr="00B17D35">
        <w:rPr>
          <w:i/>
          <w:sz w:val="24"/>
          <w:szCs w:val="24"/>
        </w:rPr>
        <w:t>Segunda convocatoria</w:t>
      </w:r>
      <w:r w:rsidRPr="00B17D35">
        <w:rPr>
          <w:sz w:val="24"/>
          <w:szCs w:val="24"/>
        </w:rPr>
        <w:t>. En caso de no haber sido realizadas ambas convocatorias de manera simultánea y para el mismo día, la Asamblea Ordinaria deberá celebrarse dentro de los 30 días siguientes de haber fracasado la primera, y las publicaciones de la convocatoria se harán por los mismos medios que la primera, como mínimo por 3 días con 8 días de anticipación a la fecha de celebración.</w:t>
      </w:r>
    </w:p>
    <w:p w14:paraId="6B2A6214" w14:textId="77777777" w:rsidR="002E0323" w:rsidRPr="00B17D35" w:rsidRDefault="00B17D35">
      <w:pPr>
        <w:spacing w:line="240" w:lineRule="auto"/>
        <w:ind w:left="0" w:hanging="2"/>
        <w:rPr>
          <w:sz w:val="24"/>
          <w:szCs w:val="24"/>
        </w:rPr>
      </w:pPr>
      <w:r w:rsidRPr="00B17D35">
        <w:rPr>
          <w:b/>
          <w:sz w:val="24"/>
          <w:szCs w:val="24"/>
        </w:rPr>
        <w:t>5.2.2</w:t>
      </w:r>
      <w:r w:rsidRPr="00B17D35">
        <w:rPr>
          <w:sz w:val="24"/>
          <w:szCs w:val="24"/>
        </w:rPr>
        <w:t xml:space="preserve">. </w:t>
      </w:r>
      <w:r w:rsidRPr="00B17D35">
        <w:rPr>
          <w:i/>
          <w:sz w:val="24"/>
          <w:szCs w:val="24"/>
        </w:rPr>
        <w:t>Quórum</w:t>
      </w:r>
    </w:p>
    <w:p w14:paraId="54018AC8" w14:textId="77777777" w:rsidR="002E0323" w:rsidRPr="00B17D35" w:rsidRDefault="00B17D35">
      <w:pPr>
        <w:spacing w:line="240" w:lineRule="auto"/>
        <w:ind w:left="0" w:hanging="2"/>
        <w:jc w:val="both"/>
        <w:rPr>
          <w:sz w:val="24"/>
          <w:szCs w:val="24"/>
        </w:rPr>
      </w:pPr>
      <w:r w:rsidRPr="00B17D35">
        <w:rPr>
          <w:b/>
          <w:sz w:val="24"/>
          <w:szCs w:val="24"/>
        </w:rPr>
        <w:t>5.2.2.1</w:t>
      </w:r>
      <w:r w:rsidRPr="00B17D35">
        <w:rPr>
          <w:i/>
          <w:sz w:val="24"/>
          <w:szCs w:val="24"/>
        </w:rPr>
        <w:t>. Primera convocatoria</w:t>
      </w:r>
      <w:r w:rsidRPr="00B17D35">
        <w:rPr>
          <w:sz w:val="24"/>
          <w:szCs w:val="24"/>
        </w:rPr>
        <w:t>. La Asamblea Ordinaria quedará regularmente constituida con la presencia de accionistas que representen la mayoría de las acciones con derecho a voto. La Asamblea Extraordinaria se reunirá con la presencia de accionistas que representen el 60% de las acciones con derecho a voto.</w:t>
      </w:r>
    </w:p>
    <w:p w14:paraId="5A35FBB0" w14:textId="77777777" w:rsidR="002E0323" w:rsidRPr="00B17D35" w:rsidRDefault="00B17D35">
      <w:pPr>
        <w:spacing w:line="240" w:lineRule="auto"/>
        <w:ind w:left="0" w:hanging="2"/>
        <w:jc w:val="both"/>
        <w:rPr>
          <w:sz w:val="24"/>
          <w:szCs w:val="24"/>
        </w:rPr>
      </w:pPr>
      <w:r w:rsidRPr="00B17D35">
        <w:rPr>
          <w:b/>
          <w:sz w:val="24"/>
          <w:szCs w:val="24"/>
        </w:rPr>
        <w:lastRenderedPageBreak/>
        <w:t>5.1.2.2</w:t>
      </w:r>
      <w:r w:rsidRPr="00B17D35">
        <w:rPr>
          <w:sz w:val="24"/>
          <w:szCs w:val="24"/>
        </w:rPr>
        <w:t xml:space="preserve">. </w:t>
      </w:r>
      <w:r w:rsidRPr="00B17D35">
        <w:rPr>
          <w:i/>
          <w:sz w:val="24"/>
          <w:szCs w:val="24"/>
        </w:rPr>
        <w:t>Segunda Convocatoria.</w:t>
      </w:r>
      <w:r w:rsidRPr="00B17D35">
        <w:rPr>
          <w:sz w:val="24"/>
          <w:szCs w:val="24"/>
        </w:rPr>
        <w:t xml:space="preserve"> La Asamblea Ordinaria se constituirá cualquiera sea el número de accionistas presentes, mientras que en la Extraordinaria se reunirá con, al menos el 20% de las acciones con derecho a voto.</w:t>
      </w:r>
    </w:p>
    <w:p w14:paraId="64057164" w14:textId="77777777" w:rsidR="002E0323" w:rsidRPr="00B17D35" w:rsidRDefault="00B17D35">
      <w:pPr>
        <w:spacing w:line="240" w:lineRule="auto"/>
        <w:ind w:left="0" w:right="-142" w:hanging="2"/>
        <w:jc w:val="both"/>
        <w:rPr>
          <w:sz w:val="24"/>
          <w:szCs w:val="24"/>
        </w:rPr>
      </w:pPr>
      <w:r w:rsidRPr="00B17D35">
        <w:rPr>
          <w:b/>
          <w:sz w:val="24"/>
          <w:szCs w:val="24"/>
        </w:rPr>
        <w:t>5.2.3.</w:t>
      </w:r>
      <w:r w:rsidRPr="00B17D35">
        <w:rPr>
          <w:sz w:val="24"/>
          <w:szCs w:val="24"/>
        </w:rPr>
        <w:t xml:space="preserve"> </w:t>
      </w:r>
      <w:r w:rsidRPr="00B17D35">
        <w:rPr>
          <w:i/>
          <w:sz w:val="24"/>
          <w:szCs w:val="24"/>
        </w:rPr>
        <w:t>Cuarto intermedio</w:t>
      </w:r>
    </w:p>
    <w:p w14:paraId="3FDBFD18" w14:textId="77777777" w:rsidR="002E0323" w:rsidRPr="00B17D35" w:rsidRDefault="00B17D35">
      <w:pPr>
        <w:spacing w:line="240" w:lineRule="auto"/>
        <w:ind w:left="0" w:right="-142" w:hanging="2"/>
        <w:jc w:val="both"/>
        <w:rPr>
          <w:sz w:val="24"/>
          <w:szCs w:val="24"/>
        </w:rPr>
      </w:pPr>
      <w:r w:rsidRPr="00B17D35">
        <w:rPr>
          <w:sz w:val="24"/>
          <w:szCs w:val="24"/>
        </w:rPr>
        <w:t>Las asambleas pueden pasar a cuarto intermedio por una vez, a fin de continuar dentro de los 30 días siguientes de su celebración. No obstante, sólo podrán participar en la reunión los accionistas que comunicaron y registraron su asistencia.</w:t>
      </w:r>
    </w:p>
    <w:p w14:paraId="75894D8B" w14:textId="77777777" w:rsidR="002E0323" w:rsidRPr="00B17D35" w:rsidRDefault="00B17D35">
      <w:pPr>
        <w:spacing w:line="240" w:lineRule="auto"/>
        <w:ind w:left="0" w:hanging="2"/>
        <w:jc w:val="both"/>
        <w:rPr>
          <w:b/>
          <w:sz w:val="24"/>
          <w:szCs w:val="24"/>
        </w:rPr>
      </w:pPr>
      <w:r w:rsidRPr="00B17D35">
        <w:rPr>
          <w:b/>
          <w:sz w:val="24"/>
          <w:szCs w:val="24"/>
        </w:rPr>
        <w:t>5.2.4.</w:t>
      </w:r>
      <w:r w:rsidRPr="00B17D35">
        <w:rPr>
          <w:sz w:val="24"/>
          <w:szCs w:val="24"/>
        </w:rPr>
        <w:t xml:space="preserve"> </w:t>
      </w:r>
      <w:r w:rsidRPr="00B17D35">
        <w:rPr>
          <w:i/>
          <w:sz w:val="24"/>
          <w:szCs w:val="24"/>
        </w:rPr>
        <w:t>Orden del día</w:t>
      </w:r>
    </w:p>
    <w:p w14:paraId="2F70C6CE" w14:textId="77777777" w:rsidR="002E0323" w:rsidRPr="00B17D35" w:rsidRDefault="00B17D35">
      <w:pPr>
        <w:spacing w:line="240" w:lineRule="auto"/>
        <w:ind w:left="0" w:right="-142" w:hanging="2"/>
        <w:jc w:val="both"/>
        <w:rPr>
          <w:sz w:val="24"/>
          <w:szCs w:val="24"/>
        </w:rPr>
      </w:pPr>
      <w:r w:rsidRPr="00B17D35">
        <w:rPr>
          <w:sz w:val="24"/>
          <w:szCs w:val="24"/>
        </w:rPr>
        <w:t>Las asambleas deliberarán respecto de los puntos establecidos en el orden del día, siendo nulas toda decisión sobre materias extrañas a las incluidas en él, salvo que estuviere presente la totalidad del capital y la decisión se adopte por unanimidad de las acciones con derecho a voto.</w:t>
      </w:r>
    </w:p>
    <w:p w14:paraId="1487A9AD" w14:textId="77777777" w:rsidR="002E0323" w:rsidRPr="00B17D35" w:rsidRDefault="002E0323">
      <w:pPr>
        <w:spacing w:line="240" w:lineRule="auto"/>
        <w:ind w:left="0" w:hanging="2"/>
        <w:jc w:val="both"/>
        <w:rPr>
          <w:sz w:val="24"/>
          <w:szCs w:val="24"/>
        </w:rPr>
      </w:pPr>
    </w:p>
    <w:p w14:paraId="33850759" w14:textId="77777777" w:rsidR="002E0323" w:rsidRPr="00B17D35" w:rsidRDefault="00B17D35">
      <w:pPr>
        <w:pBdr>
          <w:bottom w:val="single" w:sz="4" w:space="1" w:color="000000"/>
        </w:pBdr>
        <w:spacing w:line="240" w:lineRule="auto"/>
        <w:ind w:left="0" w:hanging="2"/>
        <w:jc w:val="both"/>
        <w:rPr>
          <w:sz w:val="24"/>
          <w:szCs w:val="24"/>
        </w:rPr>
      </w:pPr>
      <w:r w:rsidRPr="00B17D35">
        <w:rPr>
          <w:b/>
          <w:sz w:val="24"/>
          <w:szCs w:val="24"/>
        </w:rPr>
        <w:t>6. Competencia</w:t>
      </w:r>
    </w:p>
    <w:p w14:paraId="1177AF56" w14:textId="77777777" w:rsidR="002E0323" w:rsidRPr="00B17D35" w:rsidRDefault="00B17D35">
      <w:pPr>
        <w:spacing w:line="240" w:lineRule="auto"/>
        <w:ind w:left="0" w:hanging="2"/>
        <w:jc w:val="both"/>
        <w:rPr>
          <w:sz w:val="24"/>
          <w:szCs w:val="24"/>
        </w:rPr>
      </w:pPr>
      <w:r w:rsidRPr="00B17D35">
        <w:rPr>
          <w:b/>
          <w:sz w:val="24"/>
          <w:szCs w:val="24"/>
        </w:rPr>
        <w:t>6.1.</w:t>
      </w:r>
      <w:r w:rsidRPr="00B17D35">
        <w:rPr>
          <w:sz w:val="24"/>
          <w:szCs w:val="24"/>
        </w:rPr>
        <w:t xml:space="preserve"> </w:t>
      </w:r>
      <w:r w:rsidRPr="00B17D35">
        <w:rPr>
          <w:i/>
          <w:sz w:val="24"/>
          <w:szCs w:val="24"/>
        </w:rPr>
        <w:t>Asambleas Ordinarias</w:t>
      </w:r>
      <w:r w:rsidRPr="00B17D35">
        <w:rPr>
          <w:sz w:val="24"/>
          <w:szCs w:val="24"/>
        </w:rPr>
        <w:t>:</w:t>
      </w:r>
    </w:p>
    <w:p w14:paraId="378E2D17" w14:textId="77777777" w:rsidR="002E0323" w:rsidRPr="00B17D35" w:rsidRDefault="00B17D35">
      <w:pPr>
        <w:spacing w:line="240" w:lineRule="auto"/>
        <w:ind w:left="0" w:right="600" w:hanging="2"/>
        <w:jc w:val="both"/>
        <w:rPr>
          <w:sz w:val="24"/>
          <w:szCs w:val="24"/>
        </w:rPr>
      </w:pPr>
      <w:r w:rsidRPr="00B17D35">
        <w:rPr>
          <w:b/>
          <w:sz w:val="24"/>
          <w:szCs w:val="24"/>
        </w:rPr>
        <w:t>6.1.1.</w:t>
      </w:r>
      <w:r w:rsidRPr="00B17D35">
        <w:rPr>
          <w:sz w:val="24"/>
          <w:szCs w:val="24"/>
        </w:rPr>
        <w:t xml:space="preserve"> Balance general, estado de los resultados, distribución de ganancias, memoria e informe de la Comisión Fiscalizadora y toda otra medida relativa a la gestión de la Sociedad que le competa resolver conforme a la ley y el estatuto o que sometan a su decisión el Directorio o la Comisión Fiscalizadora; </w:t>
      </w:r>
    </w:p>
    <w:p w14:paraId="6464A3B2" w14:textId="77777777" w:rsidR="002E0323" w:rsidRPr="00B17D35" w:rsidRDefault="00B17D35">
      <w:pPr>
        <w:spacing w:line="240" w:lineRule="auto"/>
        <w:ind w:left="0" w:right="600" w:hanging="2"/>
        <w:jc w:val="both"/>
        <w:rPr>
          <w:sz w:val="24"/>
          <w:szCs w:val="24"/>
        </w:rPr>
      </w:pPr>
      <w:r w:rsidRPr="00B17D35">
        <w:rPr>
          <w:b/>
          <w:sz w:val="24"/>
          <w:szCs w:val="24"/>
        </w:rPr>
        <w:t>6.1.2.</w:t>
      </w:r>
      <w:r w:rsidRPr="00B17D35">
        <w:rPr>
          <w:sz w:val="24"/>
          <w:szCs w:val="24"/>
        </w:rPr>
        <w:t xml:space="preserve"> Designación y remoción de Directores y Síndicos y fijación de su retribución;</w:t>
      </w:r>
    </w:p>
    <w:p w14:paraId="03E8C36D" w14:textId="77777777" w:rsidR="002E0323" w:rsidRPr="00B17D35" w:rsidRDefault="00B17D35">
      <w:pPr>
        <w:spacing w:line="240" w:lineRule="auto"/>
        <w:ind w:left="0" w:right="600" w:hanging="2"/>
        <w:jc w:val="both"/>
        <w:rPr>
          <w:sz w:val="24"/>
          <w:szCs w:val="24"/>
        </w:rPr>
      </w:pPr>
      <w:r w:rsidRPr="00B17D35">
        <w:rPr>
          <w:b/>
          <w:sz w:val="24"/>
          <w:szCs w:val="24"/>
        </w:rPr>
        <w:t>6.1.3.</w:t>
      </w:r>
      <w:r w:rsidRPr="00B17D35">
        <w:rPr>
          <w:sz w:val="24"/>
          <w:szCs w:val="24"/>
        </w:rPr>
        <w:t xml:space="preserve"> Responsabilidad de los Directores y Síndicos;</w:t>
      </w:r>
    </w:p>
    <w:p w14:paraId="139DE552" w14:textId="77777777" w:rsidR="002E0323" w:rsidRPr="00B17D35" w:rsidRDefault="00B17D35">
      <w:pPr>
        <w:spacing w:line="240" w:lineRule="auto"/>
        <w:ind w:left="0" w:right="600" w:hanging="2"/>
        <w:jc w:val="both"/>
        <w:rPr>
          <w:sz w:val="24"/>
          <w:szCs w:val="24"/>
        </w:rPr>
      </w:pPr>
      <w:r w:rsidRPr="00B17D35">
        <w:rPr>
          <w:b/>
          <w:sz w:val="24"/>
          <w:szCs w:val="24"/>
        </w:rPr>
        <w:t>6.1.4.</w:t>
      </w:r>
      <w:r w:rsidRPr="00B17D35">
        <w:rPr>
          <w:sz w:val="24"/>
          <w:szCs w:val="24"/>
        </w:rPr>
        <w:t xml:space="preserve"> Aumento del capital social que podrá ser sin límite alguno ni necesidad de reforma del Estatuto.</w:t>
      </w:r>
    </w:p>
    <w:p w14:paraId="2B734186" w14:textId="77777777" w:rsidR="002E0323" w:rsidRPr="00B17D35" w:rsidRDefault="00B17D35">
      <w:pPr>
        <w:spacing w:line="240" w:lineRule="auto"/>
        <w:ind w:left="0" w:right="600" w:hanging="2"/>
        <w:jc w:val="both"/>
        <w:rPr>
          <w:sz w:val="24"/>
          <w:szCs w:val="24"/>
        </w:rPr>
      </w:pPr>
      <w:r w:rsidRPr="00B17D35">
        <w:rPr>
          <w:b/>
          <w:sz w:val="24"/>
          <w:szCs w:val="24"/>
        </w:rPr>
        <w:t>6.1.5.</w:t>
      </w:r>
      <w:r w:rsidRPr="00B17D35">
        <w:rPr>
          <w:sz w:val="24"/>
          <w:szCs w:val="24"/>
        </w:rPr>
        <w:t xml:space="preserve"> La disposición o gravamen de todo o parte sustancial de los activos de la Sociedad cuando ello no se realice en el curso ordinario de los negocios de la Sociedad; </w:t>
      </w:r>
    </w:p>
    <w:p w14:paraId="7FA57722" w14:textId="77777777" w:rsidR="002E0323" w:rsidRPr="00B17D35" w:rsidRDefault="00B17D35">
      <w:pPr>
        <w:spacing w:line="240" w:lineRule="auto"/>
        <w:ind w:left="0" w:right="600" w:hanging="2"/>
        <w:jc w:val="both"/>
        <w:rPr>
          <w:sz w:val="24"/>
          <w:szCs w:val="24"/>
        </w:rPr>
      </w:pPr>
      <w:r w:rsidRPr="00B17D35">
        <w:rPr>
          <w:b/>
          <w:sz w:val="24"/>
          <w:szCs w:val="24"/>
        </w:rPr>
        <w:t>6.1.6</w:t>
      </w:r>
      <w:r w:rsidRPr="00B17D35">
        <w:rPr>
          <w:sz w:val="24"/>
          <w:szCs w:val="24"/>
        </w:rPr>
        <w:t>. La celebración de contratos de administración o gerenciamiento de la Sociedad. Lo mismo se aplica a la aprobación de cualquier otro pacto por el cual los bienes o servicios que reciba la Sociedad sean remunerados total o parcialmente con un porcentaje de los ingresos, resultados o ganancias de la Sociedad, si el monto resultante es sustancial habida cuenta del giro de los negocios y del patrimonio social.</w:t>
      </w:r>
    </w:p>
    <w:p w14:paraId="09D8622B" w14:textId="77777777" w:rsidR="002E0323" w:rsidRPr="00B17D35" w:rsidRDefault="00B17D35">
      <w:pPr>
        <w:spacing w:line="240" w:lineRule="auto"/>
        <w:ind w:left="0" w:hanging="2"/>
        <w:jc w:val="both"/>
        <w:rPr>
          <w:sz w:val="24"/>
          <w:szCs w:val="24"/>
        </w:rPr>
      </w:pPr>
      <w:r w:rsidRPr="00B17D35">
        <w:rPr>
          <w:b/>
          <w:sz w:val="24"/>
          <w:szCs w:val="24"/>
        </w:rPr>
        <w:t>6.2</w:t>
      </w:r>
      <w:r w:rsidRPr="00B17D35">
        <w:rPr>
          <w:sz w:val="24"/>
          <w:szCs w:val="24"/>
        </w:rPr>
        <w:t xml:space="preserve">. </w:t>
      </w:r>
      <w:r w:rsidRPr="00B17D35">
        <w:rPr>
          <w:i/>
          <w:sz w:val="24"/>
          <w:szCs w:val="24"/>
        </w:rPr>
        <w:t>Asambleas Extraordinarias</w:t>
      </w:r>
      <w:r w:rsidRPr="00B17D35">
        <w:rPr>
          <w:sz w:val="24"/>
          <w:szCs w:val="24"/>
        </w:rPr>
        <w:t>:</w:t>
      </w:r>
    </w:p>
    <w:p w14:paraId="4D3AC730" w14:textId="77777777" w:rsidR="002E0323" w:rsidRPr="00B17D35" w:rsidRDefault="00B17D35">
      <w:pPr>
        <w:spacing w:line="240" w:lineRule="auto"/>
        <w:ind w:left="0" w:hanging="2"/>
        <w:jc w:val="both"/>
        <w:rPr>
          <w:sz w:val="24"/>
          <w:szCs w:val="24"/>
        </w:rPr>
      </w:pPr>
      <w:r w:rsidRPr="00B17D35">
        <w:rPr>
          <w:b/>
          <w:sz w:val="24"/>
          <w:szCs w:val="24"/>
        </w:rPr>
        <w:t>6.2.1</w:t>
      </w:r>
      <w:r w:rsidRPr="00B17D35">
        <w:rPr>
          <w:sz w:val="24"/>
          <w:szCs w:val="24"/>
        </w:rPr>
        <w:t xml:space="preserve">. Modificación del Estatuto Social; </w:t>
      </w:r>
    </w:p>
    <w:p w14:paraId="62F865C9" w14:textId="77777777" w:rsidR="002E0323" w:rsidRPr="00B17D35" w:rsidRDefault="00B17D35">
      <w:pPr>
        <w:spacing w:line="240" w:lineRule="auto"/>
        <w:ind w:left="0" w:hanging="2"/>
        <w:jc w:val="both"/>
        <w:rPr>
          <w:sz w:val="24"/>
          <w:szCs w:val="24"/>
        </w:rPr>
      </w:pPr>
      <w:r w:rsidRPr="00B17D35">
        <w:rPr>
          <w:b/>
          <w:sz w:val="24"/>
          <w:szCs w:val="24"/>
        </w:rPr>
        <w:t>6.2.2.</w:t>
      </w:r>
      <w:r w:rsidRPr="00B17D35">
        <w:rPr>
          <w:sz w:val="24"/>
          <w:szCs w:val="24"/>
        </w:rPr>
        <w:t xml:space="preserve"> Reducción y reintegro del capital;</w:t>
      </w:r>
    </w:p>
    <w:p w14:paraId="6E65B8B1" w14:textId="77777777" w:rsidR="002E0323" w:rsidRPr="00B17D35" w:rsidRDefault="00B17D35">
      <w:pPr>
        <w:spacing w:line="240" w:lineRule="auto"/>
        <w:ind w:left="0" w:hanging="2"/>
        <w:jc w:val="both"/>
        <w:rPr>
          <w:sz w:val="24"/>
          <w:szCs w:val="24"/>
        </w:rPr>
      </w:pPr>
      <w:r w:rsidRPr="00B17D35">
        <w:rPr>
          <w:b/>
          <w:sz w:val="24"/>
          <w:szCs w:val="24"/>
        </w:rPr>
        <w:t>6.2.3.</w:t>
      </w:r>
      <w:r w:rsidRPr="00B17D35">
        <w:rPr>
          <w:sz w:val="24"/>
          <w:szCs w:val="24"/>
        </w:rPr>
        <w:t xml:space="preserve"> Rescate, reembolso y amortización de acciones;</w:t>
      </w:r>
    </w:p>
    <w:p w14:paraId="4F6B54FD" w14:textId="77777777" w:rsidR="002E0323" w:rsidRPr="00B17D35" w:rsidRDefault="00B17D35">
      <w:pPr>
        <w:spacing w:line="240" w:lineRule="auto"/>
        <w:ind w:left="0" w:right="567" w:hanging="2"/>
        <w:jc w:val="both"/>
        <w:rPr>
          <w:sz w:val="24"/>
          <w:szCs w:val="24"/>
        </w:rPr>
      </w:pPr>
      <w:r w:rsidRPr="00B17D35">
        <w:rPr>
          <w:b/>
          <w:sz w:val="24"/>
          <w:szCs w:val="24"/>
        </w:rPr>
        <w:t>6.2.4.</w:t>
      </w:r>
      <w:r w:rsidRPr="00B17D35">
        <w:rPr>
          <w:sz w:val="24"/>
          <w:szCs w:val="24"/>
        </w:rPr>
        <w:t xml:space="preserve"> Fusión, transformación y disolución de la Sociedad; nombramiento, remoción y retribución de los liquidadores; escisión; consideración de las cuentas y de los demás asuntos relacionados con la gestión de éstos en la liquidación social, que deban ser objeto de resolución aprobatoria de carácter definitivo;</w:t>
      </w:r>
    </w:p>
    <w:p w14:paraId="63A83CF5" w14:textId="77777777" w:rsidR="002E0323" w:rsidRPr="00B17D35" w:rsidRDefault="00B17D35">
      <w:pPr>
        <w:spacing w:line="240" w:lineRule="auto"/>
        <w:ind w:left="0" w:right="567" w:hanging="2"/>
        <w:jc w:val="both"/>
        <w:rPr>
          <w:sz w:val="24"/>
          <w:szCs w:val="24"/>
        </w:rPr>
      </w:pPr>
      <w:r w:rsidRPr="00B17D35">
        <w:rPr>
          <w:b/>
          <w:sz w:val="24"/>
          <w:szCs w:val="24"/>
        </w:rPr>
        <w:t>6.2.5</w:t>
      </w:r>
      <w:r w:rsidRPr="00B17D35">
        <w:rPr>
          <w:sz w:val="24"/>
          <w:szCs w:val="24"/>
        </w:rPr>
        <w:t>. Limitación o suspensión del derecho de preferencia en la suscripción de nuevas acciones;</w:t>
      </w:r>
    </w:p>
    <w:p w14:paraId="4837750B" w14:textId="77777777" w:rsidR="002E0323" w:rsidRPr="00B17D35" w:rsidRDefault="00B17D35">
      <w:pPr>
        <w:spacing w:line="240" w:lineRule="auto"/>
        <w:ind w:left="0" w:hanging="2"/>
        <w:jc w:val="both"/>
        <w:rPr>
          <w:sz w:val="24"/>
          <w:szCs w:val="24"/>
        </w:rPr>
      </w:pPr>
      <w:r w:rsidRPr="00B17D35">
        <w:rPr>
          <w:b/>
          <w:sz w:val="24"/>
          <w:szCs w:val="24"/>
        </w:rPr>
        <w:t>6.2.6.</w:t>
      </w:r>
      <w:r w:rsidRPr="00B17D35">
        <w:rPr>
          <w:sz w:val="24"/>
          <w:szCs w:val="24"/>
        </w:rPr>
        <w:t xml:space="preserve"> Emisión de obligaciones negociables y su conversión en acciones;</w:t>
      </w:r>
    </w:p>
    <w:p w14:paraId="1292125F" w14:textId="77777777" w:rsidR="002E0323" w:rsidRPr="00B17D35" w:rsidRDefault="00B17D35">
      <w:pPr>
        <w:spacing w:line="240" w:lineRule="auto"/>
        <w:ind w:left="0" w:hanging="2"/>
        <w:jc w:val="both"/>
        <w:rPr>
          <w:sz w:val="24"/>
          <w:szCs w:val="24"/>
        </w:rPr>
      </w:pPr>
      <w:r w:rsidRPr="00B17D35">
        <w:rPr>
          <w:b/>
          <w:sz w:val="24"/>
          <w:szCs w:val="24"/>
        </w:rPr>
        <w:lastRenderedPageBreak/>
        <w:t>6.2.7</w:t>
      </w:r>
      <w:r w:rsidRPr="00B17D35">
        <w:rPr>
          <w:sz w:val="24"/>
          <w:szCs w:val="24"/>
        </w:rPr>
        <w:t>. Emisión de bonos.</w:t>
      </w:r>
    </w:p>
    <w:p w14:paraId="08D78528" w14:textId="77777777" w:rsidR="002E0323" w:rsidRPr="00B17D35" w:rsidRDefault="002E0323">
      <w:pPr>
        <w:spacing w:line="240" w:lineRule="auto"/>
        <w:ind w:left="0" w:hanging="2"/>
        <w:jc w:val="both"/>
        <w:rPr>
          <w:sz w:val="24"/>
          <w:szCs w:val="24"/>
        </w:rPr>
      </w:pPr>
    </w:p>
    <w:p w14:paraId="4F1BFD50" w14:textId="77777777" w:rsidR="002E0323" w:rsidRPr="00B17D35" w:rsidRDefault="00B17D35">
      <w:pPr>
        <w:pBdr>
          <w:bottom w:val="single" w:sz="4" w:space="1" w:color="000000"/>
        </w:pBdr>
        <w:spacing w:line="240" w:lineRule="auto"/>
        <w:ind w:left="0" w:hanging="2"/>
        <w:jc w:val="both"/>
        <w:rPr>
          <w:sz w:val="24"/>
          <w:szCs w:val="24"/>
        </w:rPr>
      </w:pPr>
      <w:r w:rsidRPr="00B17D35">
        <w:rPr>
          <w:b/>
          <w:sz w:val="24"/>
          <w:szCs w:val="24"/>
        </w:rPr>
        <w:t>7. Comunicación de Asistencia</w:t>
      </w:r>
    </w:p>
    <w:p w14:paraId="7FD1BF39" w14:textId="77777777" w:rsidR="002E0323" w:rsidRPr="00B17D35" w:rsidRDefault="00B17D35">
      <w:pPr>
        <w:spacing w:line="240" w:lineRule="auto"/>
        <w:ind w:left="0" w:hanging="2"/>
        <w:jc w:val="both"/>
        <w:rPr>
          <w:b/>
          <w:sz w:val="24"/>
          <w:szCs w:val="24"/>
        </w:rPr>
      </w:pPr>
      <w:r w:rsidRPr="00B17D35">
        <w:rPr>
          <w:b/>
          <w:sz w:val="24"/>
          <w:szCs w:val="24"/>
        </w:rPr>
        <w:t>7.1.</w:t>
      </w:r>
      <w:r w:rsidRPr="00B17D35">
        <w:rPr>
          <w:sz w:val="24"/>
          <w:szCs w:val="24"/>
        </w:rPr>
        <w:t xml:space="preserve"> Los accionistas deberán comunicar su asistencia a las Asambleas con no menos de 3 días hábiles de anticipación a la fecha fijada para la Asamblea, plazo que finalizará a las 17:00 horas del día de su vencimiento. </w:t>
      </w:r>
    </w:p>
    <w:p w14:paraId="2CA1F3C1" w14:textId="77777777" w:rsidR="002E0323" w:rsidRPr="00B17D35" w:rsidRDefault="00B17D35">
      <w:pPr>
        <w:spacing w:line="240" w:lineRule="auto"/>
        <w:ind w:left="0" w:hanging="2"/>
        <w:jc w:val="both"/>
        <w:rPr>
          <w:sz w:val="24"/>
          <w:szCs w:val="24"/>
        </w:rPr>
      </w:pPr>
      <w:r w:rsidRPr="00B17D35">
        <w:rPr>
          <w:b/>
          <w:sz w:val="24"/>
          <w:szCs w:val="24"/>
        </w:rPr>
        <w:t>7.2</w:t>
      </w:r>
      <w:r w:rsidRPr="00B17D35">
        <w:rPr>
          <w:sz w:val="24"/>
          <w:szCs w:val="24"/>
        </w:rPr>
        <w:t xml:space="preserve"> La comunicación de asistencia a asamblea será efectuada a través de la casilla de correo electrónico o el medio web que se indique en la Convocatoria respectiva. Mientras que la Sociedad lleve el Registro de Acciones Escriturales, los accionistas solo deberán informar nombre y apellido completo/denominación social y CUIT/CUIL/CDI, a los efectos de que la comunicación se tenga por cumplida. La Sociedad remitirá en forma electrónica un comprobante de recibo a los accionistas que se hubieren registrado en la forma en cada caso indicada.</w:t>
      </w:r>
    </w:p>
    <w:p w14:paraId="5C110B4D" w14:textId="77777777" w:rsidR="002E0323" w:rsidRPr="00B17D35" w:rsidRDefault="00B17D35">
      <w:pPr>
        <w:spacing w:line="240" w:lineRule="auto"/>
        <w:ind w:left="0" w:hanging="2"/>
        <w:jc w:val="both"/>
        <w:rPr>
          <w:sz w:val="24"/>
          <w:szCs w:val="24"/>
        </w:rPr>
      </w:pPr>
      <w:r w:rsidRPr="00B17D35">
        <w:rPr>
          <w:b/>
          <w:sz w:val="24"/>
          <w:szCs w:val="24"/>
        </w:rPr>
        <w:t>7.3</w:t>
      </w:r>
      <w:r w:rsidRPr="00B17D35">
        <w:rPr>
          <w:sz w:val="24"/>
          <w:szCs w:val="24"/>
        </w:rPr>
        <w:t>.Al menos con 48 horas hábiles antes de la celebración de la Asamblea los accionistas recibirán en el correo electrónico, o a través de la página web desde el cual comunicaron su asistencia, un comprobante con su número de orden y mesa asignada que servirá para el acceso a la Asamblea, así como instrucciones para su participación</w:t>
      </w:r>
      <w:r w:rsidRPr="00B17D35">
        <w:rPr>
          <w:i/>
          <w:sz w:val="24"/>
          <w:szCs w:val="24"/>
        </w:rPr>
        <w:t>.</w:t>
      </w:r>
    </w:p>
    <w:p w14:paraId="14EB8129" w14:textId="77777777" w:rsidR="002E0323" w:rsidRPr="00B17D35" w:rsidRDefault="00B17D35">
      <w:pPr>
        <w:spacing w:line="240" w:lineRule="auto"/>
        <w:ind w:left="0" w:hanging="2"/>
        <w:jc w:val="both"/>
        <w:rPr>
          <w:sz w:val="24"/>
          <w:szCs w:val="24"/>
        </w:rPr>
      </w:pPr>
      <w:r w:rsidRPr="00B17D35">
        <w:rPr>
          <w:b/>
          <w:sz w:val="24"/>
          <w:szCs w:val="24"/>
        </w:rPr>
        <w:t>7.4</w:t>
      </w:r>
      <w:r w:rsidRPr="00B17D35">
        <w:rPr>
          <w:sz w:val="24"/>
          <w:szCs w:val="24"/>
        </w:rPr>
        <w:t>.</w:t>
      </w:r>
      <w:r w:rsidRPr="00B17D35">
        <w:rPr>
          <w:i/>
          <w:sz w:val="24"/>
          <w:szCs w:val="24"/>
        </w:rPr>
        <w:t xml:space="preserve"> </w:t>
      </w:r>
      <w:r w:rsidRPr="00B17D35">
        <w:rPr>
          <w:sz w:val="24"/>
          <w:szCs w:val="24"/>
        </w:rPr>
        <w:t>El portador del comprobante deberá presentarse con DNI, Carta Poder y/o Poder otorgado por escribano público o documentación que acredite su personería, salvo que ésta ya se encuentre previamente acompañada y registrada en la Sociedad, bastando en tal caso solamente acreditar su identidad.</w:t>
      </w:r>
    </w:p>
    <w:p w14:paraId="29C6C2DC" w14:textId="77777777" w:rsidR="002E0323" w:rsidRPr="00B17D35" w:rsidRDefault="00B17D35">
      <w:pPr>
        <w:spacing w:line="240" w:lineRule="auto"/>
        <w:ind w:left="0" w:hanging="2"/>
        <w:jc w:val="both"/>
        <w:rPr>
          <w:sz w:val="24"/>
          <w:szCs w:val="24"/>
        </w:rPr>
      </w:pPr>
      <w:r w:rsidRPr="00B17D35">
        <w:rPr>
          <w:b/>
          <w:sz w:val="24"/>
          <w:szCs w:val="24"/>
        </w:rPr>
        <w:t>7.5.</w:t>
      </w:r>
      <w:r w:rsidRPr="00B17D35">
        <w:rPr>
          <w:sz w:val="24"/>
          <w:szCs w:val="24"/>
        </w:rPr>
        <w:t xml:space="preserve"> La concurrencia de los accionistas o sus representantes a las Asambleas quedará asentada en el Registro de Asistencia a Asambleas, en el que se dejará constancia fehaciente de la información requerida por la normativa aplicable.</w:t>
      </w:r>
    </w:p>
    <w:p w14:paraId="492E37E8" w14:textId="77777777" w:rsidR="002E0323" w:rsidRPr="00B17D35" w:rsidRDefault="002E0323">
      <w:pPr>
        <w:spacing w:line="240" w:lineRule="auto"/>
        <w:ind w:left="0" w:right="-142" w:hanging="2"/>
        <w:jc w:val="both"/>
        <w:rPr>
          <w:sz w:val="24"/>
          <w:szCs w:val="24"/>
        </w:rPr>
      </w:pPr>
    </w:p>
    <w:p w14:paraId="0D238BC9" w14:textId="77777777" w:rsidR="002E0323" w:rsidRPr="00B17D35" w:rsidRDefault="00B17D35">
      <w:pPr>
        <w:pBdr>
          <w:bottom w:val="single" w:sz="4" w:space="1" w:color="000000"/>
        </w:pBdr>
        <w:spacing w:line="240" w:lineRule="auto"/>
        <w:ind w:left="0" w:hanging="2"/>
        <w:jc w:val="both"/>
        <w:rPr>
          <w:sz w:val="24"/>
          <w:szCs w:val="24"/>
        </w:rPr>
      </w:pPr>
      <w:r w:rsidRPr="00B17D35">
        <w:rPr>
          <w:b/>
          <w:sz w:val="24"/>
          <w:szCs w:val="24"/>
        </w:rPr>
        <w:t>8. Documentación/Material</w:t>
      </w:r>
    </w:p>
    <w:p w14:paraId="27B662F5" w14:textId="77777777" w:rsidR="002E0323" w:rsidRPr="00B17D35" w:rsidRDefault="00B17D35">
      <w:pPr>
        <w:spacing w:line="240" w:lineRule="auto"/>
        <w:ind w:left="0" w:hanging="2"/>
        <w:jc w:val="both"/>
        <w:rPr>
          <w:sz w:val="24"/>
          <w:szCs w:val="24"/>
        </w:rPr>
      </w:pPr>
      <w:r w:rsidRPr="00B17D35">
        <w:rPr>
          <w:b/>
          <w:sz w:val="24"/>
          <w:szCs w:val="24"/>
        </w:rPr>
        <w:t>8.1.</w:t>
      </w:r>
      <w:r w:rsidRPr="00B17D35">
        <w:rPr>
          <w:sz w:val="24"/>
          <w:szCs w:val="24"/>
        </w:rPr>
        <w:t xml:space="preserve"> Los accionistas tendrán a disposición, previo a la celebración de la Asamblea, en el sitio web y en la Sede Social, todos los documentos a ser tratados en la misma con el objetivo de poder deliberar sobre los puntos del Orden del día. En ocasión de cada Asamblea (punto 5.2) la Sociedad pondrá a disposición la siguiente información/documentación siendo la misma de carácter enunciativo y no taxativo:</w:t>
      </w:r>
      <w:r w:rsidRPr="00B17D35">
        <w:rPr>
          <w:i/>
          <w:sz w:val="24"/>
          <w:szCs w:val="24"/>
        </w:rPr>
        <w:t> </w:t>
      </w:r>
    </w:p>
    <w:p w14:paraId="1AFF08AE" w14:textId="77777777" w:rsidR="002E0323" w:rsidRPr="00B17D35" w:rsidRDefault="00B17D35">
      <w:pPr>
        <w:spacing w:line="240" w:lineRule="auto"/>
        <w:ind w:left="0" w:hanging="2"/>
        <w:jc w:val="both"/>
        <w:rPr>
          <w:sz w:val="24"/>
          <w:szCs w:val="24"/>
        </w:rPr>
      </w:pPr>
      <w:r w:rsidRPr="00B17D35">
        <w:rPr>
          <w:b/>
          <w:sz w:val="24"/>
          <w:szCs w:val="24"/>
        </w:rPr>
        <w:t>8.1.1.</w:t>
      </w:r>
      <w:r w:rsidRPr="00B17D35">
        <w:rPr>
          <w:sz w:val="24"/>
          <w:szCs w:val="24"/>
        </w:rPr>
        <w:t xml:space="preserve"> </w:t>
      </w:r>
      <w:r w:rsidRPr="00B17D35">
        <w:rPr>
          <w:sz w:val="24"/>
          <w:szCs w:val="24"/>
        </w:rPr>
        <w:tab/>
        <w:t xml:space="preserve"> Convocatoria de Asamblea </w:t>
      </w:r>
    </w:p>
    <w:p w14:paraId="44FCAD1D" w14:textId="77777777" w:rsidR="002E0323" w:rsidRPr="00B17D35" w:rsidRDefault="00B17D35">
      <w:pPr>
        <w:spacing w:line="240" w:lineRule="auto"/>
        <w:ind w:left="0" w:right="264" w:hanging="2"/>
        <w:jc w:val="both"/>
        <w:rPr>
          <w:sz w:val="24"/>
          <w:szCs w:val="24"/>
        </w:rPr>
      </w:pPr>
      <w:r w:rsidRPr="00B17D35">
        <w:rPr>
          <w:b/>
          <w:sz w:val="24"/>
          <w:szCs w:val="24"/>
        </w:rPr>
        <w:t>8.1.2.</w:t>
      </w:r>
      <w:r w:rsidRPr="00B17D35">
        <w:rPr>
          <w:sz w:val="24"/>
          <w:szCs w:val="24"/>
        </w:rPr>
        <w:t xml:space="preserve"> Información relevante para tratar los puntos mencionados en la Convocatoria.</w:t>
      </w:r>
    </w:p>
    <w:p w14:paraId="2C8A0A54" w14:textId="77777777" w:rsidR="002E0323" w:rsidRPr="00B17D35" w:rsidRDefault="00B17D35">
      <w:pPr>
        <w:spacing w:line="240" w:lineRule="auto"/>
        <w:ind w:left="0" w:right="264" w:hanging="2"/>
        <w:jc w:val="both"/>
        <w:rPr>
          <w:sz w:val="24"/>
          <w:szCs w:val="24"/>
        </w:rPr>
      </w:pPr>
      <w:r w:rsidRPr="00B17D35">
        <w:rPr>
          <w:b/>
          <w:sz w:val="24"/>
          <w:szCs w:val="24"/>
        </w:rPr>
        <w:t>8.1.3.</w:t>
      </w:r>
      <w:r w:rsidRPr="00B17D35">
        <w:rPr>
          <w:sz w:val="24"/>
          <w:szCs w:val="24"/>
        </w:rPr>
        <w:t xml:space="preserve"> Correo electrónico o página web para comunicar la asistencia a Asamblea. </w:t>
      </w:r>
    </w:p>
    <w:p w14:paraId="46BAF55B" w14:textId="77777777" w:rsidR="002E0323" w:rsidRPr="00B17D35" w:rsidRDefault="00B17D35">
      <w:pPr>
        <w:spacing w:line="240" w:lineRule="auto"/>
        <w:ind w:left="0" w:right="269" w:hanging="2"/>
        <w:jc w:val="both"/>
        <w:rPr>
          <w:sz w:val="24"/>
          <w:szCs w:val="24"/>
        </w:rPr>
      </w:pPr>
      <w:r w:rsidRPr="00B17D35">
        <w:rPr>
          <w:b/>
          <w:sz w:val="24"/>
          <w:szCs w:val="24"/>
        </w:rPr>
        <w:t>8.1.4.</w:t>
      </w:r>
      <w:r w:rsidRPr="00B17D35">
        <w:rPr>
          <w:sz w:val="24"/>
          <w:szCs w:val="24"/>
        </w:rPr>
        <w:t xml:space="preserve"> Modelo de Carta Poder para aquellos accionistas que no puedan asistir y deseen que otro sujeto asista en su representación. </w:t>
      </w:r>
    </w:p>
    <w:p w14:paraId="0D6390C8" w14:textId="77777777" w:rsidR="002E0323" w:rsidRPr="00B17D35" w:rsidRDefault="00B17D35">
      <w:pPr>
        <w:spacing w:line="240" w:lineRule="auto"/>
        <w:ind w:left="0" w:right="264" w:hanging="2"/>
        <w:jc w:val="both"/>
        <w:rPr>
          <w:b/>
          <w:sz w:val="24"/>
          <w:szCs w:val="24"/>
        </w:rPr>
      </w:pPr>
      <w:r w:rsidRPr="00B17D35">
        <w:rPr>
          <w:sz w:val="24"/>
          <w:szCs w:val="24"/>
        </w:rPr>
        <w:t xml:space="preserve"> </w:t>
      </w:r>
    </w:p>
    <w:p w14:paraId="3FB611A3" w14:textId="77777777" w:rsidR="002E0323" w:rsidRPr="00B17D35" w:rsidRDefault="00B17D35">
      <w:pPr>
        <w:pBdr>
          <w:bottom w:val="single" w:sz="4" w:space="1" w:color="000000"/>
        </w:pBdr>
        <w:spacing w:line="240" w:lineRule="auto"/>
        <w:ind w:left="0" w:hanging="2"/>
        <w:jc w:val="both"/>
        <w:rPr>
          <w:sz w:val="24"/>
          <w:szCs w:val="24"/>
        </w:rPr>
      </w:pPr>
      <w:r w:rsidRPr="00B17D35">
        <w:rPr>
          <w:b/>
          <w:sz w:val="24"/>
          <w:szCs w:val="24"/>
        </w:rPr>
        <w:t xml:space="preserve">9. Representación </w:t>
      </w:r>
    </w:p>
    <w:p w14:paraId="46CF70E8" w14:textId="77777777" w:rsidR="002E0323" w:rsidRPr="00B17D35" w:rsidRDefault="00B17D35">
      <w:pPr>
        <w:spacing w:line="240" w:lineRule="auto"/>
        <w:ind w:left="0" w:hanging="2"/>
        <w:jc w:val="both"/>
        <w:rPr>
          <w:sz w:val="24"/>
          <w:szCs w:val="24"/>
        </w:rPr>
      </w:pPr>
      <w:r w:rsidRPr="00B17D35">
        <w:rPr>
          <w:b/>
          <w:sz w:val="24"/>
          <w:szCs w:val="24"/>
        </w:rPr>
        <w:t>9.1</w:t>
      </w:r>
      <w:r w:rsidRPr="00B17D35">
        <w:rPr>
          <w:sz w:val="24"/>
          <w:szCs w:val="24"/>
        </w:rPr>
        <w:t>.</w:t>
      </w:r>
      <w:r w:rsidRPr="00B17D35">
        <w:t xml:space="preserve"> </w:t>
      </w:r>
      <w:r w:rsidRPr="00B17D35">
        <w:rPr>
          <w:sz w:val="24"/>
          <w:szCs w:val="24"/>
        </w:rPr>
        <w:t>Los accionistas podrán hacerse representar en las asambleas, sea por otro accionista o por terceros, debidamente autorizados por instrumento público o mediante mandato formalizado en instrumento privado y con su firma certificada en forma judicial, notarial o bancaria, salvo que la misma se encuentre registrada en la Sociedad.</w:t>
      </w:r>
    </w:p>
    <w:p w14:paraId="1F2B5431" w14:textId="77777777" w:rsidR="002E0323" w:rsidRPr="00B17D35" w:rsidRDefault="00B17D35">
      <w:pPr>
        <w:spacing w:line="240" w:lineRule="auto"/>
        <w:ind w:left="0" w:hanging="2"/>
        <w:jc w:val="both"/>
        <w:rPr>
          <w:sz w:val="24"/>
          <w:szCs w:val="24"/>
        </w:rPr>
      </w:pPr>
      <w:r w:rsidRPr="00B17D35">
        <w:rPr>
          <w:b/>
          <w:sz w:val="24"/>
          <w:szCs w:val="24"/>
        </w:rPr>
        <w:lastRenderedPageBreak/>
        <w:t>9.2.</w:t>
      </w:r>
      <w:r w:rsidRPr="00B17D35">
        <w:rPr>
          <w:sz w:val="24"/>
          <w:szCs w:val="24"/>
        </w:rPr>
        <w:t xml:space="preserve"> Todo accionista que sea representado por más de un apoderado que posea mandato conjunto deberán unificar representación mediante la Carta Poder puesta a disposición en la página web. </w:t>
      </w:r>
    </w:p>
    <w:p w14:paraId="5C49A275" w14:textId="77777777" w:rsidR="002E0323" w:rsidRPr="00B17D35" w:rsidRDefault="00B17D35">
      <w:pPr>
        <w:spacing w:line="240" w:lineRule="auto"/>
        <w:ind w:left="0" w:hanging="2"/>
        <w:jc w:val="both"/>
        <w:rPr>
          <w:sz w:val="24"/>
          <w:szCs w:val="24"/>
        </w:rPr>
      </w:pPr>
      <w:r w:rsidRPr="00B17D35">
        <w:rPr>
          <w:b/>
          <w:sz w:val="24"/>
          <w:szCs w:val="24"/>
        </w:rPr>
        <w:t>9.3.</w:t>
      </w:r>
      <w:r w:rsidRPr="00B17D35">
        <w:rPr>
          <w:sz w:val="24"/>
          <w:szCs w:val="24"/>
        </w:rPr>
        <w:t xml:space="preserve"> No pueden ser mandatarios los directores, los síndicos, los gerentes y demás empleados de la Sociedad.</w:t>
      </w:r>
    </w:p>
    <w:p w14:paraId="0FEA475C" w14:textId="77777777" w:rsidR="002E0323" w:rsidRPr="00B17D35" w:rsidRDefault="00B17D35">
      <w:pPr>
        <w:spacing w:line="240" w:lineRule="auto"/>
        <w:ind w:left="0" w:hanging="2"/>
        <w:jc w:val="both"/>
        <w:rPr>
          <w:sz w:val="24"/>
          <w:szCs w:val="24"/>
        </w:rPr>
      </w:pPr>
      <w:r w:rsidRPr="00B17D35">
        <w:rPr>
          <w:b/>
          <w:sz w:val="24"/>
          <w:szCs w:val="24"/>
        </w:rPr>
        <w:t>9.4</w:t>
      </w:r>
      <w:r w:rsidRPr="00B17D35">
        <w:rPr>
          <w:sz w:val="24"/>
          <w:szCs w:val="24"/>
        </w:rPr>
        <w:t>. La Sociedad podrá grabar el acto Asambleario por medios electrónicos y solicitar que el mismo sea constatado por Escribano Público.</w:t>
      </w:r>
    </w:p>
    <w:p w14:paraId="29C05AA2" w14:textId="77777777" w:rsidR="002E0323" w:rsidRPr="00B17D35" w:rsidRDefault="00B17D35">
      <w:pPr>
        <w:spacing w:line="240" w:lineRule="auto"/>
        <w:ind w:left="0" w:hanging="2"/>
        <w:jc w:val="both"/>
        <w:rPr>
          <w:sz w:val="24"/>
          <w:szCs w:val="24"/>
        </w:rPr>
      </w:pPr>
      <w:r w:rsidRPr="00B17D35">
        <w:rPr>
          <w:b/>
          <w:sz w:val="24"/>
          <w:szCs w:val="24"/>
        </w:rPr>
        <w:t>9.5</w:t>
      </w:r>
      <w:r w:rsidRPr="00B17D35">
        <w:rPr>
          <w:sz w:val="24"/>
          <w:szCs w:val="24"/>
        </w:rPr>
        <w:t xml:space="preserve">. Podrán asistir a las Asambleas todo aquel que no sea accionista pero que revista la calidad de funcionario de la autoridad de contralor o de el/los mercados donde la Sociedad liste sus acciones (veedor), asesores financieros, contables, legales externos y todo aquel que por su profesión o rol pueda tener implicancia en el acto asambleario. </w:t>
      </w:r>
    </w:p>
    <w:p w14:paraId="5361B3E5" w14:textId="77777777" w:rsidR="002E0323" w:rsidRPr="00B17D35" w:rsidRDefault="002E0323">
      <w:pPr>
        <w:spacing w:line="240" w:lineRule="auto"/>
        <w:ind w:left="0" w:hanging="2"/>
        <w:jc w:val="both"/>
        <w:rPr>
          <w:sz w:val="24"/>
          <w:szCs w:val="24"/>
        </w:rPr>
      </w:pPr>
    </w:p>
    <w:p w14:paraId="663F3720" w14:textId="77777777" w:rsidR="002E0323" w:rsidRPr="00B17D35" w:rsidRDefault="00B17D35">
      <w:pPr>
        <w:pBdr>
          <w:bottom w:val="single" w:sz="4" w:space="1" w:color="000000"/>
        </w:pBdr>
        <w:spacing w:line="240" w:lineRule="auto"/>
        <w:ind w:left="0" w:hanging="2"/>
        <w:jc w:val="both"/>
        <w:rPr>
          <w:sz w:val="24"/>
          <w:szCs w:val="24"/>
        </w:rPr>
      </w:pPr>
      <w:r w:rsidRPr="00B17D35">
        <w:rPr>
          <w:b/>
          <w:sz w:val="24"/>
          <w:szCs w:val="24"/>
        </w:rPr>
        <w:t xml:space="preserve">10. Autoridades </w:t>
      </w:r>
    </w:p>
    <w:p w14:paraId="2232A5C9" w14:textId="77777777" w:rsidR="002E0323" w:rsidRPr="00B17D35" w:rsidRDefault="00B17D35">
      <w:pPr>
        <w:spacing w:line="240" w:lineRule="auto"/>
        <w:ind w:left="0" w:hanging="2"/>
        <w:jc w:val="both"/>
        <w:rPr>
          <w:sz w:val="24"/>
          <w:szCs w:val="24"/>
        </w:rPr>
      </w:pPr>
      <w:r w:rsidRPr="00B17D35">
        <w:rPr>
          <w:b/>
          <w:sz w:val="24"/>
          <w:szCs w:val="24"/>
        </w:rPr>
        <w:t>10.1.</w:t>
      </w:r>
      <w:r w:rsidRPr="00B17D35">
        <w:rPr>
          <w:sz w:val="24"/>
          <w:szCs w:val="24"/>
        </w:rPr>
        <w:t xml:space="preserve"> Los Directores, Síndicos y gerentes generales tienen derecho y obligación de asistir con voz a todas las asambleas. </w:t>
      </w:r>
    </w:p>
    <w:p w14:paraId="0C0EDDB9" w14:textId="77777777" w:rsidR="002E0323" w:rsidRPr="00B17D35" w:rsidRDefault="00B17D35">
      <w:pPr>
        <w:spacing w:line="240" w:lineRule="auto"/>
        <w:ind w:left="0" w:hanging="2"/>
        <w:jc w:val="both"/>
        <w:rPr>
          <w:sz w:val="24"/>
          <w:szCs w:val="24"/>
        </w:rPr>
      </w:pPr>
      <w:r w:rsidRPr="00B17D35">
        <w:rPr>
          <w:b/>
          <w:sz w:val="24"/>
          <w:szCs w:val="24"/>
        </w:rPr>
        <w:t>10.2</w:t>
      </w:r>
      <w:r w:rsidRPr="00B17D35">
        <w:rPr>
          <w:sz w:val="24"/>
          <w:szCs w:val="24"/>
        </w:rPr>
        <w:t>. Los Directores, Síndicos, y gerentes generales no pueden votar en las decisiones vinculadas con la aprobación de sus actos de gestión. Tampoco lo pueden hacer en las resoluciones atinentes a su responsabilidad o remoción con causa.</w:t>
      </w:r>
    </w:p>
    <w:p w14:paraId="315CC38C" w14:textId="77777777" w:rsidR="002E0323" w:rsidRPr="00B17D35" w:rsidRDefault="002E0323">
      <w:pPr>
        <w:pBdr>
          <w:bottom w:val="single" w:sz="4" w:space="1" w:color="000000"/>
        </w:pBdr>
        <w:spacing w:line="240" w:lineRule="auto"/>
        <w:ind w:left="0" w:hanging="2"/>
        <w:jc w:val="both"/>
        <w:rPr>
          <w:b/>
          <w:sz w:val="24"/>
          <w:szCs w:val="24"/>
        </w:rPr>
      </w:pPr>
    </w:p>
    <w:p w14:paraId="4EC69452" w14:textId="77777777" w:rsidR="002E0323" w:rsidRPr="00B17D35" w:rsidRDefault="00B17D35">
      <w:pPr>
        <w:pBdr>
          <w:bottom w:val="single" w:sz="4" w:space="1" w:color="000000"/>
        </w:pBdr>
        <w:spacing w:line="240" w:lineRule="auto"/>
        <w:ind w:left="0" w:hanging="2"/>
        <w:jc w:val="both"/>
        <w:rPr>
          <w:b/>
          <w:sz w:val="24"/>
          <w:szCs w:val="24"/>
        </w:rPr>
      </w:pPr>
      <w:r w:rsidRPr="00B17D35">
        <w:rPr>
          <w:b/>
          <w:sz w:val="24"/>
          <w:szCs w:val="24"/>
        </w:rPr>
        <w:t>11. Presidencia de la Asamblea. Votación. Mayorías</w:t>
      </w:r>
    </w:p>
    <w:p w14:paraId="3334EC0D" w14:textId="77777777" w:rsidR="002E0323" w:rsidRPr="00B17D35" w:rsidRDefault="00B17D35">
      <w:pPr>
        <w:widowControl w:val="0"/>
        <w:spacing w:line="240" w:lineRule="auto"/>
        <w:ind w:left="0" w:right="81" w:hanging="2"/>
        <w:jc w:val="both"/>
        <w:rPr>
          <w:sz w:val="24"/>
          <w:szCs w:val="24"/>
        </w:rPr>
      </w:pPr>
      <w:bookmarkStart w:id="3" w:name="_heading=h.30j0zll" w:colFirst="0" w:colLast="0"/>
      <w:bookmarkEnd w:id="3"/>
      <w:r w:rsidRPr="00B17D35">
        <w:rPr>
          <w:b/>
          <w:sz w:val="24"/>
          <w:szCs w:val="24"/>
        </w:rPr>
        <w:t>11.1</w:t>
      </w:r>
      <w:r w:rsidRPr="00B17D35">
        <w:rPr>
          <w:sz w:val="24"/>
          <w:szCs w:val="24"/>
        </w:rPr>
        <w:t>. Las asambleas serán presididas por el Presidente del Directorio o por quien lo reemplace.</w:t>
      </w:r>
    </w:p>
    <w:p w14:paraId="10507588" w14:textId="77777777" w:rsidR="002E0323" w:rsidRPr="00B17D35" w:rsidRDefault="00B17D35">
      <w:pPr>
        <w:widowControl w:val="0"/>
        <w:spacing w:line="240" w:lineRule="auto"/>
        <w:ind w:left="0" w:right="79" w:hanging="2"/>
        <w:jc w:val="both"/>
        <w:rPr>
          <w:sz w:val="24"/>
          <w:szCs w:val="24"/>
        </w:rPr>
      </w:pPr>
      <w:r w:rsidRPr="00B17D35">
        <w:rPr>
          <w:b/>
          <w:sz w:val="24"/>
          <w:szCs w:val="24"/>
        </w:rPr>
        <w:t>11.2.</w:t>
      </w:r>
      <w:r w:rsidRPr="00B17D35">
        <w:rPr>
          <w:sz w:val="24"/>
          <w:szCs w:val="24"/>
        </w:rPr>
        <w:t xml:space="preserve"> </w:t>
      </w:r>
      <w:r w:rsidRPr="00B17D35">
        <w:rPr>
          <w:i/>
          <w:sz w:val="24"/>
          <w:szCs w:val="24"/>
        </w:rPr>
        <w:t>Asignación del uso de la palabra</w:t>
      </w:r>
      <w:r w:rsidRPr="00B17D35">
        <w:rPr>
          <w:sz w:val="24"/>
          <w:szCs w:val="24"/>
        </w:rPr>
        <w:t xml:space="preserve">. Una vez sometido a tratamiento un punto del orden del día, el Secretario de la Sociedad habilitará el orden de la palabra a los accionistas que lo soliciten, quienes deberán levantar la mano debiendo identificarse por su número de orden y nombre/denominación social cuando actúen por sí, o identificar el nombre del accionista que representan cuando se trate de una persona que actúe por representación. </w:t>
      </w:r>
    </w:p>
    <w:p w14:paraId="79B9AED4" w14:textId="77777777" w:rsidR="002E0323" w:rsidRPr="00B17D35" w:rsidRDefault="00B17D35">
      <w:pPr>
        <w:widowControl w:val="0"/>
        <w:spacing w:line="240" w:lineRule="auto"/>
        <w:ind w:left="0" w:right="79" w:hanging="2"/>
        <w:jc w:val="both"/>
        <w:rPr>
          <w:sz w:val="24"/>
          <w:szCs w:val="24"/>
        </w:rPr>
      </w:pPr>
      <w:r w:rsidRPr="00B17D35">
        <w:rPr>
          <w:sz w:val="24"/>
          <w:szCs w:val="24"/>
        </w:rPr>
        <w:t>En el caso que varios accionistas simultáneamente quieran hacer uso de la palabra, el Secretario establecerá el orden de las exposiciones garantizando la adecuada deliberación y participación de todos los accionistas, pudiendo solicitarle a los accionistas que sus exposiciones sean concretas y acotadas en el tiempo y no mayores a 5 minutos, quedando el Sr. Secretario habilitado a solicitar a los accionistas que concluyan su exposición otorgando dos minutos finales para ello, facultad que usará ponderando el derecho de deliberación.</w:t>
      </w:r>
    </w:p>
    <w:p w14:paraId="637505B5" w14:textId="77777777" w:rsidR="002E0323" w:rsidRPr="00B17D35" w:rsidRDefault="00B17D35">
      <w:pPr>
        <w:widowControl w:val="0"/>
        <w:spacing w:line="240" w:lineRule="auto"/>
        <w:ind w:left="0" w:right="79" w:hanging="2"/>
        <w:jc w:val="both"/>
        <w:rPr>
          <w:sz w:val="24"/>
          <w:szCs w:val="24"/>
        </w:rPr>
      </w:pPr>
      <w:r w:rsidRPr="00B17D35">
        <w:rPr>
          <w:b/>
          <w:sz w:val="24"/>
          <w:szCs w:val="24"/>
        </w:rPr>
        <w:t>11.3</w:t>
      </w:r>
      <w:r w:rsidRPr="00B17D35">
        <w:rPr>
          <w:sz w:val="24"/>
          <w:szCs w:val="24"/>
        </w:rPr>
        <w:t xml:space="preserve">. </w:t>
      </w:r>
      <w:r w:rsidRPr="00B17D35">
        <w:rPr>
          <w:i/>
          <w:sz w:val="24"/>
          <w:szCs w:val="24"/>
        </w:rPr>
        <w:t>Moción</w:t>
      </w:r>
      <w:r w:rsidRPr="00B17D35">
        <w:rPr>
          <w:sz w:val="24"/>
          <w:szCs w:val="24"/>
        </w:rPr>
        <w:t>. En caso de que exista más de una moción, aprobada que sea una propuesta, decaerán automáticamente todas las demás relativas al mismo asunto que sean incompatibles con ella por haber devenido abstractas, sin que, por tanto, proceda someterlas a votación.</w:t>
      </w:r>
    </w:p>
    <w:p w14:paraId="1B68D2FD" w14:textId="77777777" w:rsidR="002E0323" w:rsidRPr="00B17D35" w:rsidRDefault="00B17D35">
      <w:pPr>
        <w:widowControl w:val="0"/>
        <w:spacing w:line="240" w:lineRule="auto"/>
        <w:ind w:left="0" w:hanging="2"/>
        <w:jc w:val="both"/>
        <w:rPr>
          <w:sz w:val="24"/>
          <w:szCs w:val="24"/>
        </w:rPr>
      </w:pPr>
      <w:r w:rsidRPr="00B17D35">
        <w:rPr>
          <w:b/>
          <w:sz w:val="24"/>
          <w:szCs w:val="24"/>
        </w:rPr>
        <w:t>11.4.</w:t>
      </w:r>
      <w:r w:rsidRPr="00B17D35">
        <w:rPr>
          <w:sz w:val="24"/>
          <w:szCs w:val="24"/>
        </w:rPr>
        <w:t xml:space="preserve"> </w:t>
      </w:r>
      <w:r w:rsidRPr="00B17D35">
        <w:rPr>
          <w:i/>
          <w:sz w:val="24"/>
          <w:szCs w:val="24"/>
        </w:rPr>
        <w:t>Votación.</w:t>
      </w:r>
      <w:r w:rsidRPr="00B17D35">
        <w:rPr>
          <w:sz w:val="24"/>
          <w:szCs w:val="24"/>
        </w:rPr>
        <w:t xml:space="preserve"> Cada acción suscripta por el accionista le dará derecho a un voto. Las votaciones se efectuarán por aclamación o nominalmente según la propuesta del Presidente con la venia de los accionistas presentes. En el caso que se vote por aclamación, se preguntará a los accionistas que deseen votar en contra o que decidan abstenerse de </w:t>
      </w:r>
      <w:r w:rsidRPr="00B17D35">
        <w:rPr>
          <w:sz w:val="24"/>
          <w:szCs w:val="24"/>
        </w:rPr>
        <w:lastRenderedPageBreak/>
        <w:t>votar en algún punto del orden del día, a los efectos de dejar constancia del sentido de su voto para su registración en el acta respectiva. En el supuesto que se vote nominalmente, el Secretario preguntará individualmente a cada accionista el sentido de su voto a los mismos efectos indicados anteriormente, según su número de orden voto para su registración en el acta respectiva.</w:t>
      </w:r>
    </w:p>
    <w:p w14:paraId="1F72EC69" w14:textId="77777777" w:rsidR="002E0323" w:rsidRPr="00B17D35" w:rsidRDefault="00B17D35">
      <w:pPr>
        <w:widowControl w:val="0"/>
        <w:spacing w:line="240" w:lineRule="auto"/>
        <w:ind w:left="0" w:hanging="2"/>
        <w:jc w:val="both"/>
        <w:rPr>
          <w:sz w:val="24"/>
          <w:szCs w:val="24"/>
        </w:rPr>
      </w:pPr>
      <w:r w:rsidRPr="00B17D35">
        <w:rPr>
          <w:b/>
          <w:sz w:val="24"/>
          <w:szCs w:val="24"/>
        </w:rPr>
        <w:t>11.5</w:t>
      </w:r>
      <w:r w:rsidRPr="00B17D35">
        <w:rPr>
          <w:sz w:val="24"/>
          <w:szCs w:val="24"/>
        </w:rPr>
        <w:t>. Durante el acto asambleario los accionistas deberán adecuar su comportamiento a fin de permitir el uso de la palabra en la forma que determine el Presidente, respetar los tiempos pautados, no interrumpir a los demás accionistas, y en general, comportarse de acuerdo a las reglas de educación y trato respetuoso que es propio de cultura corporativa de la Sociedad. En caso que algún accionista entorpeciera el normal desarrollo del acto asambleario no observando las normas de conducta esperables para la ocasión, comportándose de manera contraria, no ajustando su comportamiento a lo esperable en una reunión de tal índole, el Presidente podrá intimarlo a cumplir con las reglas de conducta aplicables, y de no adecuar su comportamiento, podrá exigirle que se retire de la Asamblea y en caso que no atienda esta exigencia, podrá requerirse el auxilio de la fuerza pública. Esto no configurará limitación alguna a sus derechos como accionista.</w:t>
      </w:r>
    </w:p>
    <w:p w14:paraId="16E429FA" w14:textId="77777777" w:rsidR="002E0323" w:rsidRPr="00B17D35" w:rsidRDefault="00B17D35">
      <w:pPr>
        <w:widowControl w:val="0"/>
        <w:spacing w:line="240" w:lineRule="auto"/>
        <w:ind w:left="0" w:hanging="2"/>
        <w:jc w:val="both"/>
        <w:rPr>
          <w:sz w:val="24"/>
          <w:szCs w:val="24"/>
        </w:rPr>
      </w:pPr>
      <w:r w:rsidRPr="00B17D35">
        <w:rPr>
          <w:sz w:val="24"/>
          <w:szCs w:val="24"/>
        </w:rPr>
        <w:t xml:space="preserve">Corresponde al criterio único y exclusivo de quien preside la Asamblea determinar, según cada caso en particular, las actitudes que puedan incluirse en el presente apartado. </w:t>
      </w:r>
    </w:p>
    <w:p w14:paraId="4A2B0747" w14:textId="77777777" w:rsidR="002E0323" w:rsidRPr="00B17D35" w:rsidRDefault="00B17D35">
      <w:pPr>
        <w:pBdr>
          <w:bottom w:val="single" w:sz="4" w:space="1" w:color="000000"/>
        </w:pBdr>
        <w:spacing w:line="240" w:lineRule="auto"/>
        <w:ind w:left="0" w:hanging="2"/>
        <w:jc w:val="both"/>
        <w:rPr>
          <w:sz w:val="24"/>
          <w:szCs w:val="24"/>
        </w:rPr>
      </w:pPr>
      <w:r w:rsidRPr="00B17D35">
        <w:rPr>
          <w:b/>
          <w:sz w:val="24"/>
          <w:szCs w:val="24"/>
        </w:rPr>
        <w:t>11.6</w:t>
      </w:r>
      <w:r w:rsidRPr="00B17D35">
        <w:rPr>
          <w:sz w:val="24"/>
          <w:szCs w:val="24"/>
        </w:rPr>
        <w:t>. Las resoluciones en las asambleas serán adoptadas por la mayoría absoluta de los votos presentes que puedan emitirse en la respectiva decisión, salvo que el Estatuto exija mayor número. En caso de empate</w:t>
      </w:r>
      <w:r w:rsidRPr="00B17D35">
        <w:t xml:space="preserve"> </w:t>
      </w:r>
      <w:r w:rsidRPr="00B17D35">
        <w:rPr>
          <w:sz w:val="24"/>
          <w:szCs w:val="24"/>
        </w:rPr>
        <w:t xml:space="preserve">se reabrirá la discusión, siendo definitiva la votación que se produzca, requiriéndose la misma mayoría. De persistir el empate en la votación, desempatará el Presidente. </w:t>
      </w:r>
    </w:p>
    <w:p w14:paraId="6FC3161E" w14:textId="77777777" w:rsidR="002E0323" w:rsidRPr="00B17D35" w:rsidRDefault="002E0323">
      <w:pPr>
        <w:pBdr>
          <w:bottom w:val="single" w:sz="4" w:space="1" w:color="000000"/>
        </w:pBdr>
        <w:spacing w:line="240" w:lineRule="auto"/>
        <w:ind w:left="0" w:hanging="2"/>
        <w:jc w:val="both"/>
        <w:rPr>
          <w:sz w:val="24"/>
          <w:szCs w:val="24"/>
        </w:rPr>
      </w:pPr>
    </w:p>
    <w:p w14:paraId="2A34693F" w14:textId="77777777" w:rsidR="002E0323" w:rsidRPr="00B17D35" w:rsidRDefault="00B17D35">
      <w:pPr>
        <w:pBdr>
          <w:bottom w:val="single" w:sz="4" w:space="1" w:color="000000"/>
        </w:pBdr>
        <w:spacing w:line="240" w:lineRule="auto"/>
        <w:ind w:left="0" w:hanging="2"/>
        <w:jc w:val="both"/>
        <w:rPr>
          <w:b/>
          <w:sz w:val="24"/>
          <w:szCs w:val="24"/>
        </w:rPr>
      </w:pPr>
      <w:r w:rsidRPr="00B17D35">
        <w:rPr>
          <w:b/>
          <w:sz w:val="24"/>
          <w:szCs w:val="24"/>
        </w:rPr>
        <w:t xml:space="preserve">12. Nominación y elección de Directores y Síndicos. </w:t>
      </w:r>
    </w:p>
    <w:p w14:paraId="37B6628A" w14:textId="77777777" w:rsidR="002E0323" w:rsidRPr="00B17D35" w:rsidRDefault="00B17D35">
      <w:pPr>
        <w:spacing w:line="240" w:lineRule="auto"/>
        <w:ind w:left="0" w:hanging="2"/>
        <w:jc w:val="both"/>
        <w:rPr>
          <w:sz w:val="24"/>
          <w:szCs w:val="24"/>
        </w:rPr>
      </w:pPr>
      <w:r w:rsidRPr="00B17D35">
        <w:rPr>
          <w:b/>
          <w:sz w:val="24"/>
          <w:szCs w:val="24"/>
        </w:rPr>
        <w:t>12.1</w:t>
      </w:r>
      <w:r w:rsidRPr="00B17D35">
        <w:rPr>
          <w:sz w:val="24"/>
          <w:szCs w:val="24"/>
        </w:rPr>
        <w:t xml:space="preserve">. </w:t>
      </w:r>
      <w:r w:rsidRPr="00B17D35">
        <w:rPr>
          <w:i/>
          <w:sz w:val="24"/>
          <w:szCs w:val="24"/>
        </w:rPr>
        <w:t>Nominación.</w:t>
      </w:r>
      <w:r w:rsidRPr="00B17D35">
        <w:rPr>
          <w:sz w:val="24"/>
          <w:szCs w:val="24"/>
        </w:rPr>
        <w:t xml:space="preserve"> El Proceso de nominación de Directores y Síndicos se regulará en el Reglamento de Directorio de la Sociedad, el cual estará disponible en la página web</w:t>
      </w:r>
      <w:r w:rsidRPr="00B17D35">
        <w:rPr>
          <w:b/>
          <w:sz w:val="24"/>
          <w:szCs w:val="24"/>
        </w:rPr>
        <w:t xml:space="preserve">. </w:t>
      </w:r>
      <w:r w:rsidRPr="00B17D35">
        <w:rPr>
          <w:sz w:val="24"/>
          <w:szCs w:val="24"/>
        </w:rPr>
        <w:t>En el mismo detalla el proceso de selección y nominación para integrar los puestos de Director y Síndico.</w:t>
      </w:r>
    </w:p>
    <w:p w14:paraId="6AEF1B00" w14:textId="77777777" w:rsidR="002E0323" w:rsidRPr="00B17D35" w:rsidRDefault="00B17D35">
      <w:pPr>
        <w:spacing w:line="240" w:lineRule="auto"/>
        <w:ind w:left="0" w:hanging="2"/>
        <w:jc w:val="both"/>
        <w:rPr>
          <w:sz w:val="24"/>
          <w:szCs w:val="24"/>
        </w:rPr>
      </w:pPr>
      <w:r w:rsidRPr="00B17D35">
        <w:rPr>
          <w:b/>
          <w:sz w:val="24"/>
          <w:szCs w:val="24"/>
        </w:rPr>
        <w:t>12.2</w:t>
      </w:r>
      <w:r w:rsidRPr="00B17D35">
        <w:rPr>
          <w:sz w:val="24"/>
          <w:szCs w:val="24"/>
        </w:rPr>
        <w:t>. </w:t>
      </w:r>
      <w:r w:rsidRPr="00B17D35">
        <w:rPr>
          <w:i/>
          <w:sz w:val="24"/>
          <w:szCs w:val="24"/>
        </w:rPr>
        <w:t>Elección.</w:t>
      </w:r>
      <w:r w:rsidRPr="00B17D35">
        <w:rPr>
          <w:sz w:val="24"/>
          <w:szCs w:val="24"/>
        </w:rPr>
        <w:t xml:space="preserve"> La elección de Directores y Síndicos se efectuarán por votación de listas, las que se encontrarán publicadas en la página web de la Sociedad 48 horas antes del día fijado para la celebración de la Asamblea. Los votos se computarán por listas. Cuando se presente una lista única, ésta podrá ser aprobada por aclamación. El accionista que desee habilitar el voto acumulativo deberá presentar en la Sede Social el formulario establecido al efecto, 3 días hábiles antes de la celebración de la Asamblea. </w:t>
      </w:r>
    </w:p>
    <w:p w14:paraId="71EBCB27" w14:textId="77777777" w:rsidR="002E0323" w:rsidRPr="00B17D35" w:rsidRDefault="002E0323">
      <w:pPr>
        <w:spacing w:line="240" w:lineRule="auto"/>
        <w:ind w:left="0" w:hanging="2"/>
        <w:jc w:val="both"/>
        <w:rPr>
          <w:sz w:val="24"/>
          <w:szCs w:val="24"/>
        </w:rPr>
      </w:pPr>
    </w:p>
    <w:p w14:paraId="7DDD969E" w14:textId="77777777" w:rsidR="002E0323" w:rsidRPr="00B17D35" w:rsidRDefault="00B17D35">
      <w:pPr>
        <w:pBdr>
          <w:bottom w:val="single" w:sz="4" w:space="1" w:color="000000"/>
        </w:pBdr>
        <w:spacing w:line="240" w:lineRule="auto"/>
        <w:ind w:left="0" w:hanging="2"/>
        <w:jc w:val="both"/>
        <w:rPr>
          <w:b/>
          <w:sz w:val="24"/>
          <w:szCs w:val="24"/>
        </w:rPr>
      </w:pPr>
      <w:r w:rsidRPr="00B17D35">
        <w:rPr>
          <w:b/>
          <w:sz w:val="24"/>
          <w:szCs w:val="24"/>
        </w:rPr>
        <w:t xml:space="preserve">13. Actas de Asambleas. Firmantes. </w:t>
      </w:r>
    </w:p>
    <w:p w14:paraId="38E82A8D" w14:textId="77777777" w:rsidR="002E0323" w:rsidRPr="00B17D35" w:rsidRDefault="00B17D35">
      <w:pPr>
        <w:spacing w:line="240" w:lineRule="auto"/>
        <w:ind w:left="0" w:hanging="2"/>
        <w:jc w:val="both"/>
      </w:pPr>
      <w:r w:rsidRPr="00B17D35">
        <w:rPr>
          <w:b/>
          <w:sz w:val="24"/>
          <w:szCs w:val="24"/>
        </w:rPr>
        <w:t>13.1</w:t>
      </w:r>
      <w:r w:rsidRPr="00B17D35">
        <w:rPr>
          <w:sz w:val="24"/>
          <w:szCs w:val="24"/>
        </w:rPr>
        <w:t>.</w:t>
      </w:r>
      <w:r w:rsidRPr="00B17D35">
        <w:t xml:space="preserve"> </w:t>
      </w:r>
      <w:r w:rsidRPr="00B17D35">
        <w:rPr>
          <w:sz w:val="24"/>
          <w:szCs w:val="24"/>
        </w:rPr>
        <w:t>Las actas deberán resumir las manifestaciones hechas en la deliberación, las formas de las votaciones y sus resultados con expresión completa de las decisiones adoptadas. Si algún accionista desease que su opinión o comentario fuese transcripto al acta en forma literal, deberá solicitarlo expresamente al momento de realizar su intervención.</w:t>
      </w:r>
    </w:p>
    <w:p w14:paraId="3DB54681" w14:textId="77777777" w:rsidR="002E0323" w:rsidRPr="00B17D35" w:rsidRDefault="00B17D35">
      <w:pPr>
        <w:spacing w:line="240" w:lineRule="auto"/>
        <w:ind w:left="0" w:hanging="2"/>
        <w:jc w:val="both"/>
        <w:rPr>
          <w:sz w:val="24"/>
          <w:szCs w:val="24"/>
        </w:rPr>
      </w:pPr>
      <w:r w:rsidRPr="00B17D35">
        <w:rPr>
          <w:b/>
          <w:sz w:val="24"/>
          <w:szCs w:val="24"/>
        </w:rPr>
        <w:lastRenderedPageBreak/>
        <w:t xml:space="preserve">13.2. </w:t>
      </w:r>
      <w:r w:rsidRPr="00B17D35">
        <w:rPr>
          <w:sz w:val="24"/>
          <w:szCs w:val="24"/>
        </w:rPr>
        <w:t>Serán escrutadores, cuya función consiste en el escrutinio de la votación referida en el punto 12.2, los 2 accionistas que elija la Asamblea, quienes a su vez y por delegación de la Asamblea, suscribirán el acta, importando su firma la aprobación del acta respectiva, la cual deberá estar suscripta también por el Presidente del Directorio y el Presidente de la Comisión Fiscalizadora dentro de los 5 días de celebrada.</w:t>
      </w:r>
    </w:p>
    <w:p w14:paraId="6E5E9030" w14:textId="77777777" w:rsidR="002E0323" w:rsidRPr="00B17D35" w:rsidRDefault="002E0323">
      <w:pPr>
        <w:spacing w:line="240" w:lineRule="auto"/>
        <w:ind w:left="0" w:hanging="2"/>
        <w:rPr>
          <w:sz w:val="24"/>
          <w:szCs w:val="24"/>
        </w:rPr>
      </w:pPr>
    </w:p>
    <w:p w14:paraId="3CCE6CA9" w14:textId="77777777" w:rsidR="002E0323" w:rsidRPr="00B17D35" w:rsidRDefault="00B17D35">
      <w:pPr>
        <w:pBdr>
          <w:bottom w:val="single" w:sz="4" w:space="1" w:color="000000"/>
        </w:pBdr>
        <w:spacing w:line="240" w:lineRule="auto"/>
        <w:ind w:left="0" w:hanging="2"/>
        <w:jc w:val="both"/>
        <w:rPr>
          <w:b/>
          <w:sz w:val="24"/>
          <w:szCs w:val="24"/>
        </w:rPr>
      </w:pPr>
      <w:r w:rsidRPr="00B17D35">
        <w:rPr>
          <w:b/>
          <w:sz w:val="24"/>
          <w:szCs w:val="24"/>
        </w:rPr>
        <w:t>14. Autorizaciones para trámites posteriores o cumplimiento de deberes posteriores</w:t>
      </w:r>
    </w:p>
    <w:p w14:paraId="562B6689" w14:textId="77777777" w:rsidR="002E0323" w:rsidRPr="00B17D35" w:rsidRDefault="00B17D35">
      <w:pPr>
        <w:spacing w:line="240" w:lineRule="auto"/>
        <w:ind w:left="0" w:hanging="2"/>
        <w:jc w:val="both"/>
        <w:rPr>
          <w:sz w:val="24"/>
          <w:szCs w:val="24"/>
        </w:rPr>
      </w:pPr>
      <w:r w:rsidRPr="00B17D35">
        <w:rPr>
          <w:b/>
          <w:sz w:val="24"/>
          <w:szCs w:val="24"/>
        </w:rPr>
        <w:t>14.1.</w:t>
      </w:r>
      <w:r w:rsidRPr="00B17D35">
        <w:rPr>
          <w:sz w:val="24"/>
          <w:szCs w:val="24"/>
        </w:rPr>
        <w:t xml:space="preserve"> </w:t>
      </w:r>
      <w:r w:rsidRPr="00B17D35">
        <w:rPr>
          <w:i/>
          <w:sz w:val="24"/>
          <w:szCs w:val="24"/>
        </w:rPr>
        <w:t>Autorización para la realización de los trámites, presentaciones, publicaciones e inscripciones.</w:t>
      </w:r>
      <w:r w:rsidRPr="00B17D35">
        <w:rPr>
          <w:sz w:val="24"/>
          <w:szCs w:val="24"/>
        </w:rPr>
        <w:t xml:space="preserve"> Las accionistas designarán a las personas que estarán autorizadas a efectuar los correspondientes trámites, presentaciones, publicaciones, comunicaciones e inscripciones correspondientes a las resoluciones adoptadas en la Asamblea, pudiendo delegar en el Presidente tales designaciones, quienes estarán facultados a suscribir todo tipo de presentación y/o formulario, edictos, publicaciones de ley en general, declaraciones juradas, tomen y contesten vistas, impulsen los trámites y efectúen cuantos más trámites fueren menester con expresas facultades para suscribir todo instrumento público o privado.”</w:t>
      </w:r>
    </w:p>
    <w:p w14:paraId="5A097920" w14:textId="77777777" w:rsidR="002E0323" w:rsidRPr="00B17D35" w:rsidRDefault="002E0323">
      <w:pPr>
        <w:spacing w:line="240" w:lineRule="auto"/>
        <w:ind w:left="0" w:hanging="2"/>
        <w:jc w:val="both"/>
        <w:rPr>
          <w:sz w:val="24"/>
          <w:szCs w:val="24"/>
        </w:rPr>
      </w:pPr>
    </w:p>
    <w:p w14:paraId="387894EC" w14:textId="77777777" w:rsidR="002E0323" w:rsidRPr="00B17D35" w:rsidRDefault="00B17D35">
      <w:pPr>
        <w:spacing w:line="240" w:lineRule="auto"/>
        <w:ind w:left="0" w:right="51" w:hanging="2"/>
        <w:jc w:val="both"/>
        <w:rPr>
          <w:sz w:val="24"/>
          <w:szCs w:val="24"/>
        </w:rPr>
      </w:pPr>
      <w:r w:rsidRPr="00B17D35">
        <w:rPr>
          <w:b/>
          <w:sz w:val="24"/>
          <w:szCs w:val="24"/>
        </w:rPr>
        <w:t xml:space="preserve">Convocatoria a Asamblea Ordinaria. </w:t>
      </w:r>
      <w:r w:rsidRPr="00B17D35">
        <w:rPr>
          <w:sz w:val="24"/>
          <w:szCs w:val="24"/>
        </w:rPr>
        <w:t>El Directorio resolvió que se realice la Convocatoria a Asamblea General Ordinaria en los siguientes términos:</w:t>
      </w:r>
    </w:p>
    <w:p w14:paraId="04F5E27A" w14:textId="77777777" w:rsidR="002E0323" w:rsidRPr="00B17D35" w:rsidRDefault="00B17D35">
      <w:pPr>
        <w:tabs>
          <w:tab w:val="left" w:pos="8505"/>
        </w:tabs>
        <w:spacing w:line="240" w:lineRule="auto"/>
        <w:ind w:left="0" w:right="29" w:hanging="2"/>
        <w:jc w:val="center"/>
        <w:rPr>
          <w:b/>
          <w:sz w:val="24"/>
          <w:szCs w:val="24"/>
        </w:rPr>
      </w:pPr>
      <w:r w:rsidRPr="00B17D35">
        <w:rPr>
          <w:b/>
          <w:sz w:val="24"/>
          <w:szCs w:val="24"/>
        </w:rPr>
        <w:t>“MATBA ROFEX S.A.</w:t>
      </w:r>
    </w:p>
    <w:p w14:paraId="67FE1365" w14:textId="77777777" w:rsidR="002E0323" w:rsidRPr="00B17D35" w:rsidRDefault="00B17D35">
      <w:pPr>
        <w:tabs>
          <w:tab w:val="left" w:pos="8505"/>
        </w:tabs>
        <w:spacing w:line="240" w:lineRule="auto"/>
        <w:ind w:left="0" w:right="29" w:hanging="2"/>
        <w:jc w:val="center"/>
        <w:rPr>
          <w:b/>
          <w:sz w:val="24"/>
          <w:szCs w:val="24"/>
        </w:rPr>
      </w:pPr>
      <w:r w:rsidRPr="00B17D35">
        <w:rPr>
          <w:b/>
          <w:sz w:val="24"/>
          <w:szCs w:val="24"/>
        </w:rPr>
        <w:t xml:space="preserve">CONVOCATORIA </w:t>
      </w:r>
    </w:p>
    <w:p w14:paraId="193B08EC" w14:textId="77777777" w:rsidR="002E0323" w:rsidRPr="00B17D35" w:rsidRDefault="00B17D35">
      <w:pPr>
        <w:tabs>
          <w:tab w:val="left" w:pos="8364"/>
        </w:tabs>
        <w:spacing w:line="240" w:lineRule="auto"/>
        <w:ind w:left="0" w:right="29" w:hanging="2"/>
        <w:jc w:val="both"/>
        <w:rPr>
          <w:sz w:val="24"/>
          <w:szCs w:val="24"/>
        </w:rPr>
      </w:pPr>
      <w:r w:rsidRPr="00B17D35">
        <w:rPr>
          <w:sz w:val="24"/>
          <w:szCs w:val="24"/>
        </w:rPr>
        <w:t>De acuerdo con lo resuelto por el Directorio y con lo dispuesto en los artículos 40, 42 y 44 del Estatuto y 234, 237 y concordantes de la Ley General de Sociedades Nº 19.550, y la Resolución General CNV N° 830/2020 que permite que las sociedades emisoras puedan celebrar Asambleas a distancia, siempre que se cumplan con los recaudos mínimos indicados en dicha Resolución durante todo el periodo en que se prohíba, limite o restrinja la libre circulación de las personas en general, como consecuencia del estado de emergencia sanitaria establecido en virtud del Decreto de Necesidad y Urgencia N° 297/2020 y normas sucesivas del Poder Ejecutivo Nacional, se convoca a los señores accionistas a Asamblea General Ordinaria, en Primera Convocatoria, que tendrá lugar el día 8 de octubre de 2020 a las 17:00 hs. y a las 18:00hs. en Segunda Convocatoria, en Paraguay 755, Rosario, Provincia de Santa Fe (que no constituye la sede social); o, en caso de seguir vigentes las restricciones a la libre circulación, a celebrarse a través del sistema de videoconferencia “Zoom” -o en su defecto alguna herramienta similar- que permite la transmisión simultánea de sonido, imágenes y palabras en el transcurso de toda la reunión, así como su grabación en soporte digital, a fin de tratar el siguiente:</w:t>
      </w:r>
    </w:p>
    <w:p w14:paraId="08D2098C" w14:textId="77777777" w:rsidR="002E0323" w:rsidRPr="00B17D35" w:rsidRDefault="00B17D35">
      <w:pPr>
        <w:tabs>
          <w:tab w:val="left" w:pos="8505"/>
        </w:tabs>
        <w:spacing w:line="240" w:lineRule="auto"/>
        <w:ind w:left="0" w:right="29" w:hanging="2"/>
        <w:jc w:val="center"/>
        <w:rPr>
          <w:sz w:val="24"/>
          <w:szCs w:val="24"/>
        </w:rPr>
      </w:pPr>
      <w:r w:rsidRPr="00B17D35">
        <w:rPr>
          <w:b/>
          <w:sz w:val="24"/>
          <w:szCs w:val="24"/>
        </w:rPr>
        <w:t>ORDEN DEL DIA</w:t>
      </w:r>
    </w:p>
    <w:p w14:paraId="7CC50218" w14:textId="77777777" w:rsidR="002E0323" w:rsidRPr="00B17D35" w:rsidRDefault="00B17D35">
      <w:pPr>
        <w:spacing w:line="240" w:lineRule="auto"/>
        <w:ind w:left="0" w:right="29" w:hanging="2"/>
        <w:jc w:val="both"/>
        <w:rPr>
          <w:sz w:val="24"/>
          <w:szCs w:val="24"/>
        </w:rPr>
      </w:pPr>
      <w:r w:rsidRPr="00B17D35">
        <w:rPr>
          <w:sz w:val="24"/>
          <w:szCs w:val="24"/>
        </w:rPr>
        <w:t>1º) Consideración de la celebración de la Asamblea a distancia de acuerdo con lo dispuesto por la Resolución CNV N° 830/2020.</w:t>
      </w:r>
    </w:p>
    <w:p w14:paraId="2CEE4270" w14:textId="77777777" w:rsidR="002E0323" w:rsidRPr="00B17D35" w:rsidRDefault="00B17D35">
      <w:pPr>
        <w:spacing w:line="240" w:lineRule="auto"/>
        <w:ind w:left="0" w:right="29" w:hanging="2"/>
        <w:jc w:val="both"/>
        <w:rPr>
          <w:sz w:val="24"/>
          <w:szCs w:val="24"/>
        </w:rPr>
      </w:pPr>
      <w:r w:rsidRPr="00B17D35">
        <w:rPr>
          <w:sz w:val="24"/>
          <w:szCs w:val="24"/>
        </w:rPr>
        <w:t>2°) Designación de dos accionistas (artículo 46 del Estatuto) para que, en representación de la Asamblea suscriban y aprueben el acta y ejerzan la función de escrutadores.</w:t>
      </w:r>
    </w:p>
    <w:p w14:paraId="4B7795EF" w14:textId="77777777" w:rsidR="002E0323" w:rsidRPr="00B17D35" w:rsidRDefault="00B17D35">
      <w:pPr>
        <w:spacing w:line="240" w:lineRule="auto"/>
        <w:ind w:left="0" w:right="29" w:hanging="2"/>
        <w:jc w:val="both"/>
        <w:rPr>
          <w:sz w:val="24"/>
          <w:szCs w:val="24"/>
        </w:rPr>
      </w:pPr>
      <w:r w:rsidRPr="00B17D35">
        <w:rPr>
          <w:sz w:val="24"/>
          <w:szCs w:val="24"/>
        </w:rPr>
        <w:t xml:space="preserve">3°) Aprobación del Reglamento de Asambleas. </w:t>
      </w:r>
    </w:p>
    <w:p w14:paraId="45BFC418" w14:textId="77777777" w:rsidR="002E0323" w:rsidRPr="00B17D35" w:rsidRDefault="00B17D35">
      <w:pPr>
        <w:spacing w:line="240" w:lineRule="auto"/>
        <w:ind w:left="0" w:right="29" w:hanging="2"/>
        <w:jc w:val="both"/>
        <w:rPr>
          <w:sz w:val="24"/>
          <w:szCs w:val="24"/>
        </w:rPr>
      </w:pPr>
      <w:r w:rsidRPr="00B17D35">
        <w:rPr>
          <w:sz w:val="24"/>
          <w:szCs w:val="24"/>
        </w:rPr>
        <w:lastRenderedPageBreak/>
        <w:t xml:space="preserve">4º) Consideración de la documentación prevista en el artículo 234 inciso 1°) de la Ley General de Sociedades Nº 19.550. Consideración de la gestión del Directorio y Gerente General conforme lo requerido por el artículo 275 de dicha Ley y consideración de la gestión de la Comisión Fiscalizadora y del Comité de Auditoría, todo ello correspondiente al ejercicio económico cerrado el 30 de junio de 2020. </w:t>
      </w:r>
    </w:p>
    <w:p w14:paraId="68D2B77D" w14:textId="77777777" w:rsidR="002E0323" w:rsidRPr="00B17D35" w:rsidRDefault="00B17D35">
      <w:pPr>
        <w:spacing w:line="240" w:lineRule="auto"/>
        <w:ind w:left="0" w:right="29" w:hanging="2"/>
        <w:jc w:val="both"/>
        <w:rPr>
          <w:sz w:val="24"/>
          <w:szCs w:val="24"/>
        </w:rPr>
      </w:pPr>
      <w:r w:rsidRPr="00B17D35">
        <w:rPr>
          <w:sz w:val="24"/>
          <w:szCs w:val="24"/>
        </w:rPr>
        <w:t>5º) Fijación del presupuesto de gastos para la gestión del Comité de Auditoría durante el ejercicio social que finalizará el 30 de junio de 2021.</w:t>
      </w:r>
    </w:p>
    <w:p w14:paraId="76D63064" w14:textId="77777777" w:rsidR="002E0323" w:rsidRPr="00B17D35" w:rsidRDefault="00B17D35">
      <w:pPr>
        <w:spacing w:line="240" w:lineRule="auto"/>
        <w:ind w:left="0" w:right="29" w:hanging="2"/>
        <w:jc w:val="both"/>
        <w:rPr>
          <w:sz w:val="24"/>
          <w:szCs w:val="24"/>
        </w:rPr>
      </w:pPr>
      <w:r w:rsidRPr="00B17D35">
        <w:rPr>
          <w:sz w:val="24"/>
          <w:szCs w:val="24"/>
        </w:rPr>
        <w:t>6º) Consideración del destino a dar al resultado del ejercicio. Ratificación de la aprobación de dividendos anticipados. Integración del Fondo de Garantía III (art. 15 Cap. I, Título VI de las Normas de CNV). Distribución de Utilidades.</w:t>
      </w:r>
    </w:p>
    <w:p w14:paraId="120B6172" w14:textId="77777777" w:rsidR="002E0323" w:rsidRPr="00B17D35" w:rsidRDefault="00B17D35">
      <w:pPr>
        <w:spacing w:line="240" w:lineRule="auto"/>
        <w:ind w:left="0" w:right="29" w:hanging="2"/>
        <w:jc w:val="both"/>
        <w:rPr>
          <w:sz w:val="24"/>
          <w:szCs w:val="24"/>
        </w:rPr>
      </w:pPr>
      <w:r w:rsidRPr="00B17D35">
        <w:rPr>
          <w:sz w:val="24"/>
          <w:szCs w:val="24"/>
        </w:rPr>
        <w:t xml:space="preserve">7º) Consideración de las remuneraciones al Directorio y Comisión Fiscalizadora correspondientes al ejercicio cerrado al 30 de junio de 2020. </w:t>
      </w:r>
    </w:p>
    <w:p w14:paraId="59A6024B" w14:textId="77777777" w:rsidR="002E0323" w:rsidRPr="00B17D35" w:rsidRDefault="00B17D35">
      <w:pPr>
        <w:spacing w:line="240" w:lineRule="auto"/>
        <w:ind w:left="0" w:right="29" w:hanging="2"/>
        <w:jc w:val="both"/>
        <w:rPr>
          <w:sz w:val="24"/>
          <w:szCs w:val="24"/>
        </w:rPr>
      </w:pPr>
      <w:r w:rsidRPr="00B17D35">
        <w:rPr>
          <w:sz w:val="24"/>
          <w:szCs w:val="24"/>
        </w:rPr>
        <w:t>8°) Elección de cuatro (4) Directores Titulares y de cuatro (4) Directores Suplentes por tres años.</w:t>
      </w:r>
    </w:p>
    <w:p w14:paraId="50B2D3B5" w14:textId="77777777" w:rsidR="002E0323" w:rsidRPr="00B17D35" w:rsidRDefault="00B17D35">
      <w:pPr>
        <w:spacing w:line="240" w:lineRule="auto"/>
        <w:ind w:left="0" w:right="29" w:hanging="2"/>
        <w:jc w:val="both"/>
        <w:rPr>
          <w:sz w:val="24"/>
          <w:szCs w:val="24"/>
        </w:rPr>
      </w:pPr>
      <w:r w:rsidRPr="00B17D35">
        <w:rPr>
          <w:sz w:val="24"/>
          <w:szCs w:val="24"/>
        </w:rPr>
        <w:t>9º) Elección de tres (3) Síndicos Titulares y tres (3) Síndicos Suplentes por un año.</w:t>
      </w:r>
    </w:p>
    <w:p w14:paraId="7770A622" w14:textId="77777777" w:rsidR="002E0323" w:rsidRPr="00B17D35" w:rsidRDefault="00B17D35">
      <w:pPr>
        <w:spacing w:line="240" w:lineRule="auto"/>
        <w:ind w:left="0" w:right="29" w:hanging="2"/>
        <w:jc w:val="both"/>
        <w:rPr>
          <w:sz w:val="24"/>
          <w:szCs w:val="24"/>
        </w:rPr>
      </w:pPr>
      <w:r w:rsidRPr="00B17D35">
        <w:rPr>
          <w:sz w:val="24"/>
          <w:szCs w:val="24"/>
        </w:rPr>
        <w:t>10º) Otorgamiento de carta de indemnidad para directores y miembros de la Comisión Fiscalizadora electos en los puntos 8°) y 9°).</w:t>
      </w:r>
    </w:p>
    <w:p w14:paraId="37A26F52" w14:textId="77777777" w:rsidR="002E0323" w:rsidRPr="00B17D35" w:rsidRDefault="00B17D35">
      <w:pPr>
        <w:spacing w:line="240" w:lineRule="auto"/>
        <w:ind w:left="0" w:right="29" w:hanging="2"/>
        <w:jc w:val="both"/>
        <w:rPr>
          <w:sz w:val="24"/>
          <w:szCs w:val="24"/>
        </w:rPr>
      </w:pPr>
      <w:r w:rsidRPr="00B17D35">
        <w:rPr>
          <w:sz w:val="24"/>
          <w:szCs w:val="24"/>
        </w:rPr>
        <w:t>11º) Designación del Auditor Externo -Titular y Suplente- que certificará los estados financieros correspondientes al ejercicio económico que finalizará el 30 de junio de 2021.</w:t>
      </w:r>
    </w:p>
    <w:p w14:paraId="6D957820" w14:textId="77777777" w:rsidR="002E0323" w:rsidRPr="00B17D35" w:rsidRDefault="00B17D35">
      <w:pPr>
        <w:spacing w:line="240" w:lineRule="auto"/>
        <w:ind w:left="0" w:right="29" w:hanging="2"/>
        <w:jc w:val="both"/>
        <w:rPr>
          <w:sz w:val="24"/>
          <w:szCs w:val="24"/>
        </w:rPr>
      </w:pPr>
      <w:r w:rsidRPr="00B17D35">
        <w:rPr>
          <w:sz w:val="24"/>
          <w:szCs w:val="24"/>
        </w:rPr>
        <w:t>12°)  Autorización para la realización de los trámites y presentaciones necesarios para la obtención de las inscripciones correspondientes.</w:t>
      </w:r>
    </w:p>
    <w:p w14:paraId="1A2E4D94" w14:textId="77777777" w:rsidR="002E0323" w:rsidRPr="00B17D35" w:rsidRDefault="00B17D35">
      <w:pPr>
        <w:tabs>
          <w:tab w:val="left" w:pos="1843"/>
        </w:tabs>
        <w:spacing w:line="240" w:lineRule="auto"/>
        <w:ind w:left="0" w:right="29" w:hanging="2"/>
        <w:jc w:val="both"/>
        <w:rPr>
          <w:sz w:val="24"/>
          <w:szCs w:val="24"/>
        </w:rPr>
      </w:pPr>
      <w:r w:rsidRPr="00B17D35">
        <w:rPr>
          <w:sz w:val="24"/>
          <w:szCs w:val="24"/>
          <w:u w:val="single"/>
        </w:rPr>
        <w:t>Nota</w:t>
      </w:r>
      <w:r w:rsidRPr="00B17D35">
        <w:rPr>
          <w:sz w:val="24"/>
          <w:szCs w:val="24"/>
        </w:rPr>
        <w:t xml:space="preserve">: </w:t>
      </w:r>
    </w:p>
    <w:p w14:paraId="7D62D43E" w14:textId="77777777" w:rsidR="002E0323" w:rsidRPr="00B17D35" w:rsidRDefault="00B17D35">
      <w:pPr>
        <w:tabs>
          <w:tab w:val="left" w:pos="1843"/>
        </w:tabs>
        <w:spacing w:line="240" w:lineRule="auto"/>
        <w:ind w:left="0" w:right="29" w:hanging="2"/>
        <w:jc w:val="both"/>
        <w:rPr>
          <w:sz w:val="24"/>
          <w:szCs w:val="24"/>
        </w:rPr>
      </w:pPr>
      <w:bookmarkStart w:id="4" w:name="_heading=h.1fob9te" w:colFirst="0" w:colLast="0"/>
      <w:bookmarkEnd w:id="4"/>
      <w:r w:rsidRPr="00B17D35">
        <w:rPr>
          <w:sz w:val="24"/>
          <w:szCs w:val="24"/>
        </w:rPr>
        <w:t xml:space="preserve">1) De acuerdo con lo dispuesto en el art. 238 de la Ley General de Sociedades Nº 19.550, los señores accionistas que deseen participar del acto asambleario deberán cursar comunicación para que se los inscriba en el Registro de Asistencia, con no menos de tres días hábiles de anticipación a la fecha fijada para la Asamblea, plazo que vencerá el próximo 2 de octubre de 2020 a las 17:00 horas. Dicha comunicación deberá ser efectuada a través de la casilla de correo electrónico: </w:t>
      </w:r>
      <w:hyperlink r:id="rId14">
        <w:r w:rsidRPr="00B17D35">
          <w:rPr>
            <w:color w:val="0000FF"/>
            <w:sz w:val="24"/>
            <w:szCs w:val="24"/>
            <w:u w:val="single"/>
          </w:rPr>
          <w:t>inversor@matbarofex.com.ar</w:t>
        </w:r>
      </w:hyperlink>
      <w:r w:rsidRPr="00B17D35">
        <w:rPr>
          <w:sz w:val="24"/>
          <w:szCs w:val="24"/>
        </w:rPr>
        <w:t xml:space="preserve"> indicando: nombre y apellido completo/denominación social y CUIT/CUIL/CDI. La Sociedad remitirá, a las casillas de correo electrónico desde la cual los accionistas hubieran comunicado su asistencia, la información necesaria respecto al modo de celebración y recaudos para la admisión de su participación en la Asamblea. </w:t>
      </w:r>
    </w:p>
    <w:p w14:paraId="5375588A" w14:textId="77777777" w:rsidR="002E0323" w:rsidRPr="00B17D35" w:rsidRDefault="00B17D35">
      <w:pPr>
        <w:tabs>
          <w:tab w:val="left" w:pos="1843"/>
        </w:tabs>
        <w:spacing w:line="240" w:lineRule="auto"/>
        <w:ind w:left="0" w:right="29" w:hanging="2"/>
        <w:jc w:val="both"/>
        <w:rPr>
          <w:sz w:val="24"/>
          <w:szCs w:val="24"/>
        </w:rPr>
      </w:pPr>
      <w:r w:rsidRPr="00B17D35">
        <w:rPr>
          <w:sz w:val="24"/>
          <w:szCs w:val="24"/>
        </w:rPr>
        <w:t xml:space="preserve">Se recuerda que, de acuerdo al artículo 43° del Estatuto Social, los accionistas podrán hacerse representar en las asambleas, sea por otro accionista o por terceros, debidamente autorizados por instrumento público o mediante mandato formalizado en instrumento privado (modelo que se encuentra disponible en </w:t>
      </w:r>
      <w:hyperlink r:id="rId15">
        <w:r w:rsidRPr="00B17D35">
          <w:rPr>
            <w:color w:val="1155CC"/>
            <w:sz w:val="24"/>
            <w:szCs w:val="24"/>
            <w:u w:val="single"/>
          </w:rPr>
          <w:t>www.matbarofex.com.ar</w:t>
        </w:r>
      </w:hyperlink>
      <w:r w:rsidRPr="00B17D35">
        <w:rPr>
          <w:sz w:val="24"/>
          <w:szCs w:val="24"/>
        </w:rPr>
        <w:t xml:space="preserve">) y con su firma certificada en forma judicial, notarial o bancaria, salvo que la misma se encuentre registrada en la Sociedad. En tal caso, deberá remitirse a la Sociedad con cinco (5) días hábiles de antelación a la celebración de la Asamblea el instrumento habilitante correspondiente como archivo adjunto en formato PDF a la casilla de correo electrónico: </w:t>
      </w:r>
      <w:hyperlink r:id="rId16">
        <w:r w:rsidRPr="00B17D35">
          <w:rPr>
            <w:color w:val="0000FF"/>
            <w:sz w:val="24"/>
            <w:szCs w:val="24"/>
            <w:u w:val="single"/>
          </w:rPr>
          <w:t>inversor@matbarofex.com.ar</w:t>
        </w:r>
      </w:hyperlink>
    </w:p>
    <w:p w14:paraId="57D29673" w14:textId="77777777" w:rsidR="002E0323" w:rsidRPr="00B17D35" w:rsidRDefault="00B17D35">
      <w:pPr>
        <w:tabs>
          <w:tab w:val="left" w:pos="1843"/>
        </w:tabs>
        <w:spacing w:line="240" w:lineRule="auto"/>
        <w:ind w:left="0" w:right="29" w:hanging="2"/>
        <w:jc w:val="both"/>
        <w:rPr>
          <w:sz w:val="24"/>
          <w:szCs w:val="24"/>
        </w:rPr>
      </w:pPr>
      <w:r w:rsidRPr="00B17D35">
        <w:rPr>
          <w:sz w:val="24"/>
          <w:szCs w:val="24"/>
        </w:rPr>
        <w:lastRenderedPageBreak/>
        <w:t>2) La Asamblea deberá contar con el quórum exigible para las asambleas extraordinarias, en caso de celebrarse de acuerdo a lo establecido en el punto 1°) . La votación se realizará a viva voz.</w:t>
      </w:r>
    </w:p>
    <w:p w14:paraId="44E29E55" w14:textId="77777777" w:rsidR="002E0323" w:rsidRPr="00B17D35" w:rsidRDefault="00B17D35">
      <w:pPr>
        <w:tabs>
          <w:tab w:val="left" w:pos="1843"/>
        </w:tabs>
        <w:spacing w:line="240" w:lineRule="auto"/>
        <w:ind w:left="0" w:right="29" w:hanging="2"/>
        <w:jc w:val="both"/>
        <w:rPr>
          <w:sz w:val="24"/>
          <w:szCs w:val="24"/>
        </w:rPr>
      </w:pPr>
      <w:r w:rsidRPr="00B17D35">
        <w:rPr>
          <w:sz w:val="24"/>
          <w:szCs w:val="24"/>
        </w:rPr>
        <w:t xml:space="preserve">3) La documentación prevista en los puntos 3º), 4°), 6°) y 7°) que considerará la Asamblea se hallará a disposición de los accionistas en la sede social sita en Paraguay 777, Piso 15, Rosario, Provincia de Santa Fe, a partir del 18 de septiembre de 2020 en el horario de 10 a 17 horas y en </w:t>
      </w:r>
      <w:hyperlink r:id="rId17">
        <w:r w:rsidRPr="00B17D35">
          <w:rPr>
            <w:color w:val="0000FF"/>
            <w:sz w:val="24"/>
            <w:szCs w:val="24"/>
            <w:u w:val="single"/>
          </w:rPr>
          <w:t>www.matbarofex.com.ar</w:t>
        </w:r>
      </w:hyperlink>
      <w:r w:rsidRPr="00B17D35">
        <w:rPr>
          <w:sz w:val="24"/>
          <w:szCs w:val="24"/>
        </w:rPr>
        <w:t>, y ya ha sido publicada en la AIF de la Comisión Nacional de Valores.</w:t>
      </w:r>
    </w:p>
    <w:p w14:paraId="44E0F394" w14:textId="77777777" w:rsidR="002E0323" w:rsidRPr="00B17D35" w:rsidRDefault="00B17D35">
      <w:pPr>
        <w:tabs>
          <w:tab w:val="left" w:pos="1843"/>
        </w:tabs>
        <w:spacing w:line="240" w:lineRule="auto"/>
        <w:ind w:left="0" w:right="29" w:hanging="2"/>
        <w:jc w:val="both"/>
        <w:rPr>
          <w:sz w:val="24"/>
          <w:szCs w:val="24"/>
        </w:rPr>
      </w:pPr>
      <w:r w:rsidRPr="00B17D35">
        <w:rPr>
          <w:sz w:val="24"/>
          <w:szCs w:val="24"/>
        </w:rPr>
        <w:t xml:space="preserve">4) Los accionistas podrán nominar candidatos a los cargos referidos en los puntos 7°) y 8°) presentando el formulario correspondiente de conformidad con lo establecido en los Capítulos II y III del Reglamento de Directorio de la Sociedad disponible en </w:t>
      </w:r>
      <w:hyperlink r:id="rId18">
        <w:r w:rsidRPr="00B17D35">
          <w:rPr>
            <w:color w:val="1155CC"/>
            <w:sz w:val="24"/>
            <w:szCs w:val="24"/>
            <w:u w:val="single"/>
          </w:rPr>
          <w:t>www.matbarofex.com.ar</w:t>
        </w:r>
      </w:hyperlink>
      <w:r w:rsidRPr="00B17D35">
        <w:rPr>
          <w:sz w:val="24"/>
          <w:szCs w:val="24"/>
        </w:rPr>
        <w:t xml:space="preserve">, hasta 7 (siete) días hábiles previos a la Asamblea que vence el 28 de septiembre de 2020 a las 17:00 horas. </w:t>
      </w:r>
    </w:p>
    <w:p w14:paraId="04ED404C" w14:textId="77777777" w:rsidR="002E0323" w:rsidRPr="00B17D35" w:rsidRDefault="00B17D35">
      <w:pPr>
        <w:spacing w:line="240" w:lineRule="auto"/>
        <w:ind w:left="0" w:hanging="2"/>
        <w:jc w:val="both"/>
        <w:rPr>
          <w:sz w:val="24"/>
          <w:szCs w:val="24"/>
        </w:rPr>
      </w:pPr>
      <w:r w:rsidRPr="00B17D35">
        <w:rPr>
          <w:sz w:val="24"/>
          <w:szCs w:val="24"/>
        </w:rPr>
        <w:t xml:space="preserve">5) En caso que continúen las restricciones con motivo del Aislamiento Social Preventivo y Obligatorio, y de acuerdo con lo requerido por la mencionada Resolución CNV N° 830/2020, la Asamblea será grabada en soporte digital y dicha grabación se encontrará a disposición de los accionistas por el término de cinco años. </w:t>
      </w:r>
    </w:p>
    <w:p w14:paraId="1CC85AAF" w14:textId="77777777" w:rsidR="002E0323" w:rsidRPr="00B17D35" w:rsidRDefault="00B17D35">
      <w:pPr>
        <w:spacing w:line="240" w:lineRule="auto"/>
        <w:ind w:left="0" w:hanging="2"/>
        <w:jc w:val="both"/>
        <w:rPr>
          <w:sz w:val="24"/>
          <w:szCs w:val="24"/>
        </w:rPr>
      </w:pPr>
      <w:r w:rsidRPr="00B17D35">
        <w:rPr>
          <w:sz w:val="24"/>
          <w:szCs w:val="24"/>
        </w:rPr>
        <w:t>Andrés Emilio Ponte actúa en su condición de Presidente de Matba Rofex S.A. conforme surge del Acta de Asamblea de  27/12/2018 y  de Directorio de 01/08/2019.”</w:t>
      </w:r>
    </w:p>
    <w:p w14:paraId="4D4BB275" w14:textId="77777777" w:rsidR="002E0323" w:rsidRPr="00B17D35" w:rsidRDefault="00B17D35">
      <w:pPr>
        <w:spacing w:line="240" w:lineRule="auto"/>
        <w:ind w:left="0" w:right="51" w:hanging="2"/>
        <w:jc w:val="both"/>
        <w:rPr>
          <w:sz w:val="24"/>
          <w:szCs w:val="24"/>
        </w:rPr>
      </w:pPr>
      <w:bookmarkStart w:id="5" w:name="_heading=h.gjdgxs" w:colFirst="0" w:colLast="0"/>
      <w:bookmarkEnd w:id="5"/>
      <w:r w:rsidRPr="00B17D35">
        <w:rPr>
          <w:sz w:val="24"/>
          <w:szCs w:val="24"/>
        </w:rPr>
        <w:t>…………………………………………………………………………………………………………………………………………..</w:t>
      </w:r>
    </w:p>
    <w:p w14:paraId="6C0A05E6" w14:textId="77777777" w:rsidR="002E0323" w:rsidRDefault="00B17D35">
      <w:pPr>
        <w:spacing w:line="240" w:lineRule="auto"/>
        <w:ind w:left="0" w:hanging="2"/>
        <w:jc w:val="both"/>
        <w:rPr>
          <w:sz w:val="24"/>
          <w:szCs w:val="24"/>
        </w:rPr>
      </w:pPr>
      <w:r w:rsidRPr="00B17D35">
        <w:rPr>
          <w:sz w:val="24"/>
          <w:szCs w:val="24"/>
        </w:rPr>
        <w:t>No habiendo más asuntos que tratar y siendo las 18:40 se levantó la sesión y firman los presentes. Fdo.: Andrés Emilio Ponte (por sí y en representación de Marcos Andrés Hermansson, Francisco Javier María Fernández Candia; Luis Alberto Herrera; Ignacio María Bosch; Alfredo Rubén Conde, Juan Fabricio Silvestri; Ricardo Daniel Marra; Leandro Salvatierra, Sebastián M. Bravo y Gustavo C. Cortona) Marcelo José Rossi y Fernando Raúl José Viñals (por sí y en representación de Sergio M. Roldán y José María Ibarbia).</w:t>
      </w:r>
    </w:p>
    <w:sectPr w:rsidR="002E0323">
      <w:pgSz w:w="12240" w:h="15840"/>
      <w:pgMar w:top="1417" w:right="1701" w:bottom="1417"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71ECE"/>
    <w:multiLevelType w:val="multilevel"/>
    <w:tmpl w:val="052CB314"/>
    <w:lvl w:ilvl="0">
      <w:start w:val="1"/>
      <w:numFmt w:val="bullet"/>
      <w:lvlText w:val="●"/>
      <w:lvlJc w:val="left"/>
      <w:pPr>
        <w:ind w:left="560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C1890"/>
    <w:multiLevelType w:val="multilevel"/>
    <w:tmpl w:val="F0EAFBBE"/>
    <w:lvl w:ilvl="0">
      <w:start w:val="1"/>
      <w:numFmt w:val="bullet"/>
      <w:lvlText w:val="●"/>
      <w:lvlJc w:val="left"/>
      <w:pPr>
        <w:ind w:left="709" w:hanging="357"/>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2" w15:restartNumberingAfterBreak="0">
    <w:nsid w:val="18E000AC"/>
    <w:multiLevelType w:val="multilevel"/>
    <w:tmpl w:val="0A84B9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E06EED"/>
    <w:multiLevelType w:val="multilevel"/>
    <w:tmpl w:val="9720239E"/>
    <w:lvl w:ilvl="0">
      <w:start w:val="1"/>
      <w:numFmt w:val="bullet"/>
      <w:lvlText w:val="●"/>
      <w:lvlJc w:val="left"/>
      <w:pPr>
        <w:ind w:left="709" w:hanging="357"/>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4" w15:restartNumberingAfterBreak="0">
    <w:nsid w:val="2D7B0FDB"/>
    <w:multiLevelType w:val="multilevel"/>
    <w:tmpl w:val="FF029F1C"/>
    <w:lvl w:ilvl="0">
      <w:start w:val="1"/>
      <w:numFmt w:val="bullet"/>
      <w:lvlText w:val="●"/>
      <w:lvlJc w:val="left"/>
      <w:pPr>
        <w:ind w:left="3621"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5BF194F"/>
    <w:multiLevelType w:val="multilevel"/>
    <w:tmpl w:val="4D3416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381FE2"/>
    <w:multiLevelType w:val="multilevel"/>
    <w:tmpl w:val="D0363D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A7D5100"/>
    <w:multiLevelType w:val="multilevel"/>
    <w:tmpl w:val="7CD0CA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7ED5EA0"/>
    <w:multiLevelType w:val="multilevel"/>
    <w:tmpl w:val="BF580C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88C4DC6"/>
    <w:multiLevelType w:val="multilevel"/>
    <w:tmpl w:val="C1CEB5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0DA43D1"/>
    <w:multiLevelType w:val="multilevel"/>
    <w:tmpl w:val="E5B4B470"/>
    <w:lvl w:ilvl="0">
      <w:start w:val="1"/>
      <w:numFmt w:val="bullet"/>
      <w:lvlText w:val="●"/>
      <w:lvlJc w:val="left"/>
      <w:pPr>
        <w:ind w:left="709" w:hanging="357"/>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11" w15:restartNumberingAfterBreak="0">
    <w:nsid w:val="62831830"/>
    <w:multiLevelType w:val="multilevel"/>
    <w:tmpl w:val="5596F6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DF93438"/>
    <w:multiLevelType w:val="multilevel"/>
    <w:tmpl w:val="1438F692"/>
    <w:lvl w:ilvl="0">
      <w:start w:val="1"/>
      <w:numFmt w:val="bullet"/>
      <w:lvlText w:val="●"/>
      <w:lvlJc w:val="left"/>
      <w:pPr>
        <w:ind w:left="560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CED74E0"/>
    <w:multiLevelType w:val="multilevel"/>
    <w:tmpl w:val="F0D481AE"/>
    <w:lvl w:ilvl="0">
      <w:start w:val="1"/>
      <w:numFmt w:val="bullet"/>
      <w:lvlText w:val="●"/>
      <w:lvlJc w:val="left"/>
      <w:pPr>
        <w:ind w:left="3621"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6"/>
  </w:num>
  <w:num w:numId="3">
    <w:abstractNumId w:val="13"/>
  </w:num>
  <w:num w:numId="4">
    <w:abstractNumId w:val="5"/>
  </w:num>
  <w:num w:numId="5">
    <w:abstractNumId w:val="10"/>
  </w:num>
  <w:num w:numId="6">
    <w:abstractNumId w:val="11"/>
  </w:num>
  <w:num w:numId="7">
    <w:abstractNumId w:val="1"/>
  </w:num>
  <w:num w:numId="8">
    <w:abstractNumId w:val="3"/>
  </w:num>
  <w:num w:numId="9">
    <w:abstractNumId w:val="8"/>
  </w:num>
  <w:num w:numId="10">
    <w:abstractNumId w:val="12"/>
  </w:num>
  <w:num w:numId="11">
    <w:abstractNumId w:val="2"/>
  </w:num>
  <w:num w:numId="12">
    <w:abstractNumId w:val="0"/>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323"/>
    <w:rsid w:val="002E0323"/>
    <w:rsid w:val="00A31B0F"/>
    <w:rsid w:val="00B17D35"/>
    <w:rsid w:val="00D21C89"/>
    <w:rsid w:val="00E179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4E335"/>
  <w15:docId w15:val="{1261804F-888C-4151-8D7A-628CFB651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AR" w:eastAsia="es-MX"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tabs>
        <w:tab w:val="left" w:pos="315"/>
        <w:tab w:val="left" w:pos="600"/>
        <w:tab w:val="left" w:pos="1020"/>
        <w:tab w:val="right" w:pos="7305"/>
        <w:tab w:val="right" w:pos="9075"/>
        <w:tab w:val="right" w:pos="9357"/>
      </w:tabs>
      <w:spacing w:line="360" w:lineRule="auto"/>
      <w:jc w:val="both"/>
      <w:outlineLvl w:val="1"/>
    </w:pPr>
    <w:rPr>
      <w:rFonts w:ascii="Times New Roman" w:eastAsia="Times New Roman" w:hAnsi="Times New Roman"/>
      <w:b/>
      <w:szCs w:val="24"/>
      <w:u w:val="single"/>
      <w:lang w:val="es-ES" w:eastAsia="es-AR"/>
    </w:rPr>
  </w:style>
  <w:style w:type="paragraph" w:styleId="Ttulo3">
    <w:name w:val="heading 3"/>
    <w:basedOn w:val="Normal"/>
    <w:next w:val="Normal"/>
    <w:uiPriority w:val="9"/>
    <w:semiHidden/>
    <w:unhideWhenUsed/>
    <w:qFormat/>
    <w:pPr>
      <w:keepNext/>
      <w:jc w:val="both"/>
      <w:outlineLvl w:val="2"/>
    </w:pPr>
    <w:rPr>
      <w:rFonts w:ascii="Times New Roman" w:eastAsia="Times New Roman" w:hAnsi="Times New Roman"/>
      <w:bCs/>
      <w:sz w:val="24"/>
      <w:szCs w:val="20"/>
      <w:u w:val="single"/>
      <w:lang w:val="es-ES"/>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2Car">
    <w:name w:val="Título 2 Car"/>
    <w:rPr>
      <w:rFonts w:ascii="Times New Roman" w:eastAsia="Times New Roman" w:hAnsi="Times New Roman"/>
      <w:b/>
      <w:w w:val="100"/>
      <w:position w:val="-1"/>
      <w:sz w:val="22"/>
      <w:szCs w:val="24"/>
      <w:u w:val="single"/>
      <w:effect w:val="none"/>
      <w:vertAlign w:val="baseline"/>
      <w:cs w:val="0"/>
      <w:em w:val="none"/>
      <w:lang w:val="es-ES" w:eastAsia="es-AR"/>
    </w:rPr>
  </w:style>
  <w:style w:type="character" w:customStyle="1" w:styleId="Ttulo3Car">
    <w:name w:val="Título 3 Car"/>
    <w:rPr>
      <w:rFonts w:ascii="Times New Roman" w:eastAsia="Times New Roman" w:hAnsi="Times New Roman"/>
      <w:bCs/>
      <w:w w:val="100"/>
      <w:position w:val="-1"/>
      <w:sz w:val="24"/>
      <w:u w:val="single"/>
      <w:effect w:val="none"/>
      <w:vertAlign w:val="baseline"/>
      <w:cs w:val="0"/>
      <w:em w:val="none"/>
      <w:lang w:val="es-ES" w:eastAsia="en-US"/>
    </w:rPr>
  </w:style>
  <w:style w:type="paragraph" w:styleId="Sangradetextonormal">
    <w:name w:val="Body Text Indent"/>
    <w:basedOn w:val="Normal"/>
    <w:pPr>
      <w:ind w:left="284"/>
    </w:pPr>
    <w:rPr>
      <w:rFonts w:ascii="Times New Roman" w:eastAsia="Times New Roman" w:hAnsi="Times New Roman"/>
      <w:sz w:val="24"/>
      <w:szCs w:val="20"/>
      <w:lang w:val="es-ES"/>
    </w:rPr>
  </w:style>
  <w:style w:type="character" w:customStyle="1" w:styleId="SangradetextonormalCar">
    <w:name w:val="Sangría de texto normal Car"/>
    <w:rPr>
      <w:rFonts w:ascii="Times New Roman" w:eastAsia="Times New Roman" w:hAnsi="Times New Roman"/>
      <w:w w:val="100"/>
      <w:position w:val="-1"/>
      <w:sz w:val="24"/>
      <w:effect w:val="none"/>
      <w:vertAlign w:val="baseline"/>
      <w:cs w:val="0"/>
      <w:em w:val="none"/>
      <w:lang w:eastAsia="en-US"/>
    </w:rPr>
  </w:style>
  <w:style w:type="paragraph" w:styleId="Textoindependiente2">
    <w:name w:val="Body Text 2"/>
    <w:basedOn w:val="Normal"/>
    <w:pPr>
      <w:jc w:val="both"/>
    </w:pPr>
    <w:rPr>
      <w:rFonts w:ascii="Times New Roman" w:eastAsia="Times New Roman" w:hAnsi="Times New Roman"/>
      <w:sz w:val="24"/>
      <w:szCs w:val="20"/>
      <w:lang w:val="es-ES"/>
    </w:rPr>
  </w:style>
  <w:style w:type="character" w:customStyle="1" w:styleId="Textoindependiente2Car">
    <w:name w:val="Texto independiente 2 Car"/>
    <w:rPr>
      <w:rFonts w:ascii="Times New Roman" w:eastAsia="Times New Roman" w:hAnsi="Times New Roman"/>
      <w:w w:val="100"/>
      <w:position w:val="-1"/>
      <w:sz w:val="24"/>
      <w:effect w:val="none"/>
      <w:vertAlign w:val="baseline"/>
      <w:cs w:val="0"/>
      <w:em w:val="none"/>
      <w:lang w:val="es-ES" w:eastAsia="en-US"/>
    </w:rPr>
  </w:style>
  <w:style w:type="paragraph" w:styleId="Textoindependiente">
    <w:name w:val="Body Text"/>
    <w:basedOn w:val="Normal"/>
    <w:qFormat/>
    <w:pPr>
      <w:spacing w:after="120"/>
    </w:pPr>
  </w:style>
  <w:style w:type="character" w:customStyle="1" w:styleId="TextoindependienteCar">
    <w:name w:val="Texto independiente Car"/>
    <w:rPr>
      <w:w w:val="100"/>
      <w:position w:val="-1"/>
      <w:sz w:val="22"/>
      <w:szCs w:val="22"/>
      <w:effect w:val="none"/>
      <w:vertAlign w:val="baseline"/>
      <w:cs w:val="0"/>
      <w:em w:val="none"/>
      <w:lang w:val="es-AR" w:eastAsia="en-US"/>
    </w:rPr>
  </w:style>
  <w:style w:type="paragraph" w:styleId="Textoindependienteprimerasangra">
    <w:name w:val="Body Text First Indent"/>
    <w:basedOn w:val="Textoindependiente"/>
    <w:qFormat/>
    <w:pPr>
      <w:ind w:firstLine="210"/>
    </w:pPr>
  </w:style>
  <w:style w:type="character" w:customStyle="1" w:styleId="TextoindependienteprimerasangraCar">
    <w:name w:val="Texto independiente primera sangría Car"/>
    <w:basedOn w:val="TextoindependienteCar"/>
    <w:rPr>
      <w:w w:val="100"/>
      <w:position w:val="-1"/>
      <w:sz w:val="22"/>
      <w:szCs w:val="22"/>
      <w:effect w:val="none"/>
      <w:vertAlign w:val="baseline"/>
      <w:cs w:val="0"/>
      <w:em w:val="none"/>
      <w:lang w:val="es-AR" w:eastAsia="en-US"/>
    </w:rPr>
  </w:style>
  <w:style w:type="paragraph" w:styleId="Textoindependienteprimerasangra2">
    <w:name w:val="Body Text First Indent 2"/>
    <w:basedOn w:val="Sangradetextonormal"/>
    <w:qFormat/>
    <w:pPr>
      <w:spacing w:after="120"/>
      <w:ind w:left="283" w:firstLine="210"/>
    </w:pPr>
    <w:rPr>
      <w:rFonts w:ascii="Calibri" w:eastAsia="Calibri" w:hAnsi="Calibri"/>
      <w:sz w:val="22"/>
      <w:szCs w:val="22"/>
      <w:lang w:val="es-AR"/>
    </w:rPr>
  </w:style>
  <w:style w:type="character" w:customStyle="1" w:styleId="Textoindependienteprimerasangra2Car">
    <w:name w:val="Texto independiente primera sangría 2 Car"/>
    <w:rPr>
      <w:rFonts w:ascii="Times New Roman" w:eastAsia="Times New Roman" w:hAnsi="Times New Roman"/>
      <w:w w:val="100"/>
      <w:position w:val="-1"/>
      <w:sz w:val="22"/>
      <w:szCs w:val="22"/>
      <w:effect w:val="none"/>
      <w:vertAlign w:val="baseline"/>
      <w:cs w:val="0"/>
      <w:em w:val="none"/>
      <w:lang w:val="es-AR" w:eastAsia="en-US"/>
    </w:rPr>
  </w:style>
  <w:style w:type="paragraph" w:styleId="Encabezado">
    <w:name w:val="header"/>
    <w:basedOn w:val="Normal"/>
    <w:qFormat/>
    <w:pPr>
      <w:tabs>
        <w:tab w:val="center" w:pos="4252"/>
        <w:tab w:val="right" w:pos="8504"/>
      </w:tabs>
      <w:jc w:val="both"/>
    </w:pPr>
  </w:style>
  <w:style w:type="character" w:customStyle="1" w:styleId="EncabezadoCar">
    <w:name w:val="Encabezado Car"/>
    <w:rPr>
      <w:w w:val="100"/>
      <w:position w:val="-1"/>
      <w:sz w:val="22"/>
      <w:szCs w:val="22"/>
      <w:effect w:val="none"/>
      <w:vertAlign w:val="baseline"/>
      <w:cs w:val="0"/>
      <w:em w:val="none"/>
      <w:lang w:eastAsia="en-US"/>
    </w:rPr>
  </w:style>
  <w:style w:type="paragraph" w:styleId="Piedepgina">
    <w:name w:val="footer"/>
    <w:basedOn w:val="Normal"/>
    <w:qFormat/>
    <w:pPr>
      <w:tabs>
        <w:tab w:val="center" w:pos="4252"/>
        <w:tab w:val="right" w:pos="8504"/>
      </w:tabs>
      <w:jc w:val="both"/>
    </w:pPr>
  </w:style>
  <w:style w:type="character" w:customStyle="1" w:styleId="PiedepginaCar">
    <w:name w:val="Pie de página Car"/>
    <w:rPr>
      <w:w w:val="100"/>
      <w:position w:val="-1"/>
      <w:sz w:val="22"/>
      <w:szCs w:val="22"/>
      <w:effect w:val="none"/>
      <w:vertAlign w:val="baseline"/>
      <w:cs w:val="0"/>
      <w:em w:val="none"/>
      <w:lang w:eastAsia="en-US"/>
    </w:rPr>
  </w:style>
  <w:style w:type="paragraph" w:styleId="Prrafodelista">
    <w:name w:val="List Paragraph"/>
    <w:basedOn w:val="Normal"/>
    <w:pPr>
      <w:spacing w:after="200" w:line="276" w:lineRule="auto"/>
      <w:ind w:left="720"/>
      <w:contextualSpacing/>
    </w:pPr>
  </w:style>
  <w:style w:type="paragraph" w:styleId="Lista2">
    <w:name w:val="List 2"/>
    <w:basedOn w:val="Normal"/>
    <w:pPr>
      <w:ind w:left="566" w:hanging="283"/>
    </w:pPr>
    <w:rPr>
      <w:rFonts w:ascii="Times New Roman" w:eastAsia="Times New Roman" w:hAnsi="Times New Roman"/>
      <w:sz w:val="24"/>
      <w:szCs w:val="24"/>
      <w:lang w:eastAsia="es-MX"/>
    </w:rPr>
  </w:style>
  <w:style w:type="paragraph" w:styleId="Continuarlista2">
    <w:name w:val="List Continue 2"/>
    <w:basedOn w:val="Normal"/>
    <w:pPr>
      <w:spacing w:after="120"/>
      <w:ind w:left="566"/>
    </w:pPr>
    <w:rPr>
      <w:rFonts w:ascii="Times New Roman" w:eastAsia="Times New Roman" w:hAnsi="Times New Roman"/>
      <w:sz w:val="24"/>
      <w:szCs w:val="24"/>
      <w:lang w:eastAsia="es-MX"/>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sz w:val="24"/>
      <w:szCs w:val="24"/>
      <w:lang w:eastAsia="en-US"/>
    </w:rPr>
  </w:style>
  <w:style w:type="character" w:styleId="Hipervnculo">
    <w:name w:val="Hyperlink"/>
    <w:qFormat/>
    <w:rPr>
      <w:color w:val="0000FF"/>
      <w:w w:val="100"/>
      <w:position w:val="-1"/>
      <w:u w:val="single"/>
      <w:effect w:val="none"/>
      <w:vertAlign w:val="baseline"/>
      <w:cs w:val="0"/>
      <w:em w:val="none"/>
    </w:rPr>
  </w:style>
  <w:style w:type="paragraph" w:customStyle="1" w:styleId="0-Texto">
    <w:name w:val="0 - Texto"/>
    <w:pPr>
      <w:tabs>
        <w:tab w:val="left" w:pos="708"/>
        <w:tab w:val="left" w:pos="1416"/>
        <w:tab w:val="left" w:pos="2124"/>
        <w:tab w:val="left" w:pos="2832"/>
        <w:tab w:val="left" w:pos="3540"/>
        <w:tab w:val="left" w:pos="4248"/>
        <w:tab w:val="left" w:pos="4956"/>
        <w:tab w:val="left" w:pos="6564"/>
      </w:tabs>
      <w:suppressAutoHyphens/>
      <w:autoSpaceDE w:val="0"/>
      <w:autoSpaceDN w:val="0"/>
      <w:adjustRightInd w:val="0"/>
      <w:spacing w:line="276" w:lineRule="auto"/>
      <w:ind w:leftChars="-1" w:left="-1" w:hangingChars="1"/>
      <w:jc w:val="both"/>
      <w:textDirection w:val="btLr"/>
      <w:textAlignment w:val="top"/>
      <w:outlineLvl w:val="0"/>
    </w:pPr>
    <w:rPr>
      <w:rFonts w:ascii="Arial" w:eastAsia="Times New Roman" w:hAnsi="Arial" w:cs="Courier New"/>
      <w:bCs/>
      <w:position w:val="-1"/>
    </w:rPr>
  </w:style>
  <w:style w:type="paragraph" w:styleId="Textodeglobo">
    <w:name w:val="Balloon Text"/>
    <w:basedOn w:val="Normal"/>
    <w:qFormat/>
    <w:pPr>
      <w:jc w:val="both"/>
    </w:pPr>
    <w:rPr>
      <w:rFonts w:ascii="Tahoma" w:hAnsi="Tahoma"/>
      <w:sz w:val="16"/>
      <w:szCs w:val="16"/>
      <w:lang w:val="es-ES"/>
    </w:rPr>
  </w:style>
  <w:style w:type="character" w:customStyle="1" w:styleId="TextodegloboCar">
    <w:name w:val="Texto de globo Car"/>
    <w:rPr>
      <w:rFonts w:ascii="Tahoma" w:hAnsi="Tahoma"/>
      <w:w w:val="100"/>
      <w:position w:val="-1"/>
      <w:sz w:val="16"/>
      <w:szCs w:val="16"/>
      <w:effect w:val="none"/>
      <w:vertAlign w:val="baseline"/>
      <w:cs w:val="0"/>
      <w:em w:val="none"/>
      <w:lang w:eastAsia="en-US"/>
    </w:rPr>
  </w:style>
  <w:style w:type="character" w:customStyle="1" w:styleId="apple-style-span">
    <w:name w:val="apple-style-span"/>
    <w:rPr>
      <w:w w:val="100"/>
      <w:position w:val="-1"/>
      <w:effect w:val="none"/>
      <w:vertAlign w:val="baseline"/>
      <w:cs w:val="0"/>
      <w:em w:val="none"/>
    </w:rPr>
  </w:style>
  <w:style w:type="numbering" w:customStyle="1" w:styleId="Sinlista1">
    <w:name w:val="Sin lista1"/>
    <w:next w:val="Sinlista"/>
    <w:qFormat/>
  </w:style>
  <w:style w:type="character" w:customStyle="1" w:styleId="apple-converted-space">
    <w:name w:val="apple-converted-space"/>
    <w:rPr>
      <w:w w:val="100"/>
      <w:position w:val="-1"/>
      <w:effect w:val="none"/>
      <w:vertAlign w:val="baseline"/>
      <w:cs w:val="0"/>
      <w:em w:val="none"/>
    </w:rPr>
  </w:style>
  <w:style w:type="paragraph" w:styleId="NormalWeb">
    <w:name w:val="Normal (Web)"/>
    <w:basedOn w:val="Normal"/>
    <w:qFormat/>
    <w:pPr>
      <w:spacing w:before="100" w:beforeAutospacing="1" w:after="100" w:afterAutospacing="1"/>
    </w:pPr>
    <w:rPr>
      <w:rFonts w:ascii="Times New Roman" w:eastAsia="Times New Roman" w:hAnsi="Times New Roman"/>
      <w:sz w:val="24"/>
      <w:szCs w:val="24"/>
      <w:lang w:val="en-US"/>
    </w:rPr>
  </w:style>
  <w:style w:type="numbering" w:customStyle="1" w:styleId="Sinlista2">
    <w:name w:val="Sin lista2"/>
    <w:next w:val="Sinlista"/>
    <w:qFormat/>
  </w:style>
  <w:style w:type="numbering" w:customStyle="1" w:styleId="Sinlista3">
    <w:name w:val="Sin lista3"/>
    <w:next w:val="Sinlista"/>
    <w:qFormat/>
  </w:style>
  <w:style w:type="paragraph" w:customStyle="1" w:styleId="parrafo">
    <w:name w:val="parrafo"/>
    <w:basedOn w:val="Normal"/>
    <w:pPr>
      <w:spacing w:before="100" w:beforeAutospacing="1" w:after="100" w:afterAutospacing="1"/>
    </w:pPr>
    <w:rPr>
      <w:rFonts w:ascii="Times New Roman" w:eastAsia="Times New Roman" w:hAnsi="Times New Roman"/>
      <w:sz w:val="24"/>
      <w:szCs w:val="24"/>
      <w:lang w:eastAsia="es-AR"/>
    </w:rPr>
  </w:style>
  <w:style w:type="paragraph" w:styleId="Revisin">
    <w:name w:val="Revision"/>
    <w:pPr>
      <w:suppressAutoHyphens/>
      <w:spacing w:line="1" w:lineRule="atLeast"/>
      <w:ind w:leftChars="-1" w:left="-1" w:hangingChars="1"/>
      <w:textDirection w:val="btLr"/>
      <w:textAlignment w:val="top"/>
      <w:outlineLvl w:val="0"/>
    </w:pPr>
    <w:rPr>
      <w:position w:val="-1"/>
      <w:lang w:eastAsia="en-US"/>
    </w:rPr>
  </w:style>
  <w:style w:type="paragraph" w:customStyle="1" w:styleId="element">
    <w:name w:val="element"/>
    <w:basedOn w:val="Normal"/>
    <w:pPr>
      <w:spacing w:before="100" w:beforeAutospacing="1" w:after="100" w:afterAutospacing="1"/>
    </w:pPr>
    <w:rPr>
      <w:rFonts w:ascii="Times New Roman" w:eastAsia="Times New Roman" w:hAnsi="Times New Roman"/>
      <w:sz w:val="24"/>
      <w:szCs w:val="24"/>
      <w:lang w:eastAsia="es-AR"/>
    </w:rPr>
  </w:style>
  <w:style w:type="character" w:styleId="Textoennegrita">
    <w:name w:val="Strong"/>
    <w:rPr>
      <w:b/>
      <w:bCs/>
      <w:w w:val="100"/>
      <w:position w:val="-1"/>
      <w:effect w:val="none"/>
      <w:vertAlign w:val="baseline"/>
      <w:cs w:val="0"/>
      <w:em w:val="none"/>
    </w:rPr>
  </w:style>
  <w:style w:type="table" w:styleId="Tablaconcuadrcula">
    <w:name w:val="Table Grid"/>
    <w:basedOn w:val="Tablanormal"/>
    <w:uiPriority w:val="39"/>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rPr>
      <w:sz w:val="20"/>
      <w:szCs w:val="20"/>
    </w:rPr>
  </w:style>
  <w:style w:type="character" w:customStyle="1" w:styleId="TextocomentarioCar">
    <w:name w:val="Texto comentario Car"/>
    <w:rPr>
      <w:w w:val="100"/>
      <w:position w:val="-1"/>
      <w:effect w:val="none"/>
      <w:vertAlign w:val="baseline"/>
      <w:cs w:val="0"/>
      <w:em w:val="none"/>
      <w:lang w:eastAsia="en-US"/>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b/>
      <w:bCs/>
      <w:w w:val="100"/>
      <w:position w:val="-1"/>
      <w:effect w:val="none"/>
      <w:vertAlign w:val="baseline"/>
      <w:cs w:val="0"/>
      <w:em w:val="none"/>
      <w:lang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matbarofex.com.ar/documentos/prensa/reporte-de-sustentabilidad-2019" TargetMode="External"/><Relationship Id="rId13" Type="http://schemas.openxmlformats.org/officeDocument/2006/relationships/hyperlink" Target="mailto:inversor@matbarofex.com.ar" TargetMode="External"/><Relationship Id="rId18" Type="http://schemas.openxmlformats.org/officeDocument/2006/relationships/hyperlink" Target="http://www.matbarofex.com.ar"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inversor@matbarofex.com.ar" TargetMode="External"/><Relationship Id="rId17" Type="http://schemas.openxmlformats.org/officeDocument/2006/relationships/hyperlink" Target="http://www.matbarofex.com.ar" TargetMode="External"/><Relationship Id="rId2" Type="http://schemas.openxmlformats.org/officeDocument/2006/relationships/numbering" Target="numbering.xml"/><Relationship Id="rId16" Type="http://schemas.openxmlformats.org/officeDocument/2006/relationships/hyperlink" Target="mailto:inversor@matbarofex.com.a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matbarofex.com.ar/documentos/legales/politica-de-honorarios-de-las-autoridades" TargetMode="External"/><Relationship Id="rId5" Type="http://schemas.openxmlformats.org/officeDocument/2006/relationships/webSettings" Target="webSettings.xml"/><Relationship Id="rId15" Type="http://schemas.openxmlformats.org/officeDocument/2006/relationships/hyperlink" Target="http://www.matbarofex.com.ar" TargetMode="External"/><Relationship Id="rId10" Type="http://schemas.openxmlformats.org/officeDocument/2006/relationships/hyperlink" Target="https://www.matbarofex.com.ar/documentos/legales/politica-de-distribucion-de-dividendo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tbarofex.com.ar/sobre-nosotros/gobierno-societario" TargetMode="External"/><Relationship Id="rId14" Type="http://schemas.openxmlformats.org/officeDocument/2006/relationships/hyperlink" Target="mailto:inversor@matbarofex.com.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2NGHcmIRnGzrGIiDSyRDVCC5QA==">AMUW2mWpeyrSdGea1N+JspQAv+dyuSc4WhMQjBvkud8pzEJS04sUfHCD9zXhzp6sAUXClnzlFF4yu++6b47DeUFlnylCN5UCv8rmKDwAHiNEZ/W8gIHwwxpHxgii/GmW7/n9IsHUFNwMGGeJqNerDapvPJ8jyF/cQ68CY3MyRjQxMODQ5xNYlDwJ3H654PZ6/gKzJNfXhmeQe78q+WQU67YInsiGVrnnIA==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34</Pages>
  <Words>16591</Words>
  <Characters>91254</Characters>
  <Application>Microsoft Office Word</Application>
  <DocSecurity>0</DocSecurity>
  <Lines>760</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MATba - Viviana Rozic</dc:creator>
  <cp:lastModifiedBy>Gaby</cp:lastModifiedBy>
  <cp:revision>4</cp:revision>
  <dcterms:created xsi:type="dcterms:W3CDTF">2019-09-02T20:11:00Z</dcterms:created>
  <dcterms:modified xsi:type="dcterms:W3CDTF">2020-09-08T17:00:00Z</dcterms:modified>
</cp:coreProperties>
</file>