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A085A" w14:textId="77777777" w:rsidR="00D17F9D" w:rsidRDefault="00AD31CA">
      <w:pPr>
        <w:pBdr>
          <w:top w:val="nil"/>
          <w:left w:val="nil"/>
          <w:bottom w:val="nil"/>
          <w:right w:val="nil"/>
          <w:between w:val="nil"/>
        </w:pBdr>
        <w:spacing w:line="240" w:lineRule="auto"/>
        <w:ind w:left="0" w:hanging="2"/>
        <w:jc w:val="center"/>
        <w:rPr>
          <w:color w:val="000000"/>
          <w:sz w:val="24"/>
          <w:szCs w:val="24"/>
        </w:rPr>
      </w:pPr>
      <w:r>
        <w:rPr>
          <w:b/>
          <w:color w:val="000000"/>
          <w:sz w:val="24"/>
          <w:szCs w:val="24"/>
          <w:u w:val="single"/>
        </w:rPr>
        <w:t xml:space="preserve">Acta de Directorio de Matba Rofex </w:t>
      </w:r>
      <w:proofErr w:type="spellStart"/>
      <w:r>
        <w:rPr>
          <w:b/>
          <w:color w:val="000000"/>
          <w:sz w:val="24"/>
          <w:szCs w:val="24"/>
          <w:u w:val="single"/>
        </w:rPr>
        <w:t>N°</w:t>
      </w:r>
      <w:proofErr w:type="spellEnd"/>
      <w:r>
        <w:rPr>
          <w:b/>
          <w:color w:val="000000"/>
          <w:sz w:val="24"/>
          <w:szCs w:val="24"/>
          <w:u w:val="single"/>
        </w:rPr>
        <w:t xml:space="preserve"> </w:t>
      </w:r>
      <w:r>
        <w:rPr>
          <w:b/>
          <w:sz w:val="24"/>
          <w:szCs w:val="24"/>
          <w:u w:val="single"/>
        </w:rPr>
        <w:t>51</w:t>
      </w:r>
    </w:p>
    <w:p w14:paraId="4AFF53F7" w14:textId="77777777" w:rsidR="00D17F9D" w:rsidRDefault="00D17F9D">
      <w:pPr>
        <w:spacing w:line="240" w:lineRule="auto"/>
        <w:ind w:left="0" w:hanging="2"/>
        <w:jc w:val="both"/>
        <w:rPr>
          <w:color w:val="000000"/>
          <w:sz w:val="24"/>
          <w:szCs w:val="24"/>
        </w:rPr>
      </w:pPr>
    </w:p>
    <w:p w14:paraId="4044FA74" w14:textId="0577EFCE" w:rsidR="00D17F9D" w:rsidRDefault="00AD31CA">
      <w:pPr>
        <w:spacing w:line="240" w:lineRule="auto"/>
        <w:ind w:left="0" w:hanging="2"/>
        <w:jc w:val="both"/>
        <w:rPr>
          <w:color w:val="000000"/>
          <w:sz w:val="24"/>
          <w:szCs w:val="24"/>
        </w:rPr>
      </w:pPr>
      <w:r>
        <w:rPr>
          <w:color w:val="000000"/>
          <w:sz w:val="24"/>
          <w:szCs w:val="24"/>
        </w:rPr>
        <w:t xml:space="preserve">En la ciudad de Rosario, a </w:t>
      </w:r>
      <w:r>
        <w:rPr>
          <w:sz w:val="24"/>
          <w:szCs w:val="24"/>
        </w:rPr>
        <w:t xml:space="preserve">6 </w:t>
      </w:r>
      <w:r>
        <w:rPr>
          <w:color w:val="000000"/>
          <w:sz w:val="24"/>
          <w:szCs w:val="24"/>
        </w:rPr>
        <w:t>días del mes de septiembre de 202</w:t>
      </w:r>
      <w:r>
        <w:rPr>
          <w:sz w:val="24"/>
          <w:szCs w:val="24"/>
        </w:rPr>
        <w:t>1</w:t>
      </w:r>
      <w:r>
        <w:rPr>
          <w:color w:val="000000"/>
          <w:sz w:val="24"/>
          <w:szCs w:val="24"/>
        </w:rPr>
        <w:t xml:space="preserve">, </w:t>
      </w:r>
      <w:r>
        <w:rPr>
          <w:sz w:val="24"/>
          <w:szCs w:val="24"/>
        </w:rPr>
        <w:t xml:space="preserve">reunidos los señores Directores Titulares, Andrés Emilio Ponte y Marcelo José Rossi y el Sr. Miembro Titular de la Comisión Fiscalizadora Enrique Mario Lingua, como asimismo, los Sres. Marcos Andrés Hermansson, Francisco Javier María Fernández Candia, Luis Alberto Herrera, Ignacio María Bosch, Alfredo Rubén Conde, Juan Fabricio Silvestri, Ricardo Daniel Marra, </w:t>
      </w:r>
      <w:r w:rsidR="00B82427">
        <w:rPr>
          <w:sz w:val="24"/>
          <w:szCs w:val="24"/>
        </w:rPr>
        <w:t>Sebastián</w:t>
      </w:r>
      <w:r>
        <w:rPr>
          <w:sz w:val="24"/>
          <w:szCs w:val="24"/>
        </w:rPr>
        <w:t xml:space="preserve"> Bravo, Gustavo C. Cortona y Gabriela Susana Facciano, directores titulares que asisten a la presente reunión “a distancia”; de conformidad con lo estipulado en el art. 14 del Estatuto Social, y conforme la autorización conferida en el Acta de Directorio </w:t>
      </w:r>
      <w:proofErr w:type="spellStart"/>
      <w:r>
        <w:rPr>
          <w:sz w:val="24"/>
          <w:szCs w:val="24"/>
        </w:rPr>
        <w:t>N°</w:t>
      </w:r>
      <w:proofErr w:type="spellEnd"/>
      <w:r>
        <w:rPr>
          <w:sz w:val="24"/>
          <w:szCs w:val="24"/>
        </w:rPr>
        <w:t xml:space="preserve"> 27, el Sr. Tesorero firmará en sus nombres el presente acta. Asimismo, asiste a “distancia” los  Sres. miembros de la Comisión Fiscalizadora José María Ibarbia y Jimena </w:t>
      </w:r>
      <w:proofErr w:type="spellStart"/>
      <w:r>
        <w:rPr>
          <w:sz w:val="24"/>
          <w:szCs w:val="24"/>
        </w:rPr>
        <w:t>Riggio</w:t>
      </w:r>
      <w:proofErr w:type="spellEnd"/>
      <w:r>
        <w:rPr>
          <w:sz w:val="24"/>
          <w:szCs w:val="24"/>
        </w:rPr>
        <w:t xml:space="preserve"> y conforme la autorización conferida en el Acta de Comisión Fiscalizadora N°15 el Sr. Enrique Mario Lingua, firmará la presente acta. Siendo las 16 horas se abre la sesión, para tratar los siguientes puntos:</w:t>
      </w:r>
    </w:p>
    <w:p w14:paraId="3149182C" w14:textId="77777777" w:rsidR="00D17F9D" w:rsidRDefault="00AD31CA">
      <w:pPr>
        <w:spacing w:line="240" w:lineRule="auto"/>
        <w:ind w:left="0" w:hanging="2"/>
        <w:jc w:val="both"/>
        <w:rPr>
          <w:sz w:val="24"/>
          <w:szCs w:val="24"/>
        </w:rPr>
      </w:pPr>
      <w:r>
        <w:rPr>
          <w:b/>
          <w:sz w:val="24"/>
          <w:szCs w:val="24"/>
        </w:rPr>
        <w:t>………………………………………………………………………………………………………………………………………..</w:t>
      </w:r>
    </w:p>
    <w:p w14:paraId="54575EA4" w14:textId="77777777" w:rsidR="00D17F9D" w:rsidRDefault="00AD31CA">
      <w:pPr>
        <w:spacing w:line="240" w:lineRule="auto"/>
        <w:ind w:left="0" w:right="51" w:hanging="2"/>
        <w:jc w:val="both"/>
        <w:rPr>
          <w:sz w:val="24"/>
          <w:szCs w:val="24"/>
        </w:rPr>
      </w:pPr>
      <w:bookmarkStart w:id="0" w:name="_heading=h.g8qzg21pn1rp" w:colFirst="0" w:colLast="0"/>
      <w:bookmarkEnd w:id="0"/>
      <w:r>
        <w:rPr>
          <w:b/>
          <w:sz w:val="24"/>
          <w:szCs w:val="24"/>
        </w:rPr>
        <w:t xml:space="preserve">Convocatoria a Asamblea Ordinaria. </w:t>
      </w:r>
      <w:r>
        <w:rPr>
          <w:sz w:val="24"/>
          <w:szCs w:val="24"/>
        </w:rPr>
        <w:t>El Directorio resolvió que se realice la Convocatoria a Asamblea General Ordinaria en los siguientes términos:</w:t>
      </w:r>
    </w:p>
    <w:p w14:paraId="75BFD227" w14:textId="77777777" w:rsidR="00AD31CA" w:rsidRPr="00AD31CA" w:rsidRDefault="00AD31CA" w:rsidP="00AD31CA">
      <w:pPr>
        <w:pStyle w:val="NormalWeb"/>
        <w:spacing w:before="0" w:beforeAutospacing="0" w:after="0" w:afterAutospacing="0"/>
        <w:ind w:left="0" w:right="29" w:hanging="2"/>
        <w:jc w:val="center"/>
        <w:rPr>
          <w:position w:val="0"/>
          <w:lang w:val="es-AR" w:eastAsia="es-AR"/>
        </w:rPr>
      </w:pPr>
      <w:r w:rsidRPr="00AD31CA">
        <w:rPr>
          <w:b/>
          <w:lang w:val="es-AR"/>
        </w:rPr>
        <w:t>“</w:t>
      </w:r>
      <w:r w:rsidRPr="00AD31CA">
        <w:rPr>
          <w:rFonts w:ascii="Calibri" w:hAnsi="Calibri"/>
          <w:b/>
          <w:bCs/>
          <w:color w:val="000000"/>
          <w:lang w:val="es-AR"/>
        </w:rPr>
        <w:t>MATBA ROFEX S.A.</w:t>
      </w:r>
    </w:p>
    <w:p w14:paraId="5AEE1123" w14:textId="77777777" w:rsidR="00AD31CA" w:rsidRPr="00AD31CA" w:rsidRDefault="00AD31CA" w:rsidP="00AD31CA">
      <w:pPr>
        <w:pStyle w:val="NormalWeb"/>
        <w:spacing w:before="0" w:beforeAutospacing="0" w:after="0" w:afterAutospacing="0"/>
        <w:ind w:left="0" w:right="29" w:hanging="2"/>
        <w:jc w:val="center"/>
        <w:rPr>
          <w:lang w:val="es-AR"/>
        </w:rPr>
      </w:pPr>
      <w:r w:rsidRPr="00AD31CA">
        <w:rPr>
          <w:rFonts w:ascii="Calibri" w:hAnsi="Calibri"/>
          <w:b/>
          <w:bCs/>
          <w:color w:val="000000"/>
          <w:lang w:val="es-AR"/>
        </w:rPr>
        <w:t>CONVOCATORIA </w:t>
      </w:r>
    </w:p>
    <w:p w14:paraId="7A144600" w14:textId="77777777" w:rsidR="00AD31CA" w:rsidRPr="00AD31CA" w:rsidRDefault="00AD31CA" w:rsidP="00AD31CA">
      <w:pPr>
        <w:pStyle w:val="NormalWeb"/>
        <w:spacing w:before="0" w:beforeAutospacing="0" w:after="0" w:afterAutospacing="0"/>
        <w:ind w:left="0" w:right="29" w:hanging="2"/>
        <w:jc w:val="both"/>
        <w:rPr>
          <w:lang w:val="es-AR"/>
        </w:rPr>
      </w:pPr>
      <w:r w:rsidRPr="00AD31CA">
        <w:rPr>
          <w:rFonts w:ascii="Calibri" w:hAnsi="Calibri"/>
          <w:color w:val="000000"/>
          <w:lang w:val="es-AR"/>
        </w:rPr>
        <w:t xml:space="preserve">De acuerdo con lo resuelto por el Directorio y con lo dispuesto en los artículos 40, 42 y 44 del Estatuto y 234, 237 y concordantes de la Ley General de Sociedades </w:t>
      </w:r>
      <w:proofErr w:type="spellStart"/>
      <w:r w:rsidRPr="00AD31CA">
        <w:rPr>
          <w:rFonts w:ascii="Calibri" w:hAnsi="Calibri"/>
          <w:color w:val="000000"/>
          <w:lang w:val="es-AR"/>
        </w:rPr>
        <w:t>Nº</w:t>
      </w:r>
      <w:proofErr w:type="spellEnd"/>
      <w:r w:rsidRPr="00AD31CA">
        <w:rPr>
          <w:rFonts w:ascii="Calibri" w:hAnsi="Calibri"/>
          <w:color w:val="000000"/>
          <w:lang w:val="es-AR"/>
        </w:rPr>
        <w:t xml:space="preserve"> 19.550, y la Resolución General CNV </w:t>
      </w:r>
      <w:proofErr w:type="spellStart"/>
      <w:r w:rsidRPr="00AD31CA">
        <w:rPr>
          <w:rFonts w:ascii="Calibri" w:hAnsi="Calibri"/>
          <w:color w:val="000000"/>
          <w:lang w:val="es-AR"/>
        </w:rPr>
        <w:t>N°</w:t>
      </w:r>
      <w:proofErr w:type="spellEnd"/>
      <w:r w:rsidRPr="00AD31CA">
        <w:rPr>
          <w:rFonts w:ascii="Calibri" w:hAnsi="Calibri"/>
          <w:color w:val="000000"/>
          <w:lang w:val="es-AR"/>
        </w:rPr>
        <w:t xml:space="preserve"> 830/2020 que permite que las sociedades emisoras puedan celebrar Asambleas a distancia, como consecuencia del estado de emergencia sanitaria establecido en virtud del Decreto de Necesidad y Urgencia </w:t>
      </w:r>
      <w:proofErr w:type="spellStart"/>
      <w:r w:rsidRPr="00AD31CA">
        <w:rPr>
          <w:rFonts w:ascii="Calibri" w:hAnsi="Calibri"/>
          <w:color w:val="000000"/>
          <w:lang w:val="es-AR"/>
        </w:rPr>
        <w:t>N°</w:t>
      </w:r>
      <w:proofErr w:type="spellEnd"/>
      <w:r w:rsidRPr="00AD31CA">
        <w:rPr>
          <w:rFonts w:ascii="Calibri" w:hAnsi="Calibri"/>
          <w:color w:val="000000"/>
          <w:lang w:val="es-AR"/>
        </w:rPr>
        <w:t xml:space="preserve"> 297/2020 y normas sucesivas del Poder Ejecutivo Nacional, se convoca a los señores accionistas a Asamblea General Ordinaria, en Primera Convocatoria, que tendrá lugar el día 7 de octubre de 2021 a las 17:00 </w:t>
      </w:r>
      <w:proofErr w:type="spellStart"/>
      <w:r w:rsidRPr="00AD31CA">
        <w:rPr>
          <w:rFonts w:ascii="Calibri" w:hAnsi="Calibri"/>
          <w:color w:val="000000"/>
          <w:lang w:val="es-AR"/>
        </w:rPr>
        <w:t>hs</w:t>
      </w:r>
      <w:proofErr w:type="spellEnd"/>
      <w:r w:rsidRPr="00AD31CA">
        <w:rPr>
          <w:rFonts w:ascii="Calibri" w:hAnsi="Calibri"/>
          <w:color w:val="000000"/>
          <w:lang w:val="es-AR"/>
        </w:rPr>
        <w:t xml:space="preserve">. y a las 18:00 </w:t>
      </w:r>
      <w:proofErr w:type="spellStart"/>
      <w:r w:rsidRPr="00AD31CA">
        <w:rPr>
          <w:rFonts w:ascii="Calibri" w:hAnsi="Calibri"/>
          <w:color w:val="000000"/>
          <w:lang w:val="es-AR"/>
        </w:rPr>
        <w:t>hs</w:t>
      </w:r>
      <w:proofErr w:type="spellEnd"/>
      <w:r w:rsidRPr="00AD31CA">
        <w:rPr>
          <w:rFonts w:ascii="Calibri" w:hAnsi="Calibri"/>
          <w:color w:val="000000"/>
          <w:lang w:val="es-AR"/>
        </w:rPr>
        <w:t>. en Segunda Convocatoria, en Paraguay 755, Rosario, Provincia de Santa Fe (que no constituye la sede social); o, en caso de continuar el estado de emergencia sanitaria, a celebrarse a través del sistema de videoconferencia “Zoom” -o en su defecto alguna herramienta similar- que permite la transmisión simultánea de sonido, imágenes y palabras en el transcurso de toda la reunión, así como su grabación en soporte digital, a fin de tratar el siguiente:</w:t>
      </w:r>
    </w:p>
    <w:p w14:paraId="76CE697B" w14:textId="77777777" w:rsidR="00AD31CA" w:rsidRPr="00AD31CA" w:rsidRDefault="00AD31CA" w:rsidP="00AD31CA">
      <w:pPr>
        <w:pStyle w:val="NormalWeb"/>
        <w:spacing w:before="0" w:beforeAutospacing="0" w:after="0" w:afterAutospacing="0"/>
        <w:ind w:left="0" w:right="29" w:hanging="2"/>
        <w:jc w:val="center"/>
        <w:rPr>
          <w:lang w:val="es-AR"/>
        </w:rPr>
      </w:pPr>
      <w:r w:rsidRPr="00AD31CA">
        <w:rPr>
          <w:rFonts w:ascii="Calibri" w:hAnsi="Calibri"/>
          <w:b/>
          <w:bCs/>
          <w:color w:val="000000"/>
          <w:lang w:val="es-AR"/>
        </w:rPr>
        <w:t>ORDEN DEL DIA</w:t>
      </w:r>
    </w:p>
    <w:p w14:paraId="67B17AB5" w14:textId="77777777" w:rsidR="00AD31CA" w:rsidRPr="00AD31CA" w:rsidRDefault="00AD31CA" w:rsidP="00AD31CA">
      <w:pPr>
        <w:pStyle w:val="NormalWeb"/>
        <w:spacing w:before="0" w:beforeAutospacing="0" w:after="0" w:afterAutospacing="0"/>
        <w:ind w:left="0" w:right="29" w:hanging="2"/>
        <w:jc w:val="both"/>
        <w:rPr>
          <w:lang w:val="es-AR"/>
        </w:rPr>
      </w:pPr>
      <w:r w:rsidRPr="00AD31CA">
        <w:rPr>
          <w:rFonts w:ascii="Calibri" w:hAnsi="Calibri"/>
          <w:color w:val="000000"/>
          <w:lang w:val="es-AR"/>
        </w:rPr>
        <w:t xml:space="preserve">1º) Consideración de la celebración de la Asamblea a distancia de acuerdo con lo dispuesto por la Resolución CNV </w:t>
      </w:r>
      <w:proofErr w:type="spellStart"/>
      <w:r w:rsidRPr="00AD31CA">
        <w:rPr>
          <w:rFonts w:ascii="Calibri" w:hAnsi="Calibri"/>
          <w:color w:val="000000"/>
          <w:lang w:val="es-AR"/>
        </w:rPr>
        <w:t>N°</w:t>
      </w:r>
      <w:proofErr w:type="spellEnd"/>
      <w:r w:rsidRPr="00AD31CA">
        <w:rPr>
          <w:rFonts w:ascii="Calibri" w:hAnsi="Calibri"/>
          <w:color w:val="000000"/>
          <w:lang w:val="es-AR"/>
        </w:rPr>
        <w:t xml:space="preserve"> 830/2020.</w:t>
      </w:r>
    </w:p>
    <w:p w14:paraId="1EBD68AB" w14:textId="77777777" w:rsidR="00AD31CA" w:rsidRPr="00AD31CA" w:rsidRDefault="00AD31CA" w:rsidP="00AD31CA">
      <w:pPr>
        <w:pStyle w:val="NormalWeb"/>
        <w:spacing w:before="0" w:beforeAutospacing="0" w:after="0" w:afterAutospacing="0"/>
        <w:ind w:left="0" w:right="29" w:hanging="2"/>
        <w:jc w:val="both"/>
        <w:rPr>
          <w:lang w:val="es-AR"/>
        </w:rPr>
      </w:pPr>
      <w:r w:rsidRPr="00AD31CA">
        <w:rPr>
          <w:rFonts w:ascii="Calibri" w:hAnsi="Calibri"/>
          <w:color w:val="000000"/>
          <w:lang w:val="es-AR"/>
        </w:rPr>
        <w:t>2°) Designación de dos accionistas (artículo 46 del Estatuto) para que, en representación de la Asamblea suscriban y aprueben el acta y ejerzan la función de escrutadores.</w:t>
      </w:r>
    </w:p>
    <w:p w14:paraId="636525B6" w14:textId="77777777" w:rsidR="00AD31CA" w:rsidRPr="00AD31CA" w:rsidRDefault="00AD31CA" w:rsidP="00AD31CA">
      <w:pPr>
        <w:pStyle w:val="NormalWeb"/>
        <w:spacing w:before="0" w:beforeAutospacing="0" w:after="0" w:afterAutospacing="0"/>
        <w:ind w:left="0" w:right="29" w:hanging="2"/>
        <w:jc w:val="both"/>
        <w:rPr>
          <w:lang w:val="es-AR"/>
        </w:rPr>
      </w:pPr>
      <w:r w:rsidRPr="00AD31CA">
        <w:rPr>
          <w:rFonts w:ascii="Calibri" w:hAnsi="Calibri"/>
          <w:color w:val="000000"/>
          <w:lang w:val="es-AR"/>
        </w:rPr>
        <w:t xml:space="preserve">3º) Consideración de la documentación prevista en el artículo 234 inciso 1°) de la Ley General de Sociedades </w:t>
      </w:r>
      <w:proofErr w:type="spellStart"/>
      <w:r w:rsidRPr="00AD31CA">
        <w:rPr>
          <w:rFonts w:ascii="Calibri" w:hAnsi="Calibri"/>
          <w:color w:val="000000"/>
          <w:lang w:val="es-AR"/>
        </w:rPr>
        <w:t>Nº</w:t>
      </w:r>
      <w:proofErr w:type="spellEnd"/>
      <w:r w:rsidRPr="00AD31CA">
        <w:rPr>
          <w:rFonts w:ascii="Calibri" w:hAnsi="Calibri"/>
          <w:color w:val="000000"/>
          <w:lang w:val="es-AR"/>
        </w:rPr>
        <w:t xml:space="preserve"> 19.550. Tratamiento partidas originadas en adquisición de tenencias en subsidiarias. Consideración de la gestión del Directorio y Gerente General conforme lo requerido por el artículo 275 de dicha Ley y consideración de la gestión de la </w:t>
      </w:r>
      <w:r w:rsidRPr="00AD31CA">
        <w:rPr>
          <w:rFonts w:ascii="Calibri" w:hAnsi="Calibri"/>
          <w:color w:val="000000"/>
          <w:lang w:val="es-AR"/>
        </w:rPr>
        <w:lastRenderedPageBreak/>
        <w:t>Comisión Fiscalizadora y del Comité de Auditoría, todo ello correspondiente al ejercicio económico cerrado el 30 de ju</w:t>
      </w:r>
      <w:r w:rsidRPr="00AD31CA">
        <w:rPr>
          <w:rFonts w:ascii="Calibri" w:hAnsi="Calibri"/>
          <w:color w:val="000000"/>
          <w:shd w:val="clear" w:color="auto" w:fill="FFFFFF"/>
          <w:lang w:val="es-AR"/>
        </w:rPr>
        <w:t>nio de 2021. </w:t>
      </w:r>
    </w:p>
    <w:p w14:paraId="3A649CCC" w14:textId="77777777" w:rsidR="00AD31CA" w:rsidRPr="00AD31CA" w:rsidRDefault="00AD31CA" w:rsidP="00AD31CA">
      <w:pPr>
        <w:pStyle w:val="NormalWeb"/>
        <w:spacing w:before="0" w:beforeAutospacing="0" w:after="0" w:afterAutospacing="0"/>
        <w:ind w:left="0" w:right="29" w:hanging="2"/>
        <w:jc w:val="both"/>
        <w:rPr>
          <w:lang w:val="es-AR"/>
        </w:rPr>
      </w:pPr>
      <w:r w:rsidRPr="00AD31CA">
        <w:rPr>
          <w:rFonts w:ascii="Calibri" w:hAnsi="Calibri"/>
          <w:color w:val="000000"/>
          <w:lang w:val="es-AR"/>
        </w:rPr>
        <w:t>4º) Fijación del presupuesto de gastos para la gestión del Comité de Auditoría durante el ejercicio social que finalizará el 30 de junio de 2022.</w:t>
      </w:r>
    </w:p>
    <w:p w14:paraId="40E0043E" w14:textId="77777777" w:rsidR="00AD31CA" w:rsidRPr="00AD31CA" w:rsidRDefault="00AD31CA" w:rsidP="00AD31CA">
      <w:pPr>
        <w:pStyle w:val="NormalWeb"/>
        <w:spacing w:before="0" w:beforeAutospacing="0" w:after="0" w:afterAutospacing="0"/>
        <w:ind w:left="0" w:right="29" w:hanging="2"/>
        <w:jc w:val="both"/>
        <w:rPr>
          <w:lang w:val="es-AR"/>
        </w:rPr>
      </w:pPr>
      <w:r w:rsidRPr="00AD31CA">
        <w:rPr>
          <w:rFonts w:ascii="Calibri" w:hAnsi="Calibri"/>
          <w:color w:val="000000"/>
          <w:lang w:val="es-AR"/>
        </w:rPr>
        <w:t>5º) Consideración del destino a dar al resultado del ejercicio. Integración del Fondo de Garantía III (art. 15 Cap. I, Título VI de las Normas de CNV). </w:t>
      </w:r>
    </w:p>
    <w:p w14:paraId="6D0F98F6" w14:textId="77777777" w:rsidR="00AD31CA" w:rsidRPr="00AD31CA" w:rsidRDefault="00AD31CA" w:rsidP="00AD31CA">
      <w:pPr>
        <w:pStyle w:val="NormalWeb"/>
        <w:spacing w:before="0" w:beforeAutospacing="0" w:after="0" w:afterAutospacing="0"/>
        <w:ind w:left="0" w:right="29" w:hanging="2"/>
        <w:jc w:val="both"/>
        <w:rPr>
          <w:lang w:val="es-AR"/>
        </w:rPr>
      </w:pPr>
      <w:r w:rsidRPr="00AD31CA">
        <w:rPr>
          <w:rFonts w:ascii="Calibri" w:hAnsi="Calibri"/>
          <w:color w:val="000000"/>
          <w:shd w:val="clear" w:color="auto" w:fill="FFFFFF"/>
          <w:lang w:val="es-AR"/>
        </w:rPr>
        <w:t>6°) Propuesta de desafectación parcial de la "reserva facultativa para distribución de dividendos a próximos ejercicios" para el pago de un dividendo en efectivo.</w:t>
      </w:r>
    </w:p>
    <w:p w14:paraId="0A6BF86D" w14:textId="77777777" w:rsidR="00AD31CA" w:rsidRPr="00AD31CA" w:rsidRDefault="00AD31CA" w:rsidP="00AD31CA">
      <w:pPr>
        <w:pStyle w:val="NormalWeb"/>
        <w:spacing w:before="0" w:beforeAutospacing="0" w:after="0" w:afterAutospacing="0"/>
        <w:ind w:left="0" w:right="29" w:hanging="2"/>
        <w:jc w:val="both"/>
        <w:rPr>
          <w:lang w:val="es-AR"/>
        </w:rPr>
      </w:pPr>
      <w:r w:rsidRPr="00AD31CA">
        <w:rPr>
          <w:rFonts w:ascii="Calibri" w:hAnsi="Calibri"/>
          <w:color w:val="000000"/>
          <w:lang w:val="es-AR"/>
        </w:rPr>
        <w:t>7º) Consideración de las remuneraciones al Directorio y Comisión Fiscalizadora correspondientes al ejercicio cerrado al 30 de junio de 2021. </w:t>
      </w:r>
    </w:p>
    <w:p w14:paraId="6B26262B" w14:textId="77777777" w:rsidR="00AD31CA" w:rsidRPr="00AD31CA" w:rsidRDefault="00AD31CA" w:rsidP="00AD31CA">
      <w:pPr>
        <w:pStyle w:val="NormalWeb"/>
        <w:spacing w:before="0" w:beforeAutospacing="0" w:after="0" w:afterAutospacing="0"/>
        <w:ind w:left="0" w:right="29" w:hanging="2"/>
        <w:jc w:val="both"/>
        <w:rPr>
          <w:lang w:val="es-AR"/>
        </w:rPr>
      </w:pPr>
      <w:r w:rsidRPr="00AD31CA">
        <w:rPr>
          <w:rFonts w:ascii="Calibri" w:hAnsi="Calibri"/>
          <w:color w:val="000000"/>
          <w:lang w:val="es-AR"/>
        </w:rPr>
        <w:t>8°) Elección de cuatro (4) Directores Titulares y de cuatro (4) Directores Suplentes por tres años y designación de un (1) Director Suplente por un año por renuncia del Sr. Leandro Salvatierra para completar su mandato. </w:t>
      </w:r>
    </w:p>
    <w:p w14:paraId="31931EC8" w14:textId="77777777" w:rsidR="00AD31CA" w:rsidRPr="00AD31CA" w:rsidRDefault="00AD31CA" w:rsidP="00AD31CA">
      <w:pPr>
        <w:pStyle w:val="NormalWeb"/>
        <w:spacing w:before="0" w:beforeAutospacing="0" w:after="0" w:afterAutospacing="0"/>
        <w:ind w:left="0" w:right="29" w:hanging="2"/>
        <w:jc w:val="both"/>
        <w:rPr>
          <w:lang w:val="es-AR"/>
        </w:rPr>
      </w:pPr>
      <w:r w:rsidRPr="00AD31CA">
        <w:rPr>
          <w:rFonts w:ascii="Calibri" w:hAnsi="Calibri"/>
          <w:color w:val="000000"/>
          <w:lang w:val="es-AR"/>
        </w:rPr>
        <w:t>9º) Elección de tres (3) Síndicos Titulares y tres (3) Síndicos Suplentes por un año.</w:t>
      </w:r>
    </w:p>
    <w:p w14:paraId="7410AC81" w14:textId="77777777" w:rsidR="00AD31CA" w:rsidRPr="00AD31CA" w:rsidRDefault="00AD31CA" w:rsidP="00AD31CA">
      <w:pPr>
        <w:pStyle w:val="NormalWeb"/>
        <w:spacing w:before="0" w:beforeAutospacing="0" w:after="0" w:afterAutospacing="0"/>
        <w:ind w:left="0" w:right="29" w:hanging="2"/>
        <w:jc w:val="both"/>
        <w:rPr>
          <w:lang w:val="es-AR"/>
        </w:rPr>
      </w:pPr>
      <w:r w:rsidRPr="00AD31CA">
        <w:rPr>
          <w:rFonts w:ascii="Calibri" w:hAnsi="Calibri"/>
          <w:color w:val="000000"/>
          <w:lang w:val="es-AR"/>
        </w:rPr>
        <w:t>10º) Otorgamiento de carta de indemnidad para directores y miembros de la Comisión Fiscalizadora electos en los puntos 8°) y 9°).</w:t>
      </w:r>
    </w:p>
    <w:p w14:paraId="3EB6C680" w14:textId="77777777" w:rsidR="00AD31CA" w:rsidRPr="00AD31CA" w:rsidRDefault="00AD31CA" w:rsidP="00AD31CA">
      <w:pPr>
        <w:pStyle w:val="NormalWeb"/>
        <w:spacing w:before="0" w:beforeAutospacing="0" w:after="0" w:afterAutospacing="0"/>
        <w:ind w:left="0" w:right="29" w:hanging="2"/>
        <w:jc w:val="both"/>
        <w:rPr>
          <w:lang w:val="es-AR"/>
        </w:rPr>
      </w:pPr>
      <w:r w:rsidRPr="00AD31CA">
        <w:rPr>
          <w:rFonts w:ascii="Calibri" w:hAnsi="Calibri"/>
          <w:color w:val="000000"/>
          <w:lang w:val="es-AR"/>
        </w:rPr>
        <w:t>11º) Designación del Auditor Externo -Titular y Suplente- que certificará los estados financieros correspondientes al ejercicio económico que finalizará el 30 de junio de 2022.</w:t>
      </w:r>
    </w:p>
    <w:p w14:paraId="04E9FD3D" w14:textId="77777777" w:rsidR="00AD31CA" w:rsidRPr="00AD31CA" w:rsidRDefault="00AD31CA" w:rsidP="00AD31CA">
      <w:pPr>
        <w:pStyle w:val="NormalWeb"/>
        <w:spacing w:before="0" w:beforeAutospacing="0" w:after="0" w:afterAutospacing="0"/>
        <w:ind w:left="0" w:right="29" w:hanging="2"/>
        <w:jc w:val="both"/>
        <w:rPr>
          <w:lang w:val="es-AR"/>
        </w:rPr>
      </w:pPr>
      <w:r w:rsidRPr="00AD31CA">
        <w:rPr>
          <w:rFonts w:ascii="Calibri" w:hAnsi="Calibri"/>
          <w:color w:val="000000"/>
          <w:lang w:val="es-AR"/>
        </w:rPr>
        <w:t>12°)  Autorización para la realización de los trámites y presentaciones necesarios para la obtención de las inscripciones correspondientes.</w:t>
      </w:r>
    </w:p>
    <w:p w14:paraId="1FA4AD62" w14:textId="77777777" w:rsidR="00AD31CA" w:rsidRPr="00AD31CA" w:rsidRDefault="00AD31CA" w:rsidP="00AD31CA">
      <w:pPr>
        <w:pStyle w:val="NormalWeb"/>
        <w:spacing w:before="0" w:beforeAutospacing="0" w:after="0" w:afterAutospacing="0"/>
        <w:ind w:left="0" w:right="29" w:hanging="2"/>
        <w:jc w:val="both"/>
        <w:rPr>
          <w:lang w:val="es-AR"/>
        </w:rPr>
      </w:pPr>
      <w:r w:rsidRPr="00AD31CA">
        <w:rPr>
          <w:rFonts w:ascii="Calibri" w:hAnsi="Calibri"/>
          <w:color w:val="000000"/>
          <w:u w:val="single"/>
          <w:lang w:val="es-AR"/>
        </w:rPr>
        <w:t>Notas</w:t>
      </w:r>
      <w:r w:rsidRPr="00AD31CA">
        <w:rPr>
          <w:rFonts w:ascii="Calibri" w:hAnsi="Calibri"/>
          <w:color w:val="000000"/>
          <w:lang w:val="es-AR"/>
        </w:rPr>
        <w:t>: </w:t>
      </w:r>
    </w:p>
    <w:p w14:paraId="0B9C4021" w14:textId="77777777" w:rsidR="00AD31CA" w:rsidRPr="00AD31CA" w:rsidRDefault="00AD31CA" w:rsidP="00AD31CA">
      <w:pPr>
        <w:pStyle w:val="NormalWeb"/>
        <w:spacing w:before="0" w:beforeAutospacing="0" w:after="0" w:afterAutospacing="0"/>
        <w:ind w:left="0" w:right="29" w:hanging="2"/>
        <w:jc w:val="both"/>
        <w:rPr>
          <w:lang w:val="es-AR"/>
        </w:rPr>
      </w:pPr>
      <w:r w:rsidRPr="00AD31CA">
        <w:rPr>
          <w:rFonts w:ascii="Calibri" w:hAnsi="Calibri"/>
          <w:color w:val="000000"/>
          <w:lang w:val="es-AR"/>
        </w:rPr>
        <w:t xml:space="preserve">1) Se recuerda a los Accionistas que el Registro de Acciones de la Sociedad es llevado por Caja de Valores S.A. Por lo tanto, conforme con lo dispuesto por el art. 238 de la Ley General de Sociedades </w:t>
      </w:r>
      <w:proofErr w:type="spellStart"/>
      <w:r w:rsidRPr="00AD31CA">
        <w:rPr>
          <w:rFonts w:ascii="Calibri" w:hAnsi="Calibri"/>
          <w:color w:val="000000"/>
          <w:lang w:val="es-AR"/>
        </w:rPr>
        <w:t>N°</w:t>
      </w:r>
      <w:proofErr w:type="spellEnd"/>
      <w:r w:rsidRPr="00AD31CA">
        <w:rPr>
          <w:rFonts w:ascii="Calibri" w:hAnsi="Calibri"/>
          <w:color w:val="000000"/>
          <w:lang w:val="es-AR"/>
        </w:rPr>
        <w:t xml:space="preserve"> 19.550, para asistir a la Asamblea, deberán obtener una constancia de la cuenta de acciones librada al efecto por Caja de Valores S.A. En el sitio </w:t>
      </w:r>
      <w:hyperlink r:id="rId6" w:history="1">
        <w:r w:rsidRPr="00AD31CA">
          <w:rPr>
            <w:rStyle w:val="Hipervnculo"/>
            <w:rFonts w:ascii="Calibri" w:hAnsi="Calibri"/>
            <w:color w:val="1155CC"/>
            <w:lang w:val="es-AR"/>
          </w:rPr>
          <w:t>www.matbarofex.com.ar</w:t>
        </w:r>
      </w:hyperlink>
      <w:r w:rsidRPr="00AD31CA">
        <w:rPr>
          <w:rFonts w:ascii="Calibri" w:hAnsi="Calibri"/>
          <w:color w:val="000000"/>
          <w:lang w:val="es-AR"/>
        </w:rPr>
        <w:t xml:space="preserve"> (en adelante “el sitio web”) se encuentra disponible un Instructivo para realizar la gestión referida. Una vez obtenido el certificado mencionado, los Accionistas deberán remitirlo a la casilla de correo electrónico </w:t>
      </w:r>
      <w:hyperlink r:id="rId7" w:history="1">
        <w:r w:rsidRPr="00AD31CA">
          <w:rPr>
            <w:rStyle w:val="Hipervnculo"/>
            <w:rFonts w:ascii="Calibri" w:hAnsi="Calibri"/>
            <w:color w:val="1155CC"/>
            <w:lang w:val="es-AR"/>
          </w:rPr>
          <w:t>inversor@matbarofex.com.ar</w:t>
        </w:r>
      </w:hyperlink>
      <w:r w:rsidRPr="00AD31CA">
        <w:rPr>
          <w:rFonts w:ascii="Calibri" w:hAnsi="Calibri"/>
          <w:color w:val="000000"/>
          <w:lang w:val="es-AR"/>
        </w:rPr>
        <w:t xml:space="preserve"> a los efectos de su inscripción en el Registro de Asistencia a Asambleas, con no menos de 3 (tres) días hábiles de anticipación a la fecha fijada para la Asamblea, es decir hasta las 17:00 </w:t>
      </w:r>
      <w:proofErr w:type="spellStart"/>
      <w:r w:rsidRPr="00AD31CA">
        <w:rPr>
          <w:rFonts w:ascii="Calibri" w:hAnsi="Calibri"/>
          <w:color w:val="000000"/>
          <w:lang w:val="es-AR"/>
        </w:rPr>
        <w:t>hs</w:t>
      </w:r>
      <w:proofErr w:type="spellEnd"/>
      <w:r w:rsidRPr="00AD31CA">
        <w:rPr>
          <w:rFonts w:ascii="Calibri" w:hAnsi="Calibri"/>
          <w:color w:val="000000"/>
          <w:lang w:val="es-AR"/>
        </w:rPr>
        <w:t>. del 1 de octubre. La Sociedad remitirá, a las casillas de correo electrónico desde las cuales los accionistas hubieran comunicado su asistencia, la información necesaria respecto al modo de celebración y recaudos para la admisión de su participación en la Asamblea.</w:t>
      </w:r>
    </w:p>
    <w:p w14:paraId="0454D5F5" w14:textId="77777777" w:rsidR="00AD31CA" w:rsidRPr="00AD31CA" w:rsidRDefault="00AD31CA" w:rsidP="00AD31CA">
      <w:pPr>
        <w:pStyle w:val="NormalWeb"/>
        <w:spacing w:before="0" w:beforeAutospacing="0" w:after="0" w:afterAutospacing="0"/>
        <w:ind w:left="0" w:right="29" w:hanging="2"/>
        <w:jc w:val="both"/>
        <w:rPr>
          <w:lang w:val="es-AR"/>
        </w:rPr>
      </w:pPr>
      <w:r w:rsidRPr="00AD31CA">
        <w:rPr>
          <w:rFonts w:ascii="Calibri" w:hAnsi="Calibri"/>
          <w:color w:val="000000"/>
          <w:lang w:val="es-AR"/>
        </w:rPr>
        <w:t xml:space="preserve">Se recuerda que, de acuerdo al artículo 43° del Estatuto Social, los accionistas podrán hacerse representar en las asambleas, sea por otro accionista o por terceros, debidamente autorizados por instrumento público o mediante mandato formalizado en instrumento privado (modelo que se encuentra disponible en el “sitio web”) y con su firma certificada en forma judicial, notarial o bancaria, salvo que la misma se encuentre registrada en la Sociedad. En tal caso, deberá remitirse a la Sociedad con cinco (5) días hábiles de antelación a la celebración de la Asamblea el instrumento habilitante correspondiente como archivo adjunto en formato PDF a la casilla de correo electrónico: </w:t>
      </w:r>
      <w:hyperlink r:id="rId8" w:history="1">
        <w:r w:rsidRPr="00AD31CA">
          <w:rPr>
            <w:rStyle w:val="Hipervnculo"/>
            <w:rFonts w:ascii="Calibri" w:hAnsi="Calibri"/>
            <w:lang w:val="es-AR"/>
          </w:rPr>
          <w:t>inversor@matbarofex.com.ar</w:t>
        </w:r>
      </w:hyperlink>
    </w:p>
    <w:p w14:paraId="45A0D2AC" w14:textId="77777777" w:rsidR="00AD31CA" w:rsidRPr="00AD31CA" w:rsidRDefault="00AD31CA" w:rsidP="00AD31CA">
      <w:pPr>
        <w:pStyle w:val="NormalWeb"/>
        <w:spacing w:before="0" w:beforeAutospacing="0" w:after="0" w:afterAutospacing="0"/>
        <w:ind w:left="0" w:right="29" w:hanging="2"/>
        <w:jc w:val="both"/>
        <w:rPr>
          <w:lang w:val="es-AR"/>
        </w:rPr>
      </w:pPr>
      <w:r w:rsidRPr="00AD31CA">
        <w:rPr>
          <w:rFonts w:ascii="Calibri" w:hAnsi="Calibri"/>
          <w:color w:val="000000"/>
          <w:lang w:val="es-AR"/>
        </w:rPr>
        <w:lastRenderedPageBreak/>
        <w:t>2) La Asamblea deberá contar con el quórum exigible para las asambleas extraordinarias, en caso de celebrarse de acuerdo a lo establecido en el punto 1°) . La votación se realizará a viva voz.</w:t>
      </w:r>
    </w:p>
    <w:p w14:paraId="45BEF2F1" w14:textId="77777777" w:rsidR="00AD31CA" w:rsidRPr="00AD31CA" w:rsidRDefault="00AD31CA" w:rsidP="00AD31CA">
      <w:pPr>
        <w:pStyle w:val="NormalWeb"/>
        <w:spacing w:before="0" w:beforeAutospacing="0" w:after="0" w:afterAutospacing="0"/>
        <w:ind w:left="0" w:right="29" w:hanging="2"/>
        <w:jc w:val="both"/>
        <w:rPr>
          <w:lang w:val="es-AR"/>
        </w:rPr>
      </w:pPr>
      <w:r w:rsidRPr="00AD31CA">
        <w:rPr>
          <w:rFonts w:ascii="Calibri" w:hAnsi="Calibri"/>
          <w:color w:val="000000"/>
          <w:lang w:val="es-AR"/>
        </w:rPr>
        <w:t>3) La documentación prevista en los puntos 3°), 5°), 6°) y 7°) que considerará la Asamblea se hallará a disposición de los accionistas en la sede social sita en Paraguay 777, Piso 15, Rosario, Provincia de Santa Fe, a partir del 17 de septiembre de 2021 en el horario de 10 a 17 horas y en el “sitio web”, y ya ha sido publicada en la AIF de la Comisión Nacional de Valores.</w:t>
      </w:r>
    </w:p>
    <w:p w14:paraId="497AD4F4" w14:textId="77777777" w:rsidR="00AD31CA" w:rsidRPr="00AD31CA" w:rsidRDefault="00AD31CA" w:rsidP="00AD31CA">
      <w:pPr>
        <w:pStyle w:val="NormalWeb"/>
        <w:spacing w:before="0" w:beforeAutospacing="0" w:after="0" w:afterAutospacing="0"/>
        <w:ind w:left="0" w:right="29" w:hanging="2"/>
        <w:jc w:val="both"/>
        <w:rPr>
          <w:lang w:val="es-AR"/>
        </w:rPr>
      </w:pPr>
      <w:r w:rsidRPr="00AD31CA">
        <w:rPr>
          <w:rFonts w:ascii="Calibri" w:hAnsi="Calibri"/>
          <w:color w:val="000000"/>
          <w:lang w:val="es-AR"/>
        </w:rPr>
        <w:t>4) Los accionistas podrán nominar candidatos a los cargos referidos en los puntos 8°) y 9°) presentando el formulario correspondiente de conformidad con lo establecido en los Capítulos II y III del Reglamento de Directorio de la Sociedad disponible en el “sitio web”, hasta 7 (siete) días hábiles previos a la Asamblea que vence el 27 de septiembre de 2021 a las 17:00 horas. </w:t>
      </w:r>
    </w:p>
    <w:p w14:paraId="08486079" w14:textId="5CE0EF76" w:rsidR="00AD31CA" w:rsidRPr="00AD31CA" w:rsidRDefault="00AD31CA" w:rsidP="00AD31CA">
      <w:pPr>
        <w:pStyle w:val="NormalWeb"/>
        <w:spacing w:before="0" w:beforeAutospacing="0" w:after="0" w:afterAutospacing="0"/>
        <w:ind w:left="0" w:right="29" w:hanging="2"/>
        <w:jc w:val="both"/>
        <w:rPr>
          <w:lang w:val="es-AR"/>
        </w:rPr>
      </w:pPr>
      <w:r w:rsidRPr="00AD31CA">
        <w:rPr>
          <w:rFonts w:ascii="Calibri" w:hAnsi="Calibri"/>
          <w:color w:val="000000"/>
          <w:lang w:val="es-AR"/>
        </w:rPr>
        <w:t>4) La propuesta de Carta de Indemnidad prevista en el punto 10°) se encuentra disponible en el “sitio web”.</w:t>
      </w:r>
    </w:p>
    <w:p w14:paraId="5BA9AE8A" w14:textId="00ABE0EF" w:rsidR="00AD31CA" w:rsidRPr="00AD31CA" w:rsidRDefault="00AD31CA" w:rsidP="00AD31CA">
      <w:pPr>
        <w:pStyle w:val="NormalWeb"/>
        <w:spacing w:before="0" w:beforeAutospacing="0" w:after="0" w:afterAutospacing="0"/>
        <w:ind w:left="0" w:hanging="2"/>
        <w:jc w:val="both"/>
        <w:rPr>
          <w:lang w:val="es-AR"/>
        </w:rPr>
      </w:pPr>
      <w:r w:rsidRPr="00AD31CA">
        <w:rPr>
          <w:rFonts w:ascii="Calibri" w:hAnsi="Calibri"/>
          <w:color w:val="000000"/>
          <w:lang w:val="es-AR"/>
        </w:rPr>
        <w:t xml:space="preserve">5) De acuerdo con lo requerido por la mencionada Resolución CNV </w:t>
      </w:r>
      <w:proofErr w:type="spellStart"/>
      <w:r w:rsidRPr="00AD31CA">
        <w:rPr>
          <w:rFonts w:ascii="Calibri" w:hAnsi="Calibri"/>
          <w:color w:val="000000"/>
          <w:lang w:val="es-AR"/>
        </w:rPr>
        <w:t>N°</w:t>
      </w:r>
      <w:proofErr w:type="spellEnd"/>
      <w:r w:rsidRPr="00AD31CA">
        <w:rPr>
          <w:rFonts w:ascii="Calibri" w:hAnsi="Calibri"/>
          <w:color w:val="000000"/>
          <w:lang w:val="es-AR"/>
        </w:rPr>
        <w:t xml:space="preserve"> 830/2020, la Asamblea será grabada en soporte digital y dicha grabación se encontrará a disposición de los accionistas por el término de cinco años. </w:t>
      </w:r>
    </w:p>
    <w:p w14:paraId="3092C982" w14:textId="1A50C3A8" w:rsidR="00D17F9D" w:rsidRPr="00227C04" w:rsidRDefault="00AD31CA" w:rsidP="00227C04">
      <w:pPr>
        <w:pStyle w:val="NormalWeb"/>
        <w:spacing w:before="0" w:beforeAutospacing="0" w:after="0" w:afterAutospacing="0"/>
        <w:ind w:left="0" w:right="29" w:hanging="2"/>
        <w:jc w:val="right"/>
        <w:rPr>
          <w:b/>
          <w:highlight w:val="yellow"/>
          <w:lang w:val="es-AR"/>
        </w:rPr>
      </w:pPr>
      <w:r w:rsidRPr="00227C04">
        <w:rPr>
          <w:rFonts w:ascii="Calibri" w:hAnsi="Calibri"/>
          <w:color w:val="000000"/>
          <w:lang w:val="es-AR"/>
        </w:rPr>
        <w:t>El Directorio</w:t>
      </w:r>
      <w:r w:rsidRPr="00227C04">
        <w:rPr>
          <w:lang w:val="es-AR"/>
        </w:rPr>
        <w:t>”</w:t>
      </w:r>
    </w:p>
    <w:p w14:paraId="0A49458A" w14:textId="77777777" w:rsidR="00D17F9D" w:rsidRDefault="00AD31CA">
      <w:pPr>
        <w:spacing w:line="240" w:lineRule="auto"/>
        <w:ind w:left="0" w:right="51" w:hanging="2"/>
        <w:jc w:val="both"/>
        <w:rPr>
          <w:sz w:val="24"/>
          <w:szCs w:val="24"/>
        </w:rPr>
      </w:pPr>
      <w:bookmarkStart w:id="1" w:name="_heading=h.gefcjc94enrt" w:colFirst="0" w:colLast="0"/>
      <w:bookmarkEnd w:id="1"/>
      <w:r>
        <w:rPr>
          <w:sz w:val="24"/>
          <w:szCs w:val="24"/>
        </w:rPr>
        <w:t>………………………………………………………………………………………………………………………………………..</w:t>
      </w:r>
    </w:p>
    <w:p w14:paraId="37FD7349" w14:textId="77CBF390" w:rsidR="00D17F9D" w:rsidRDefault="00AD31CA">
      <w:pPr>
        <w:spacing w:line="240" w:lineRule="auto"/>
        <w:ind w:left="0" w:hanging="2"/>
        <w:jc w:val="both"/>
        <w:rPr>
          <w:sz w:val="24"/>
          <w:szCs w:val="24"/>
        </w:rPr>
      </w:pPr>
      <w:r>
        <w:rPr>
          <w:sz w:val="24"/>
          <w:szCs w:val="24"/>
        </w:rPr>
        <w:t xml:space="preserve">No habiendo más asuntos que tratar y siendo </w:t>
      </w:r>
      <w:r w:rsidRPr="00AD31CA">
        <w:rPr>
          <w:sz w:val="24"/>
          <w:szCs w:val="24"/>
        </w:rPr>
        <w:t>las 19.10 horas</w:t>
      </w:r>
      <w:r>
        <w:rPr>
          <w:sz w:val="24"/>
          <w:szCs w:val="24"/>
        </w:rPr>
        <w:t xml:space="preserve"> se levantó la sesión y firman los presentes. Fdo.: Andrés Emilio Ponte (por sí y en representación de Marcos Hermansson, Francisco Javier María Fernández Candia; Luis Alberto Herrera; Ignacio María Bosch; Alfredo Rubén Conde, Juan Fabricio Silvestri; Ricardo Daniel Marra; Sebastián M. Bravo, Gustavo C. Cortona  y Gabriela Facciano) Marcelo José Rossi y Enrique Mario Lingua (por sí y en representación de José María Ibarbia y María Jimena </w:t>
      </w:r>
      <w:proofErr w:type="spellStart"/>
      <w:r>
        <w:rPr>
          <w:sz w:val="24"/>
          <w:szCs w:val="24"/>
        </w:rPr>
        <w:t>Riggio</w:t>
      </w:r>
      <w:proofErr w:type="spellEnd"/>
      <w:r>
        <w:rPr>
          <w:sz w:val="24"/>
          <w:szCs w:val="24"/>
        </w:rPr>
        <w:t>)</w:t>
      </w:r>
    </w:p>
    <w:sectPr w:rsidR="00D17F9D">
      <w:pgSz w:w="12240" w:h="15840"/>
      <w:pgMar w:top="1417" w:right="1701" w:bottom="1417"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333B1"/>
    <w:multiLevelType w:val="multilevel"/>
    <w:tmpl w:val="90A21F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00E2C05"/>
    <w:multiLevelType w:val="multilevel"/>
    <w:tmpl w:val="0ADC09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75F8086F"/>
    <w:multiLevelType w:val="multilevel"/>
    <w:tmpl w:val="545A67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F9D"/>
    <w:rsid w:val="00227C04"/>
    <w:rsid w:val="00AD31CA"/>
    <w:rsid w:val="00B82427"/>
    <w:rsid w:val="00D17F9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E3BD"/>
  <w15:docId w15:val="{1AEE0F9E-9C58-44E6-B044-0507A1F5B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AR" w:eastAsia="es-AR"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tabs>
        <w:tab w:val="left" w:pos="315"/>
        <w:tab w:val="left" w:pos="600"/>
        <w:tab w:val="left" w:pos="1020"/>
        <w:tab w:val="right" w:pos="7305"/>
        <w:tab w:val="right" w:pos="9075"/>
        <w:tab w:val="right" w:pos="9357"/>
      </w:tabs>
      <w:spacing w:line="360" w:lineRule="auto"/>
      <w:jc w:val="both"/>
      <w:outlineLvl w:val="1"/>
    </w:pPr>
    <w:rPr>
      <w:rFonts w:ascii="Times New Roman" w:eastAsia="Times New Roman" w:hAnsi="Times New Roman"/>
      <w:b/>
      <w:szCs w:val="24"/>
      <w:u w:val="single"/>
      <w:lang w:val="es-ES" w:eastAsia="es-AR"/>
    </w:rPr>
  </w:style>
  <w:style w:type="paragraph" w:styleId="Ttulo3">
    <w:name w:val="heading 3"/>
    <w:basedOn w:val="Normal"/>
    <w:next w:val="Normal"/>
    <w:uiPriority w:val="9"/>
    <w:semiHidden/>
    <w:unhideWhenUsed/>
    <w:qFormat/>
    <w:pPr>
      <w:keepNext/>
      <w:jc w:val="both"/>
      <w:outlineLvl w:val="2"/>
    </w:pPr>
    <w:rPr>
      <w:rFonts w:ascii="Times New Roman" w:eastAsia="Times New Roman" w:hAnsi="Times New Roman"/>
      <w:bCs/>
      <w:sz w:val="24"/>
      <w:szCs w:val="20"/>
      <w:u w:val="single"/>
      <w:lang w:val="es-ES"/>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character" w:customStyle="1" w:styleId="Ttulo2Car">
    <w:name w:val="Título 2 Car"/>
    <w:rPr>
      <w:rFonts w:ascii="Times New Roman" w:eastAsia="Times New Roman" w:hAnsi="Times New Roman"/>
      <w:b/>
      <w:w w:val="100"/>
      <w:position w:val="-1"/>
      <w:sz w:val="22"/>
      <w:szCs w:val="24"/>
      <w:u w:val="single"/>
      <w:effect w:val="none"/>
      <w:vertAlign w:val="baseline"/>
      <w:cs w:val="0"/>
      <w:em w:val="none"/>
      <w:lang w:val="es-ES" w:eastAsia="es-AR"/>
    </w:rPr>
  </w:style>
  <w:style w:type="character" w:customStyle="1" w:styleId="Ttulo3Car">
    <w:name w:val="Título 3 Car"/>
    <w:rPr>
      <w:rFonts w:ascii="Times New Roman" w:eastAsia="Times New Roman" w:hAnsi="Times New Roman"/>
      <w:bCs/>
      <w:w w:val="100"/>
      <w:position w:val="-1"/>
      <w:sz w:val="24"/>
      <w:u w:val="single"/>
      <w:effect w:val="none"/>
      <w:vertAlign w:val="baseline"/>
      <w:cs w:val="0"/>
      <w:em w:val="none"/>
      <w:lang w:val="es-ES" w:eastAsia="en-US"/>
    </w:rPr>
  </w:style>
  <w:style w:type="paragraph" w:styleId="Sangradetextonormal">
    <w:name w:val="Body Text Indent"/>
    <w:basedOn w:val="Normal"/>
    <w:pPr>
      <w:ind w:left="284"/>
    </w:pPr>
    <w:rPr>
      <w:rFonts w:ascii="Times New Roman" w:eastAsia="Times New Roman" w:hAnsi="Times New Roman"/>
      <w:sz w:val="24"/>
      <w:szCs w:val="20"/>
      <w:lang w:val="es-ES"/>
    </w:rPr>
  </w:style>
  <w:style w:type="character" w:customStyle="1" w:styleId="SangradetextonormalCar">
    <w:name w:val="Sangría de texto normal Car"/>
    <w:rPr>
      <w:rFonts w:ascii="Times New Roman" w:eastAsia="Times New Roman" w:hAnsi="Times New Roman"/>
      <w:w w:val="100"/>
      <w:position w:val="-1"/>
      <w:sz w:val="24"/>
      <w:effect w:val="none"/>
      <w:vertAlign w:val="baseline"/>
      <w:cs w:val="0"/>
      <w:em w:val="none"/>
      <w:lang w:eastAsia="en-US"/>
    </w:rPr>
  </w:style>
  <w:style w:type="paragraph" w:styleId="Textoindependiente2">
    <w:name w:val="Body Text 2"/>
    <w:basedOn w:val="Normal"/>
    <w:pPr>
      <w:jc w:val="both"/>
    </w:pPr>
    <w:rPr>
      <w:rFonts w:ascii="Times New Roman" w:eastAsia="Times New Roman" w:hAnsi="Times New Roman"/>
      <w:sz w:val="24"/>
      <w:szCs w:val="20"/>
      <w:lang w:val="es-ES"/>
    </w:rPr>
  </w:style>
  <w:style w:type="character" w:customStyle="1" w:styleId="Textoindependiente2Car">
    <w:name w:val="Texto independiente 2 Car"/>
    <w:rPr>
      <w:rFonts w:ascii="Times New Roman" w:eastAsia="Times New Roman" w:hAnsi="Times New Roman"/>
      <w:w w:val="100"/>
      <w:position w:val="-1"/>
      <w:sz w:val="24"/>
      <w:effect w:val="none"/>
      <w:vertAlign w:val="baseline"/>
      <w:cs w:val="0"/>
      <w:em w:val="none"/>
      <w:lang w:val="es-ES" w:eastAsia="en-US"/>
    </w:rPr>
  </w:style>
  <w:style w:type="paragraph" w:styleId="Textoindependiente">
    <w:name w:val="Body Text"/>
    <w:basedOn w:val="Normal"/>
    <w:qFormat/>
    <w:pPr>
      <w:spacing w:after="120"/>
    </w:pPr>
  </w:style>
  <w:style w:type="character" w:customStyle="1" w:styleId="TextoindependienteCar">
    <w:name w:val="Texto independiente Car"/>
    <w:rPr>
      <w:w w:val="100"/>
      <w:position w:val="-1"/>
      <w:sz w:val="22"/>
      <w:szCs w:val="22"/>
      <w:effect w:val="none"/>
      <w:vertAlign w:val="baseline"/>
      <w:cs w:val="0"/>
      <w:em w:val="none"/>
      <w:lang w:val="es-AR" w:eastAsia="en-US"/>
    </w:rPr>
  </w:style>
  <w:style w:type="paragraph" w:styleId="Textoindependienteprimerasangra">
    <w:name w:val="Body Text First Indent"/>
    <w:basedOn w:val="Textoindependiente"/>
    <w:qFormat/>
    <w:pPr>
      <w:ind w:firstLine="210"/>
    </w:pPr>
  </w:style>
  <w:style w:type="character" w:customStyle="1" w:styleId="TextoindependienteprimerasangraCar">
    <w:name w:val="Texto independiente primera sangría Car"/>
    <w:basedOn w:val="TextoindependienteCar"/>
    <w:rPr>
      <w:w w:val="100"/>
      <w:position w:val="-1"/>
      <w:sz w:val="22"/>
      <w:szCs w:val="22"/>
      <w:effect w:val="none"/>
      <w:vertAlign w:val="baseline"/>
      <w:cs w:val="0"/>
      <w:em w:val="none"/>
      <w:lang w:val="es-AR" w:eastAsia="en-US"/>
    </w:rPr>
  </w:style>
  <w:style w:type="paragraph" w:styleId="Textoindependienteprimerasangra2">
    <w:name w:val="Body Text First Indent 2"/>
    <w:basedOn w:val="Sangradetextonormal"/>
    <w:qFormat/>
    <w:pPr>
      <w:spacing w:after="120"/>
      <w:ind w:left="283" w:firstLine="210"/>
    </w:pPr>
    <w:rPr>
      <w:rFonts w:ascii="Calibri" w:eastAsia="Calibri" w:hAnsi="Calibri"/>
      <w:sz w:val="22"/>
      <w:szCs w:val="22"/>
      <w:lang w:val="es-AR"/>
    </w:rPr>
  </w:style>
  <w:style w:type="character" w:customStyle="1" w:styleId="Textoindependienteprimerasangra2Car">
    <w:name w:val="Texto independiente primera sangría 2 Car"/>
    <w:rPr>
      <w:rFonts w:ascii="Times New Roman" w:eastAsia="Times New Roman" w:hAnsi="Times New Roman"/>
      <w:w w:val="100"/>
      <w:position w:val="-1"/>
      <w:sz w:val="22"/>
      <w:szCs w:val="22"/>
      <w:effect w:val="none"/>
      <w:vertAlign w:val="baseline"/>
      <w:cs w:val="0"/>
      <w:em w:val="none"/>
      <w:lang w:val="es-AR" w:eastAsia="en-US"/>
    </w:rPr>
  </w:style>
  <w:style w:type="paragraph" w:styleId="Encabezado">
    <w:name w:val="header"/>
    <w:basedOn w:val="Normal"/>
    <w:qFormat/>
    <w:pPr>
      <w:tabs>
        <w:tab w:val="center" w:pos="4252"/>
        <w:tab w:val="right" w:pos="8504"/>
      </w:tabs>
      <w:jc w:val="both"/>
    </w:pPr>
  </w:style>
  <w:style w:type="character" w:customStyle="1" w:styleId="EncabezadoCar">
    <w:name w:val="Encabezado Car"/>
    <w:rPr>
      <w:w w:val="100"/>
      <w:position w:val="-1"/>
      <w:sz w:val="22"/>
      <w:szCs w:val="22"/>
      <w:effect w:val="none"/>
      <w:vertAlign w:val="baseline"/>
      <w:cs w:val="0"/>
      <w:em w:val="none"/>
      <w:lang w:eastAsia="en-US"/>
    </w:rPr>
  </w:style>
  <w:style w:type="paragraph" w:styleId="Piedepgina">
    <w:name w:val="footer"/>
    <w:basedOn w:val="Normal"/>
    <w:qFormat/>
    <w:pPr>
      <w:tabs>
        <w:tab w:val="center" w:pos="4252"/>
        <w:tab w:val="right" w:pos="8504"/>
      </w:tabs>
      <w:jc w:val="both"/>
    </w:pPr>
  </w:style>
  <w:style w:type="character" w:customStyle="1" w:styleId="PiedepginaCar">
    <w:name w:val="Pie de página Car"/>
    <w:rPr>
      <w:w w:val="100"/>
      <w:position w:val="-1"/>
      <w:sz w:val="22"/>
      <w:szCs w:val="22"/>
      <w:effect w:val="none"/>
      <w:vertAlign w:val="baseline"/>
      <w:cs w:val="0"/>
      <w:em w:val="none"/>
      <w:lang w:eastAsia="en-US"/>
    </w:rPr>
  </w:style>
  <w:style w:type="paragraph" w:styleId="Prrafodelista">
    <w:name w:val="List Paragraph"/>
    <w:basedOn w:val="Normal"/>
    <w:pPr>
      <w:spacing w:after="200" w:line="276" w:lineRule="auto"/>
      <w:ind w:left="720"/>
      <w:contextualSpacing/>
    </w:pPr>
  </w:style>
  <w:style w:type="paragraph" w:styleId="Lista2">
    <w:name w:val="List 2"/>
    <w:basedOn w:val="Normal"/>
    <w:pPr>
      <w:ind w:left="566" w:hanging="283"/>
    </w:pPr>
    <w:rPr>
      <w:rFonts w:ascii="Times New Roman" w:eastAsia="Times New Roman" w:hAnsi="Times New Roman"/>
      <w:sz w:val="24"/>
      <w:szCs w:val="24"/>
      <w:lang w:eastAsia="es-MX"/>
    </w:rPr>
  </w:style>
  <w:style w:type="paragraph" w:styleId="Continuarlista2">
    <w:name w:val="List Continue 2"/>
    <w:basedOn w:val="Normal"/>
    <w:pPr>
      <w:spacing w:after="120"/>
      <w:ind w:left="566"/>
    </w:pPr>
    <w:rPr>
      <w:rFonts w:ascii="Times New Roman" w:eastAsia="Times New Roman" w:hAnsi="Times New Roman"/>
      <w:sz w:val="24"/>
      <w:szCs w:val="24"/>
      <w:lang w:eastAsia="es-MX"/>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Arial" w:hAnsi="Arial" w:cs="Arial"/>
      <w:color w:val="000000"/>
      <w:position w:val="-1"/>
      <w:sz w:val="24"/>
      <w:szCs w:val="24"/>
      <w:lang w:eastAsia="en-US"/>
    </w:rPr>
  </w:style>
  <w:style w:type="character" w:styleId="Hipervnculo">
    <w:name w:val="Hyperlink"/>
    <w:qFormat/>
    <w:rPr>
      <w:color w:val="0000FF"/>
      <w:w w:val="100"/>
      <w:position w:val="-1"/>
      <w:u w:val="single"/>
      <w:effect w:val="none"/>
      <w:vertAlign w:val="baseline"/>
      <w:cs w:val="0"/>
      <w:em w:val="none"/>
    </w:rPr>
  </w:style>
  <w:style w:type="paragraph" w:customStyle="1" w:styleId="0-Texto">
    <w:name w:val="0 - Texto"/>
    <w:pPr>
      <w:tabs>
        <w:tab w:val="left" w:pos="708"/>
        <w:tab w:val="left" w:pos="1416"/>
        <w:tab w:val="left" w:pos="2124"/>
        <w:tab w:val="left" w:pos="2832"/>
        <w:tab w:val="left" w:pos="3540"/>
        <w:tab w:val="left" w:pos="4248"/>
        <w:tab w:val="left" w:pos="4956"/>
        <w:tab w:val="left" w:pos="6564"/>
      </w:tabs>
      <w:suppressAutoHyphens/>
      <w:autoSpaceDE w:val="0"/>
      <w:autoSpaceDN w:val="0"/>
      <w:adjustRightInd w:val="0"/>
      <w:spacing w:line="276" w:lineRule="auto"/>
      <w:ind w:leftChars="-1" w:left="-1" w:hangingChars="1"/>
      <w:jc w:val="both"/>
      <w:textDirection w:val="btLr"/>
      <w:textAlignment w:val="top"/>
      <w:outlineLvl w:val="0"/>
    </w:pPr>
    <w:rPr>
      <w:rFonts w:ascii="Arial" w:eastAsia="Times New Roman" w:hAnsi="Arial" w:cs="Courier New"/>
      <w:bCs/>
      <w:position w:val="-1"/>
    </w:rPr>
  </w:style>
  <w:style w:type="paragraph" w:styleId="Textodeglobo">
    <w:name w:val="Balloon Text"/>
    <w:basedOn w:val="Normal"/>
    <w:qFormat/>
    <w:pPr>
      <w:jc w:val="both"/>
    </w:pPr>
    <w:rPr>
      <w:rFonts w:ascii="Tahoma" w:hAnsi="Tahoma"/>
      <w:sz w:val="16"/>
      <w:szCs w:val="16"/>
      <w:lang w:val="es-ES"/>
    </w:rPr>
  </w:style>
  <w:style w:type="character" w:customStyle="1" w:styleId="TextodegloboCar">
    <w:name w:val="Texto de globo Car"/>
    <w:rPr>
      <w:rFonts w:ascii="Tahoma" w:hAnsi="Tahoma"/>
      <w:w w:val="100"/>
      <w:position w:val="-1"/>
      <w:sz w:val="16"/>
      <w:szCs w:val="16"/>
      <w:effect w:val="none"/>
      <w:vertAlign w:val="baseline"/>
      <w:cs w:val="0"/>
      <w:em w:val="none"/>
      <w:lang w:eastAsia="en-US"/>
    </w:rPr>
  </w:style>
  <w:style w:type="character" w:customStyle="1" w:styleId="apple-style-span">
    <w:name w:val="apple-style-span"/>
    <w:rPr>
      <w:w w:val="100"/>
      <w:position w:val="-1"/>
      <w:effect w:val="none"/>
      <w:vertAlign w:val="baseline"/>
      <w:cs w:val="0"/>
      <w:em w:val="none"/>
    </w:rPr>
  </w:style>
  <w:style w:type="numbering" w:customStyle="1" w:styleId="Sinlista1">
    <w:name w:val="Sin lista1"/>
    <w:next w:val="Sinlista"/>
    <w:qFormat/>
  </w:style>
  <w:style w:type="character" w:customStyle="1" w:styleId="apple-converted-space">
    <w:name w:val="apple-converted-space"/>
    <w:rPr>
      <w:w w:val="100"/>
      <w:position w:val="-1"/>
      <w:effect w:val="none"/>
      <w:vertAlign w:val="baseline"/>
      <w:cs w:val="0"/>
      <w:em w:val="none"/>
    </w:rPr>
  </w:style>
  <w:style w:type="paragraph" w:styleId="NormalWeb">
    <w:name w:val="Normal (Web)"/>
    <w:basedOn w:val="Normal"/>
    <w:uiPriority w:val="99"/>
    <w:qFormat/>
    <w:pPr>
      <w:spacing w:before="100" w:beforeAutospacing="1" w:after="100" w:afterAutospacing="1"/>
    </w:pPr>
    <w:rPr>
      <w:rFonts w:ascii="Times New Roman" w:eastAsia="Times New Roman" w:hAnsi="Times New Roman"/>
      <w:sz w:val="24"/>
      <w:szCs w:val="24"/>
      <w:lang w:val="en-US"/>
    </w:rPr>
  </w:style>
  <w:style w:type="numbering" w:customStyle="1" w:styleId="Sinlista2">
    <w:name w:val="Sin lista2"/>
    <w:next w:val="Sinlista"/>
    <w:qFormat/>
  </w:style>
  <w:style w:type="numbering" w:customStyle="1" w:styleId="Sinlista3">
    <w:name w:val="Sin lista3"/>
    <w:next w:val="Sinlista"/>
    <w:qFormat/>
  </w:style>
  <w:style w:type="paragraph" w:customStyle="1" w:styleId="parrafo">
    <w:name w:val="parrafo"/>
    <w:basedOn w:val="Normal"/>
    <w:pPr>
      <w:spacing w:before="100" w:beforeAutospacing="1" w:after="100" w:afterAutospacing="1"/>
    </w:pPr>
    <w:rPr>
      <w:rFonts w:ascii="Times New Roman" w:eastAsia="Times New Roman" w:hAnsi="Times New Roman"/>
      <w:sz w:val="24"/>
      <w:szCs w:val="24"/>
      <w:lang w:eastAsia="es-AR"/>
    </w:rPr>
  </w:style>
  <w:style w:type="paragraph" w:styleId="Revisin">
    <w:name w:val="Revision"/>
    <w:pPr>
      <w:suppressAutoHyphens/>
      <w:spacing w:line="1" w:lineRule="atLeast"/>
      <w:ind w:leftChars="-1" w:left="-1" w:hangingChars="1"/>
      <w:textDirection w:val="btLr"/>
      <w:textAlignment w:val="top"/>
      <w:outlineLvl w:val="0"/>
    </w:pPr>
    <w:rPr>
      <w:position w:val="-1"/>
      <w:lang w:eastAsia="en-US"/>
    </w:rPr>
  </w:style>
  <w:style w:type="paragraph" w:customStyle="1" w:styleId="element">
    <w:name w:val="element"/>
    <w:basedOn w:val="Normal"/>
    <w:pPr>
      <w:spacing w:before="100" w:beforeAutospacing="1" w:after="100" w:afterAutospacing="1"/>
    </w:pPr>
    <w:rPr>
      <w:rFonts w:ascii="Times New Roman" w:eastAsia="Times New Roman" w:hAnsi="Times New Roman"/>
      <w:sz w:val="24"/>
      <w:szCs w:val="24"/>
      <w:lang w:eastAsia="es-AR"/>
    </w:rPr>
  </w:style>
  <w:style w:type="character" w:styleId="Textoennegrita">
    <w:name w:val="Strong"/>
    <w:rPr>
      <w:b/>
      <w:bCs/>
      <w:w w:val="100"/>
      <w:position w:val="-1"/>
      <w:effect w:val="none"/>
      <w:vertAlign w:val="baseline"/>
      <w:cs w:val="0"/>
      <w:em w:val="none"/>
    </w:rPr>
  </w:style>
  <w:style w:type="table" w:styleId="Tablaconcuadrcula">
    <w:name w:val="Table Grid"/>
    <w:basedOn w:val="Tablanormal"/>
    <w:uiPriority w:val="39"/>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rPr>
      <w:sz w:val="20"/>
      <w:szCs w:val="20"/>
    </w:rPr>
  </w:style>
  <w:style w:type="character" w:customStyle="1" w:styleId="TextocomentarioCar">
    <w:name w:val="Texto comentario Car"/>
    <w:rPr>
      <w:w w:val="100"/>
      <w:position w:val="-1"/>
      <w:effect w:val="none"/>
      <w:vertAlign w:val="baseline"/>
      <w:cs w:val="0"/>
      <w:em w:val="none"/>
      <w:lang w:eastAsia="en-US"/>
    </w:rPr>
  </w:style>
  <w:style w:type="paragraph" w:styleId="Asuntodelcomentario">
    <w:name w:val="annotation subject"/>
    <w:basedOn w:val="Textocomentario"/>
    <w:next w:val="Textocomentario"/>
    <w:qFormat/>
    <w:rPr>
      <w:b/>
      <w:bCs/>
    </w:rPr>
  </w:style>
  <w:style w:type="character" w:customStyle="1" w:styleId="AsuntodelcomentarioCar">
    <w:name w:val="Asunto del comentario Car"/>
    <w:rPr>
      <w:b/>
      <w:bCs/>
      <w:w w:val="100"/>
      <w:position w:val="-1"/>
      <w:effect w:val="none"/>
      <w:vertAlign w:val="baseline"/>
      <w:cs w:val="0"/>
      <w:em w:val="none"/>
      <w:lang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left w:w="108" w:type="dxa"/>
        <w:right w:w="108" w:type="dxa"/>
      </w:tblCellMar>
    </w:tblPr>
  </w:style>
  <w:style w:type="table" w:customStyle="1" w:styleId="a5">
    <w:basedOn w:val="TableNormal3"/>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08" w:type="dxa"/>
        <w:right w:w="108" w:type="dxa"/>
      </w:tblCellMar>
    </w:tblPr>
  </w:style>
  <w:style w:type="table" w:customStyle="1" w:styleId="ab">
    <w:basedOn w:val="TableNormal2"/>
    <w:tblPr>
      <w:tblStyleRowBandSize w:val="1"/>
      <w:tblStyleColBandSize w:val="1"/>
      <w:tblCellMar>
        <w:left w:w="108" w:type="dxa"/>
        <w:right w:w="108" w:type="dxa"/>
      </w:tblCellMar>
    </w:tblPr>
  </w:style>
  <w:style w:type="character" w:customStyle="1" w:styleId="apple-tab-span">
    <w:name w:val="apple-tab-span"/>
    <w:basedOn w:val="Fuentedeprrafopredeter"/>
    <w:rsid w:val="00AD3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358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versor@matbarofex.com.ar" TargetMode="External"/><Relationship Id="rId3" Type="http://schemas.openxmlformats.org/officeDocument/2006/relationships/styles" Target="styles.xml"/><Relationship Id="rId7" Type="http://schemas.openxmlformats.org/officeDocument/2006/relationships/hyperlink" Target="mailto:inversor@matbarofex.com.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atbarofex.com.a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HsXhEZiVJGQKB9LdY7cdOOHfkA==">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1288</Words>
  <Characters>7087</Characters>
  <Application>Microsoft Office Word</Application>
  <DocSecurity>0</DocSecurity>
  <Lines>59</Lines>
  <Paragraphs>16</Paragraphs>
  <ScaleCrop>false</ScaleCrop>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MATba - Viviana Rozic</dc:creator>
  <cp:lastModifiedBy>MATba - Martin Ostri</cp:lastModifiedBy>
  <cp:revision>4</cp:revision>
  <dcterms:created xsi:type="dcterms:W3CDTF">2021-09-07T12:47:00Z</dcterms:created>
  <dcterms:modified xsi:type="dcterms:W3CDTF">2021-09-07T12:48:00Z</dcterms:modified>
</cp:coreProperties>
</file>