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3A0E5" w14:textId="23E1F3D2" w:rsidR="00471557" w:rsidRPr="009D5905" w:rsidRDefault="009D5905" w:rsidP="009D5905">
      <w:pPr>
        <w:jc w:val="right"/>
      </w:pPr>
      <w:r>
        <w:rPr>
          <w:color w:val="FF0000"/>
        </w:rPr>
        <w:t>Paris, le 9 juillet 2021</w:t>
      </w:r>
    </w:p>
    <w:p w14:paraId="5C689FC5" w14:textId="34C631FE" w:rsidR="00471557" w:rsidRPr="009D5905" w:rsidRDefault="00471557"/>
    <w:p w14:paraId="30B44299" w14:textId="77777777" w:rsidR="006A62AC" w:rsidRPr="009D5905" w:rsidRDefault="006A62AC" w:rsidP="00D159AE">
      <w:pPr>
        <w:jc w:val="center"/>
        <w:rPr>
          <w:rFonts w:ascii="Arial" w:hAnsi="Arial" w:cs="Arial"/>
          <w:b/>
          <w:noProof/>
          <w:color w:val="0070EF"/>
          <w:sz w:val="32"/>
          <w:szCs w:val="20"/>
        </w:rPr>
      </w:pPr>
    </w:p>
    <w:p w14:paraId="3278A68E" w14:textId="79C485F6" w:rsidR="00471557" w:rsidRPr="009D5905" w:rsidRDefault="009D5905" w:rsidP="00D159AE">
      <w:pPr>
        <w:jc w:val="center"/>
        <w:rPr>
          <w:rFonts w:ascii="Arial" w:hAnsi="Arial" w:cs="Arial"/>
          <w:b/>
          <w:noProof/>
          <w:color w:val="0070EF"/>
          <w:sz w:val="32"/>
          <w:szCs w:val="20"/>
        </w:rPr>
      </w:pPr>
      <w:r w:rsidRPr="009D5905">
        <w:rPr>
          <w:rFonts w:ascii="Arial" w:hAnsi="Arial" w:cs="Arial"/>
          <w:b/>
          <w:noProof/>
          <w:color w:val="0070EF"/>
          <w:sz w:val="32"/>
          <w:szCs w:val="20"/>
        </w:rPr>
        <w:t>Mise en œuvre d’un contrat de liquidité avec Kepler Cheuvreux</w:t>
      </w:r>
    </w:p>
    <w:p w14:paraId="55654ED1" w14:textId="2A8D824B" w:rsidR="00471557" w:rsidRPr="009D5905" w:rsidRDefault="00471557" w:rsidP="00471557">
      <w:pPr>
        <w:jc w:val="center"/>
        <w:rPr>
          <w:b/>
          <w:bCs/>
        </w:rPr>
      </w:pPr>
    </w:p>
    <w:p w14:paraId="54E1DE4B" w14:textId="5FFCBA65" w:rsidR="009D5905" w:rsidRDefault="0069045E" w:rsidP="00D24D8C">
      <w:pPr>
        <w:spacing w:line="276" w:lineRule="auto"/>
        <w:jc w:val="both"/>
        <w:rPr>
          <w:rFonts w:ascii="Arial" w:hAnsi="Arial" w:cs="Arial"/>
        </w:rPr>
      </w:pPr>
      <w:r w:rsidRPr="009D5905">
        <w:rPr>
          <w:rFonts w:ascii="Arial" w:hAnsi="Arial" w:cs="Arial"/>
        </w:rPr>
        <w:t>Technip Energies</w:t>
      </w:r>
      <w:r w:rsidR="00471557" w:rsidRPr="009D5905">
        <w:rPr>
          <w:rFonts w:ascii="Arial" w:hAnsi="Arial" w:cs="Arial"/>
        </w:rPr>
        <w:t xml:space="preserve"> </w:t>
      </w:r>
      <w:r w:rsidRPr="009D5905">
        <w:rPr>
          <w:rFonts w:ascii="Arial" w:hAnsi="Arial" w:cs="Arial"/>
        </w:rPr>
        <w:t>(</w:t>
      </w:r>
      <w:proofErr w:type="spellStart"/>
      <w:r w:rsidRPr="009D5905">
        <w:rPr>
          <w:rFonts w:ascii="Arial" w:hAnsi="Arial" w:cs="Arial"/>
        </w:rPr>
        <w:t>Paris:TE</w:t>
      </w:r>
      <w:proofErr w:type="spellEnd"/>
      <w:r w:rsidRPr="009D5905">
        <w:rPr>
          <w:rFonts w:ascii="Arial" w:hAnsi="Arial" w:cs="Arial"/>
        </w:rPr>
        <w:t>) (ISIN:NL0014559478)</w:t>
      </w:r>
      <w:r w:rsidR="00AD740A" w:rsidRPr="009D5905">
        <w:rPr>
          <w:rFonts w:ascii="Arial" w:hAnsi="Arial" w:cs="Arial"/>
        </w:rPr>
        <w:t xml:space="preserve">, </w:t>
      </w:r>
      <w:r w:rsidR="00295D65" w:rsidRPr="00295D65">
        <w:rPr>
          <w:rFonts w:ascii="Arial" w:hAnsi="Arial" w:cs="Arial"/>
        </w:rPr>
        <w:t>entreprise d’ingénierie et des technologies de premier plan au service de la transition énergétique</w:t>
      </w:r>
      <w:r w:rsidR="00295D65">
        <w:rPr>
          <w:rFonts w:ascii="Arial" w:hAnsi="Arial" w:cs="Arial"/>
        </w:rPr>
        <w:t xml:space="preserve">, </w:t>
      </w:r>
      <w:r w:rsidR="00295D65" w:rsidRPr="00295D65">
        <w:rPr>
          <w:rFonts w:ascii="Arial" w:hAnsi="Arial" w:cs="Arial"/>
        </w:rPr>
        <w:t>annonce aujourd’hui la mise en œuvre</w:t>
      </w:r>
      <w:r w:rsidR="00295D65">
        <w:rPr>
          <w:rFonts w:ascii="Arial" w:hAnsi="Arial" w:cs="Arial"/>
        </w:rPr>
        <w:t xml:space="preserve"> </w:t>
      </w:r>
      <w:r w:rsidR="00295D65" w:rsidRPr="00295D65">
        <w:rPr>
          <w:rFonts w:ascii="Arial" w:hAnsi="Arial" w:cs="Arial"/>
        </w:rPr>
        <w:t xml:space="preserve">d’un contrat de liquidité avec Kepler Cheuvreux </w:t>
      </w:r>
      <w:r w:rsidR="00F1089F">
        <w:rPr>
          <w:rFonts w:ascii="Arial" w:hAnsi="Arial" w:cs="Arial"/>
        </w:rPr>
        <w:t>afin de favoriser la liquidité des actions Technip Energies admises aux n</w:t>
      </w:r>
      <w:r w:rsidR="005D3D7B">
        <w:rPr>
          <w:rFonts w:ascii="Arial" w:hAnsi="Arial" w:cs="Arial"/>
        </w:rPr>
        <w:t>égociations sur Euronext Paris.</w:t>
      </w:r>
    </w:p>
    <w:p w14:paraId="2DE465D8" w14:textId="4995DCA7" w:rsidR="00CB5FE3" w:rsidRDefault="00CB5FE3" w:rsidP="00D24D8C">
      <w:pPr>
        <w:spacing w:line="276" w:lineRule="auto"/>
        <w:jc w:val="both"/>
        <w:rPr>
          <w:rFonts w:ascii="Arial" w:hAnsi="Arial" w:cs="Arial"/>
        </w:rPr>
      </w:pPr>
      <w:r w:rsidRPr="00CB5FE3">
        <w:rPr>
          <w:rFonts w:ascii="Arial" w:hAnsi="Arial" w:cs="Arial"/>
        </w:rPr>
        <w:t>La mise en œuvre de ce contrat de liquidité, en vertu de</w:t>
      </w:r>
      <w:r w:rsidR="00E42950">
        <w:rPr>
          <w:rFonts w:ascii="Arial" w:hAnsi="Arial" w:cs="Arial"/>
        </w:rPr>
        <w:t xml:space="preserve"> l’autorisation accordée par le Conseil d’administration de Technip Energies le 20 avril 2021, </w:t>
      </w:r>
      <w:r w:rsidRPr="00CB5FE3">
        <w:rPr>
          <w:rFonts w:ascii="Arial" w:hAnsi="Arial" w:cs="Arial"/>
        </w:rPr>
        <w:t>sera conforme au cadre juridique en vigueur, et plus particulièrement aux dispositions du Règlement (UE) n° 596/2014 du Parlement européen et du Conseil du 16 avril 2014 sur les abus de marché (MAR), du Règlement délégué (UE) 2016/908 de la Commission du 26 février 2016 complétant le Règlement (UE) n° 596/2014 du Parlement européen et du Conseil par des normes techniques de réglementation sur les critères, la procédure et les exigences concernant l’instauration d’une pratique de marché admise et les exigences liées à son maintien, à sa suppression ou à la modification de ses condition</w:t>
      </w:r>
      <w:r w:rsidR="00E42950">
        <w:rPr>
          <w:rFonts w:ascii="Arial" w:hAnsi="Arial" w:cs="Arial"/>
        </w:rPr>
        <w:t>s d’admission, de la section 2.4.3 du Code civil néerlandais</w:t>
      </w:r>
      <w:r w:rsidRPr="00CB5FE3">
        <w:rPr>
          <w:rFonts w:ascii="Arial" w:hAnsi="Arial" w:cs="Arial"/>
        </w:rPr>
        <w:t xml:space="preserve"> et </w:t>
      </w:r>
      <w:r w:rsidR="00E42950">
        <w:rPr>
          <w:rFonts w:ascii="Arial" w:hAnsi="Arial" w:cs="Arial"/>
        </w:rPr>
        <w:t xml:space="preserve">de la </w:t>
      </w:r>
      <w:r w:rsidRPr="00CB5FE3">
        <w:rPr>
          <w:rFonts w:ascii="Arial" w:hAnsi="Arial" w:cs="Arial"/>
        </w:rPr>
        <w:t xml:space="preserve">décision AMF n° </w:t>
      </w:r>
      <w:r w:rsidR="00E42950">
        <w:rPr>
          <w:rFonts w:ascii="Arial" w:hAnsi="Arial" w:cs="Arial"/>
        </w:rPr>
        <w:t>2021-01</w:t>
      </w:r>
      <w:r w:rsidRPr="00CB5FE3">
        <w:rPr>
          <w:rFonts w:ascii="Arial" w:hAnsi="Arial" w:cs="Arial"/>
        </w:rPr>
        <w:t xml:space="preserve"> du </w:t>
      </w:r>
      <w:r w:rsidR="00E42950">
        <w:rPr>
          <w:rFonts w:ascii="Arial" w:hAnsi="Arial" w:cs="Arial"/>
        </w:rPr>
        <w:t>2</w:t>
      </w:r>
      <w:r w:rsidRPr="00CB5FE3">
        <w:rPr>
          <w:rFonts w:ascii="Arial" w:hAnsi="Arial" w:cs="Arial"/>
        </w:rPr>
        <w:t xml:space="preserve">2 </w:t>
      </w:r>
      <w:r w:rsidR="00E42950">
        <w:rPr>
          <w:rFonts w:ascii="Arial" w:hAnsi="Arial" w:cs="Arial"/>
        </w:rPr>
        <w:t>juin 2021</w:t>
      </w:r>
      <w:r w:rsidRPr="00CB5FE3">
        <w:rPr>
          <w:rFonts w:ascii="Arial" w:hAnsi="Arial" w:cs="Arial"/>
        </w:rPr>
        <w:t>, applicable à compter du 1</w:t>
      </w:r>
      <w:r w:rsidR="00E42950" w:rsidRPr="00E42950">
        <w:rPr>
          <w:rFonts w:ascii="Arial" w:hAnsi="Arial" w:cs="Arial"/>
          <w:vertAlign w:val="superscript"/>
        </w:rPr>
        <w:t>er</w:t>
      </w:r>
      <w:r w:rsidRPr="00CB5FE3">
        <w:rPr>
          <w:rFonts w:ascii="Arial" w:hAnsi="Arial" w:cs="Arial"/>
        </w:rPr>
        <w:t xml:space="preserve"> </w:t>
      </w:r>
      <w:r w:rsidR="00E42950">
        <w:rPr>
          <w:rFonts w:ascii="Arial" w:hAnsi="Arial" w:cs="Arial"/>
        </w:rPr>
        <w:t>juillet 2021.</w:t>
      </w:r>
    </w:p>
    <w:p w14:paraId="0FE4D63E" w14:textId="45A55ECC" w:rsidR="009D5905" w:rsidRDefault="00E42950" w:rsidP="00921E98">
      <w:pPr>
        <w:jc w:val="both"/>
        <w:rPr>
          <w:rFonts w:ascii="Arial" w:hAnsi="Arial" w:cs="Arial"/>
        </w:rPr>
      </w:pPr>
      <w:r w:rsidRPr="00E42950">
        <w:rPr>
          <w:rFonts w:ascii="Arial" w:hAnsi="Arial" w:cs="Arial"/>
        </w:rPr>
        <w:t xml:space="preserve">Les ressources </w:t>
      </w:r>
      <w:r>
        <w:rPr>
          <w:rFonts w:ascii="Arial" w:hAnsi="Arial" w:cs="Arial"/>
        </w:rPr>
        <w:t xml:space="preserve">en numéraire </w:t>
      </w:r>
      <w:r w:rsidRPr="00E42950">
        <w:rPr>
          <w:rFonts w:ascii="Arial" w:hAnsi="Arial" w:cs="Arial"/>
        </w:rPr>
        <w:t>suivantes ont été affectées au compte de liquidité :</w:t>
      </w:r>
      <w:r>
        <w:rPr>
          <w:rFonts w:ascii="Arial" w:hAnsi="Arial" w:cs="Arial"/>
        </w:rPr>
        <w:t xml:space="preserve"> 9.000.000 euros.</w:t>
      </w:r>
    </w:p>
    <w:p w14:paraId="7432A521" w14:textId="30CF682C" w:rsidR="00E42950" w:rsidRDefault="00E42950" w:rsidP="00E42950">
      <w:pPr>
        <w:jc w:val="both"/>
        <w:rPr>
          <w:rFonts w:ascii="Arial" w:hAnsi="Arial" w:cs="Arial"/>
        </w:rPr>
      </w:pPr>
      <w:r w:rsidRPr="00E42950">
        <w:rPr>
          <w:rFonts w:ascii="Arial" w:hAnsi="Arial" w:cs="Arial"/>
        </w:rPr>
        <w:t xml:space="preserve">L’exécution du contrat de liquidité pourrait être suspendue dans les conditions visées à l’article 5 de la décision AMF </w:t>
      </w:r>
      <w:r w:rsidRPr="00CB5FE3">
        <w:rPr>
          <w:rFonts w:ascii="Arial" w:hAnsi="Arial" w:cs="Arial"/>
        </w:rPr>
        <w:t xml:space="preserve">n° </w:t>
      </w:r>
      <w:r>
        <w:rPr>
          <w:rFonts w:ascii="Arial" w:hAnsi="Arial" w:cs="Arial"/>
        </w:rPr>
        <w:t>2021-01</w:t>
      </w:r>
      <w:r w:rsidRPr="00CB5FE3">
        <w:rPr>
          <w:rFonts w:ascii="Arial" w:hAnsi="Arial" w:cs="Arial"/>
        </w:rPr>
        <w:t xml:space="preserve"> du </w:t>
      </w:r>
      <w:r>
        <w:rPr>
          <w:rFonts w:ascii="Arial" w:hAnsi="Arial" w:cs="Arial"/>
        </w:rPr>
        <w:t>2</w:t>
      </w:r>
      <w:r w:rsidRPr="00CB5FE3">
        <w:rPr>
          <w:rFonts w:ascii="Arial" w:hAnsi="Arial" w:cs="Arial"/>
        </w:rPr>
        <w:t xml:space="preserve">2 </w:t>
      </w:r>
      <w:r>
        <w:rPr>
          <w:rFonts w:ascii="Arial" w:hAnsi="Arial" w:cs="Arial"/>
        </w:rPr>
        <w:t>juin 2021</w:t>
      </w:r>
      <w:r w:rsidRPr="00E42950">
        <w:rPr>
          <w:rFonts w:ascii="Arial" w:hAnsi="Arial" w:cs="Arial"/>
        </w:rPr>
        <w:t>.</w:t>
      </w:r>
    </w:p>
    <w:p w14:paraId="79749E01" w14:textId="4E8F809C" w:rsidR="006F1DBF" w:rsidRPr="006F1DBF" w:rsidRDefault="006F1DBF" w:rsidP="006F1DBF">
      <w:pPr>
        <w:rPr>
          <w:rFonts w:ascii="Arial" w:hAnsi="Arial" w:cs="Arial"/>
        </w:rPr>
      </w:pPr>
      <w:r w:rsidRPr="006F1DBF">
        <w:rPr>
          <w:rFonts w:ascii="Arial" w:hAnsi="Arial" w:cs="Arial"/>
        </w:rPr>
        <w:t>L’exécution du contrat de liquidité pourrait également être suspendue dans les cas suivants :</w:t>
      </w:r>
    </w:p>
    <w:p w14:paraId="09DE9509" w14:textId="361B24E9" w:rsidR="006F1DBF" w:rsidRDefault="006F1DBF" w:rsidP="006F1DBF">
      <w:pPr>
        <w:pStyle w:val="ListParagraph"/>
        <w:numPr>
          <w:ilvl w:val="0"/>
          <w:numId w:val="4"/>
        </w:numPr>
        <w:jc w:val="both"/>
        <w:rPr>
          <w:rFonts w:ascii="Arial" w:hAnsi="Arial" w:cs="Arial"/>
        </w:rPr>
      </w:pPr>
      <w:r>
        <w:rPr>
          <w:rFonts w:ascii="Arial" w:hAnsi="Arial" w:cs="Arial"/>
        </w:rPr>
        <w:t>par Technip Energies</w:t>
      </w:r>
      <w:r w:rsidRPr="006F1DBF">
        <w:rPr>
          <w:rFonts w:ascii="Arial" w:hAnsi="Arial" w:cs="Arial"/>
        </w:rPr>
        <w:t>, dans l’hypothèse où Kepler Cheuvreux n’aurait pas mis en œuvre des efforts raisonnables aux fins de remplir ses obligations quant à la liquidité des transactions et la régularité des cotations ;</w:t>
      </w:r>
    </w:p>
    <w:p w14:paraId="4A63C899" w14:textId="77716940" w:rsidR="006F1DBF" w:rsidRPr="006F1DBF" w:rsidRDefault="006F1DBF" w:rsidP="006F1DBF">
      <w:pPr>
        <w:pStyle w:val="ListParagraph"/>
        <w:numPr>
          <w:ilvl w:val="0"/>
          <w:numId w:val="4"/>
        </w:numPr>
        <w:jc w:val="both"/>
        <w:rPr>
          <w:rFonts w:ascii="Arial" w:hAnsi="Arial" w:cs="Arial"/>
        </w:rPr>
      </w:pPr>
      <w:r>
        <w:rPr>
          <w:rFonts w:ascii="Arial" w:hAnsi="Arial" w:cs="Arial"/>
        </w:rPr>
        <w:t>par Technip Energies</w:t>
      </w:r>
      <w:r w:rsidRPr="006F1DBF">
        <w:rPr>
          <w:rFonts w:ascii="Arial" w:hAnsi="Arial" w:cs="Arial"/>
        </w:rPr>
        <w:t>, pour des raisons techniques, telles que le comptage des actions ayant droit de vote avant une assemblée générale ou le comptage des actions donnant droit au dividende avant son détachement ;</w:t>
      </w:r>
    </w:p>
    <w:p w14:paraId="3B0839BC" w14:textId="3AB05676" w:rsidR="006F1DBF" w:rsidRPr="006F1DBF" w:rsidRDefault="006F1DBF" w:rsidP="006F1DBF">
      <w:pPr>
        <w:pStyle w:val="ListParagraph"/>
        <w:numPr>
          <w:ilvl w:val="0"/>
          <w:numId w:val="4"/>
        </w:numPr>
        <w:jc w:val="both"/>
        <w:rPr>
          <w:rFonts w:ascii="Arial" w:hAnsi="Arial" w:cs="Arial"/>
        </w:rPr>
      </w:pPr>
      <w:r w:rsidRPr="006F1DBF">
        <w:rPr>
          <w:rFonts w:ascii="Arial" w:hAnsi="Arial" w:cs="Arial"/>
        </w:rPr>
        <w:t>par Kepler Cheuvreux, lorsque les informations portées à sa connaissance le mettent dans l’impossibilité de continuer à assurer ses obligations ;</w:t>
      </w:r>
      <w:r>
        <w:rPr>
          <w:rFonts w:ascii="Arial" w:hAnsi="Arial" w:cs="Arial"/>
        </w:rPr>
        <w:t xml:space="preserve"> et</w:t>
      </w:r>
    </w:p>
    <w:p w14:paraId="459BB55E" w14:textId="6B966924" w:rsidR="006F1DBF" w:rsidRPr="006F1DBF" w:rsidRDefault="006F1DBF" w:rsidP="006F1DBF">
      <w:pPr>
        <w:pStyle w:val="ListParagraph"/>
        <w:numPr>
          <w:ilvl w:val="0"/>
          <w:numId w:val="4"/>
        </w:numPr>
        <w:jc w:val="both"/>
        <w:rPr>
          <w:rFonts w:ascii="Arial" w:hAnsi="Arial" w:cs="Arial"/>
        </w:rPr>
      </w:pPr>
      <w:r w:rsidRPr="006F1DBF">
        <w:rPr>
          <w:rFonts w:ascii="Arial" w:hAnsi="Arial" w:cs="Arial"/>
        </w:rPr>
        <w:t>par Kepler Cheuvreux, lorsque les sommes dues à Kepler Cheuvreux au titre du contrat de liquidité ne lui ont p</w:t>
      </w:r>
      <w:r>
        <w:rPr>
          <w:rFonts w:ascii="Arial" w:hAnsi="Arial" w:cs="Arial"/>
        </w:rPr>
        <w:t>as été réglées à bonne date.</w:t>
      </w:r>
    </w:p>
    <w:p w14:paraId="193278C7" w14:textId="418DF887" w:rsidR="006F1DBF" w:rsidRPr="006F1DBF" w:rsidRDefault="006F1DBF" w:rsidP="00CE7330">
      <w:pPr>
        <w:rPr>
          <w:rFonts w:ascii="Arial" w:hAnsi="Arial" w:cs="Arial"/>
        </w:rPr>
      </w:pPr>
      <w:r w:rsidRPr="006F1DBF">
        <w:rPr>
          <w:rFonts w:ascii="Arial" w:hAnsi="Arial" w:cs="Arial"/>
        </w:rPr>
        <w:t>Le contrat de liquidité pourrait être résilié dans les conditions suivantes :</w:t>
      </w:r>
    </w:p>
    <w:p w14:paraId="40501BAC" w14:textId="440D57F3" w:rsidR="006F1DBF" w:rsidRPr="006F1DBF" w:rsidRDefault="006F1DBF" w:rsidP="00CE7330">
      <w:pPr>
        <w:pStyle w:val="ListParagraph"/>
        <w:numPr>
          <w:ilvl w:val="0"/>
          <w:numId w:val="4"/>
        </w:numPr>
        <w:jc w:val="both"/>
        <w:rPr>
          <w:rFonts w:ascii="Arial" w:hAnsi="Arial" w:cs="Arial"/>
        </w:rPr>
      </w:pPr>
      <w:r w:rsidRPr="006F1DBF">
        <w:rPr>
          <w:rFonts w:ascii="Arial" w:hAnsi="Arial" w:cs="Arial"/>
        </w:rPr>
        <w:t xml:space="preserve">à tout moment par </w:t>
      </w:r>
      <w:r w:rsidR="00CE7330">
        <w:rPr>
          <w:rFonts w:ascii="Arial" w:hAnsi="Arial" w:cs="Arial"/>
        </w:rPr>
        <w:t>Technip Energies, sans préavis ;</w:t>
      </w:r>
    </w:p>
    <w:p w14:paraId="5C426F5C" w14:textId="77777777" w:rsidR="006F1DBF" w:rsidRPr="006F1DBF" w:rsidRDefault="006F1DBF" w:rsidP="00CE7330">
      <w:pPr>
        <w:pStyle w:val="ListParagraph"/>
        <w:numPr>
          <w:ilvl w:val="0"/>
          <w:numId w:val="4"/>
        </w:numPr>
        <w:jc w:val="both"/>
        <w:rPr>
          <w:rFonts w:ascii="Arial" w:hAnsi="Arial" w:cs="Arial"/>
        </w:rPr>
      </w:pPr>
      <w:r w:rsidRPr="006F1DBF">
        <w:rPr>
          <w:rFonts w:ascii="Arial" w:hAnsi="Arial" w:cs="Arial"/>
        </w:rPr>
        <w:t>à tout moment par Kepler Cheuvreux moyennant le respect d’un préavis de trente (30) jours calendaires ;</w:t>
      </w:r>
    </w:p>
    <w:p w14:paraId="4E67C6A7" w14:textId="7BB704B8" w:rsidR="009D5905" w:rsidRDefault="006F1DBF" w:rsidP="00CE7330">
      <w:pPr>
        <w:pStyle w:val="ListParagraph"/>
        <w:numPr>
          <w:ilvl w:val="0"/>
          <w:numId w:val="4"/>
        </w:numPr>
        <w:jc w:val="both"/>
        <w:rPr>
          <w:rFonts w:ascii="Arial" w:hAnsi="Arial" w:cs="Arial"/>
        </w:rPr>
      </w:pPr>
      <w:r w:rsidRPr="006F1DBF">
        <w:rPr>
          <w:rFonts w:ascii="Arial" w:hAnsi="Arial" w:cs="Arial"/>
        </w:rPr>
        <w:t>sans préavis et sans formalité si les actions sont transférées sur un autre marché boursier.</w:t>
      </w:r>
    </w:p>
    <w:p w14:paraId="7D07ABB0" w14:textId="77777777" w:rsidR="009D5905" w:rsidRDefault="009D5905" w:rsidP="00921E98">
      <w:pPr>
        <w:jc w:val="both"/>
        <w:rPr>
          <w:rFonts w:ascii="Arial" w:hAnsi="Arial" w:cs="Arial"/>
        </w:rPr>
      </w:pPr>
    </w:p>
    <w:p w14:paraId="3B99462B" w14:textId="77777777" w:rsidR="009D5905" w:rsidRDefault="009D5905" w:rsidP="00921E98">
      <w:pPr>
        <w:jc w:val="both"/>
        <w:rPr>
          <w:rFonts w:ascii="Arial" w:hAnsi="Arial" w:cs="Arial"/>
        </w:rPr>
      </w:pPr>
    </w:p>
    <w:p w14:paraId="7B5FE003" w14:textId="77777777" w:rsidR="009D5905" w:rsidRDefault="009D5905" w:rsidP="00921E98">
      <w:pPr>
        <w:jc w:val="both"/>
        <w:rPr>
          <w:rFonts w:ascii="Arial" w:hAnsi="Arial" w:cs="Arial"/>
        </w:rPr>
      </w:pPr>
    </w:p>
    <w:p w14:paraId="644286EA" w14:textId="77777777" w:rsidR="006A62AC" w:rsidRPr="009D5905" w:rsidRDefault="006A62AC" w:rsidP="006A62AC">
      <w:pPr>
        <w:spacing w:after="0" w:line="240" w:lineRule="auto"/>
        <w:rPr>
          <w:rFonts w:ascii="Arial" w:hAnsi="Arial" w:cs="Arial"/>
          <w:b/>
          <w:bCs/>
          <w:noProof/>
          <w:color w:val="0070EF"/>
          <w:sz w:val="24"/>
        </w:rPr>
      </w:pPr>
    </w:p>
    <w:p w14:paraId="6D38C6D4" w14:textId="1E3DDDA3" w:rsidR="003451A0" w:rsidRDefault="003451A0" w:rsidP="006A62AC">
      <w:pPr>
        <w:spacing w:after="0" w:line="240" w:lineRule="auto"/>
        <w:rPr>
          <w:rFonts w:ascii="Arial" w:hAnsi="Arial" w:cs="Arial"/>
          <w:b/>
          <w:bCs/>
          <w:noProof/>
          <w:color w:val="0070EF"/>
          <w:sz w:val="24"/>
        </w:rPr>
      </w:pPr>
    </w:p>
    <w:p w14:paraId="466C899C" w14:textId="4CE81161" w:rsidR="003451A0" w:rsidRDefault="003451A0" w:rsidP="006A62AC">
      <w:pPr>
        <w:spacing w:after="0" w:line="240" w:lineRule="auto"/>
        <w:rPr>
          <w:rFonts w:ascii="Arial" w:hAnsi="Arial" w:cs="Arial"/>
          <w:b/>
          <w:bCs/>
          <w:noProof/>
          <w:color w:val="0070EF"/>
          <w:sz w:val="24"/>
        </w:rPr>
      </w:pPr>
    </w:p>
    <w:p w14:paraId="269EFB00" w14:textId="77777777" w:rsidR="003451A0" w:rsidRPr="009D5905" w:rsidRDefault="003451A0" w:rsidP="003451A0">
      <w:pPr>
        <w:spacing w:after="0" w:line="240" w:lineRule="auto"/>
        <w:rPr>
          <w:rFonts w:ascii="Arial" w:hAnsi="Arial" w:cs="Arial"/>
          <w:b/>
          <w:bCs/>
          <w:noProof/>
          <w:color w:val="0070EF"/>
          <w:sz w:val="24"/>
        </w:rPr>
      </w:pPr>
      <w:r w:rsidRPr="009D5905">
        <w:rPr>
          <w:rFonts w:ascii="Arial" w:hAnsi="Arial" w:cs="Arial"/>
          <w:b/>
          <w:bCs/>
          <w:noProof/>
          <w:color w:val="0070EF"/>
          <w:sz w:val="24"/>
        </w:rPr>
        <w:t>Contacts</w:t>
      </w:r>
    </w:p>
    <w:p w14:paraId="7DEFA760" w14:textId="77777777" w:rsidR="003451A0" w:rsidRDefault="003451A0" w:rsidP="006A62AC">
      <w:pPr>
        <w:spacing w:after="0" w:line="240" w:lineRule="auto"/>
        <w:rPr>
          <w:rFonts w:ascii="Arial" w:hAnsi="Arial" w:cs="Arial"/>
          <w:b/>
          <w:bCs/>
          <w:noProof/>
          <w:color w:val="0070EF"/>
          <w:sz w:val="24"/>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451A0" w14:paraId="014063B6" w14:textId="77777777" w:rsidTr="001B1778">
        <w:tc>
          <w:tcPr>
            <w:tcW w:w="4531" w:type="dxa"/>
          </w:tcPr>
          <w:p w14:paraId="3C0FA647" w14:textId="50038DC4" w:rsidR="003451A0" w:rsidRPr="009D5905" w:rsidRDefault="003451A0" w:rsidP="003451A0">
            <w:pPr>
              <w:rPr>
                <w:rFonts w:ascii="Arial" w:hAnsi="Arial" w:cs="Arial"/>
                <w:b/>
                <w:bCs/>
              </w:rPr>
            </w:pPr>
            <w:r>
              <w:rPr>
                <w:rFonts w:ascii="Arial" w:hAnsi="Arial" w:cs="Arial"/>
                <w:b/>
                <w:bCs/>
              </w:rPr>
              <w:t>Relations Investisseurs</w:t>
            </w:r>
            <w:r>
              <w:rPr>
                <w:rFonts w:ascii="Arial" w:hAnsi="Arial" w:cs="Arial"/>
                <w:b/>
                <w:bCs/>
              </w:rPr>
              <w:tab/>
            </w:r>
            <w:r>
              <w:rPr>
                <w:rFonts w:ascii="Arial" w:hAnsi="Arial" w:cs="Arial"/>
                <w:b/>
                <w:bCs/>
              </w:rPr>
              <w:tab/>
            </w:r>
            <w:r>
              <w:rPr>
                <w:rFonts w:ascii="Arial" w:hAnsi="Arial" w:cs="Arial"/>
                <w:b/>
                <w:bCs/>
              </w:rPr>
              <w:tab/>
            </w:r>
          </w:p>
          <w:p w14:paraId="3F6AD2D3" w14:textId="641A538E" w:rsidR="003451A0" w:rsidRPr="009D5905" w:rsidRDefault="003451A0" w:rsidP="003451A0">
            <w:pPr>
              <w:rPr>
                <w:rFonts w:ascii="Arial" w:hAnsi="Arial" w:cs="Arial"/>
                <w:bCs/>
              </w:rPr>
            </w:pPr>
            <w:r w:rsidRPr="009D5905">
              <w:rPr>
                <w:rFonts w:ascii="Arial" w:hAnsi="Arial" w:cs="Arial"/>
                <w:bCs/>
              </w:rPr>
              <w:t>Phil</w:t>
            </w:r>
            <w:r w:rsidRPr="009D5905">
              <w:rPr>
                <w:rFonts w:ascii="Arial" w:hAnsi="Arial" w:cs="Arial"/>
              </w:rPr>
              <w:t>lip</w:t>
            </w:r>
            <w:r w:rsidR="001B1778">
              <w:rPr>
                <w:rFonts w:ascii="Arial" w:hAnsi="Arial" w:cs="Arial"/>
                <w:bCs/>
              </w:rPr>
              <w:t xml:space="preserve"> Lindsay</w:t>
            </w:r>
            <w:r w:rsidRPr="009D5905">
              <w:rPr>
                <w:rFonts w:ascii="Arial" w:hAnsi="Arial" w:cs="Arial"/>
                <w:bCs/>
              </w:rPr>
              <w:tab/>
            </w:r>
            <w:r w:rsidRPr="009D5905">
              <w:rPr>
                <w:rFonts w:ascii="Arial" w:hAnsi="Arial" w:cs="Arial"/>
                <w:bCs/>
              </w:rPr>
              <w:tab/>
            </w:r>
            <w:r w:rsidRPr="009D5905">
              <w:rPr>
                <w:rFonts w:ascii="Arial" w:hAnsi="Arial" w:cs="Arial"/>
                <w:bCs/>
              </w:rPr>
              <w:tab/>
            </w:r>
            <w:r w:rsidRPr="009D5905">
              <w:rPr>
                <w:rFonts w:ascii="Arial" w:hAnsi="Arial" w:cs="Arial"/>
                <w:bCs/>
              </w:rPr>
              <w:tab/>
            </w:r>
          </w:p>
          <w:p w14:paraId="0026CB1D" w14:textId="4EE57A5D" w:rsidR="003451A0" w:rsidRPr="009D5905" w:rsidRDefault="003451A0" w:rsidP="003451A0">
            <w:pPr>
              <w:rPr>
                <w:rFonts w:ascii="Arial" w:hAnsi="Arial" w:cs="Arial"/>
                <w:bCs/>
              </w:rPr>
            </w:pPr>
            <w:r>
              <w:rPr>
                <w:rFonts w:ascii="Arial" w:hAnsi="Arial" w:cs="Arial"/>
                <w:bCs/>
              </w:rPr>
              <w:t>Vice-président</w:t>
            </w:r>
            <w:r w:rsidRPr="009D5905">
              <w:rPr>
                <w:rFonts w:ascii="Arial" w:hAnsi="Arial" w:cs="Arial"/>
                <w:bCs/>
              </w:rPr>
              <w:t xml:space="preserve">, </w:t>
            </w:r>
            <w:r w:rsidRPr="003451A0">
              <w:rPr>
                <w:rFonts w:ascii="Arial" w:hAnsi="Arial" w:cs="Arial"/>
                <w:bCs/>
              </w:rPr>
              <w:t>Relations Investisseurs</w:t>
            </w:r>
            <w:r>
              <w:rPr>
                <w:rFonts w:ascii="Arial" w:hAnsi="Arial" w:cs="Arial"/>
                <w:bCs/>
              </w:rPr>
              <w:t xml:space="preserve"> </w:t>
            </w:r>
            <w:r>
              <w:rPr>
                <w:rFonts w:ascii="Arial" w:hAnsi="Arial" w:cs="Arial"/>
                <w:bCs/>
              </w:rPr>
              <w:tab/>
            </w:r>
          </w:p>
          <w:p w14:paraId="4A5A414B" w14:textId="77777777" w:rsidR="00FD261A" w:rsidRDefault="00FD261A" w:rsidP="003451A0">
            <w:pPr>
              <w:rPr>
                <w:rFonts w:ascii="Arial" w:hAnsi="Arial" w:cs="Arial"/>
                <w:bCs/>
              </w:rPr>
            </w:pPr>
          </w:p>
          <w:p w14:paraId="6B4ABE92" w14:textId="7E70D9A3" w:rsidR="003451A0" w:rsidRPr="009D5905" w:rsidRDefault="003451A0" w:rsidP="003451A0">
            <w:pPr>
              <w:rPr>
                <w:rFonts w:ascii="Arial" w:hAnsi="Arial" w:cs="Arial"/>
                <w:bCs/>
              </w:rPr>
            </w:pPr>
            <w:r w:rsidRPr="009D5905">
              <w:rPr>
                <w:rFonts w:ascii="Arial" w:hAnsi="Arial" w:cs="Arial"/>
                <w:bCs/>
              </w:rPr>
              <w:t xml:space="preserve">Tel: +44 20 3429 3929 </w:t>
            </w:r>
            <w:r w:rsidRPr="009D5905">
              <w:rPr>
                <w:rFonts w:ascii="Arial" w:hAnsi="Arial" w:cs="Arial"/>
                <w:bCs/>
              </w:rPr>
              <w:tab/>
            </w:r>
            <w:r w:rsidRPr="009D5905">
              <w:rPr>
                <w:rFonts w:ascii="Arial" w:hAnsi="Arial" w:cs="Arial"/>
                <w:bCs/>
              </w:rPr>
              <w:tab/>
            </w:r>
            <w:r w:rsidRPr="009D5905">
              <w:rPr>
                <w:rFonts w:ascii="Arial" w:hAnsi="Arial" w:cs="Arial"/>
                <w:bCs/>
              </w:rPr>
              <w:tab/>
            </w:r>
          </w:p>
          <w:p w14:paraId="7E8ABF69" w14:textId="4FBE28C3" w:rsidR="003451A0" w:rsidRDefault="003451A0" w:rsidP="003451A0">
            <w:pPr>
              <w:rPr>
                <w:rFonts w:ascii="Arial" w:hAnsi="Arial" w:cs="Arial"/>
                <w:b/>
                <w:bCs/>
                <w:noProof/>
                <w:color w:val="0070EF"/>
                <w:sz w:val="24"/>
              </w:rPr>
            </w:pPr>
            <w:r w:rsidRPr="009D5905">
              <w:rPr>
                <w:rFonts w:ascii="Arial" w:hAnsi="Arial" w:cs="Arial"/>
                <w:bCs/>
              </w:rPr>
              <w:t xml:space="preserve">Email: </w:t>
            </w:r>
            <w:hyperlink r:id="rId7" w:history="1">
              <w:r w:rsidRPr="009D5905">
                <w:rPr>
                  <w:rFonts w:ascii="Arial" w:hAnsi="Arial" w:cs="Arial"/>
                  <w:bCs/>
                  <w:color w:val="0563C1" w:themeColor="hyperlink"/>
                  <w:u w:val="single"/>
                </w:rPr>
                <w:t>Phillip Lindsay</w:t>
              </w:r>
            </w:hyperlink>
            <w:r w:rsidRPr="009D5905">
              <w:rPr>
                <w:rFonts w:ascii="Arial" w:hAnsi="Arial" w:cs="Arial"/>
                <w:bCs/>
              </w:rPr>
              <w:tab/>
            </w:r>
          </w:p>
        </w:tc>
        <w:tc>
          <w:tcPr>
            <w:tcW w:w="4531" w:type="dxa"/>
          </w:tcPr>
          <w:p w14:paraId="49EE31E2" w14:textId="77777777" w:rsidR="003451A0" w:rsidRPr="009D5905" w:rsidRDefault="003451A0" w:rsidP="003451A0">
            <w:pPr>
              <w:rPr>
                <w:rFonts w:ascii="Arial" w:hAnsi="Arial" w:cs="Arial"/>
                <w:b/>
                <w:bCs/>
              </w:rPr>
            </w:pPr>
            <w:r>
              <w:rPr>
                <w:rFonts w:ascii="Arial" w:hAnsi="Arial" w:cs="Arial"/>
                <w:b/>
                <w:bCs/>
              </w:rPr>
              <w:t>Relations avec les médias</w:t>
            </w:r>
          </w:p>
          <w:p w14:paraId="51FC8E75" w14:textId="0AE4B852" w:rsidR="003451A0" w:rsidRPr="009D5905" w:rsidRDefault="003451A0" w:rsidP="003451A0">
            <w:pPr>
              <w:rPr>
                <w:rFonts w:ascii="Arial" w:hAnsi="Arial" w:cs="Arial"/>
                <w:bCs/>
              </w:rPr>
            </w:pPr>
            <w:r w:rsidRPr="009D5905">
              <w:rPr>
                <w:rFonts w:ascii="Arial" w:hAnsi="Arial" w:cs="Arial"/>
                <w:bCs/>
              </w:rPr>
              <w:t>Stella Fumey</w:t>
            </w:r>
          </w:p>
          <w:p w14:paraId="60F1F2CC" w14:textId="0F1C91A2" w:rsidR="003451A0" w:rsidRPr="009D5905" w:rsidRDefault="003451A0" w:rsidP="003451A0">
            <w:pPr>
              <w:rPr>
                <w:rFonts w:ascii="Arial" w:hAnsi="Arial" w:cs="Arial"/>
                <w:bCs/>
              </w:rPr>
            </w:pPr>
            <w:r w:rsidRPr="003451A0">
              <w:rPr>
                <w:rFonts w:ascii="Arial" w:hAnsi="Arial" w:cs="Arial"/>
                <w:bCs/>
              </w:rPr>
              <w:t>Directeur Relations Presse &amp; Communication Digitale</w:t>
            </w:r>
          </w:p>
          <w:p w14:paraId="3CFC6336" w14:textId="679F1F69" w:rsidR="003451A0" w:rsidRPr="009D5905" w:rsidRDefault="003451A0" w:rsidP="003451A0">
            <w:pPr>
              <w:rPr>
                <w:rFonts w:ascii="Arial" w:hAnsi="Arial" w:cs="Arial"/>
                <w:bCs/>
              </w:rPr>
            </w:pPr>
            <w:r w:rsidRPr="009D5905">
              <w:rPr>
                <w:rFonts w:ascii="Arial" w:hAnsi="Arial" w:cs="Arial"/>
                <w:bCs/>
              </w:rPr>
              <w:t>Tel: +33 1 85 67 40 95</w:t>
            </w:r>
          </w:p>
          <w:p w14:paraId="3976E60F" w14:textId="259BD514" w:rsidR="003451A0" w:rsidRPr="009D5905" w:rsidRDefault="003451A0" w:rsidP="003451A0">
            <w:pPr>
              <w:rPr>
                <w:rFonts w:ascii="Arial" w:hAnsi="Arial" w:cs="Arial"/>
                <w:bCs/>
              </w:rPr>
            </w:pPr>
            <w:r w:rsidRPr="009D5905">
              <w:rPr>
                <w:rFonts w:ascii="Arial" w:hAnsi="Arial" w:cs="Arial"/>
                <w:bCs/>
              </w:rPr>
              <w:t xml:space="preserve">Email: </w:t>
            </w:r>
            <w:hyperlink r:id="rId8" w:history="1">
              <w:r w:rsidRPr="009D5905">
                <w:rPr>
                  <w:rFonts w:ascii="Arial" w:hAnsi="Arial" w:cs="Arial"/>
                  <w:bCs/>
                  <w:color w:val="0563C1" w:themeColor="hyperlink"/>
                  <w:u w:val="single"/>
                </w:rPr>
                <w:t>Stella Fumey</w:t>
              </w:r>
            </w:hyperlink>
          </w:p>
          <w:p w14:paraId="2BDE1109" w14:textId="77777777" w:rsidR="003451A0" w:rsidRDefault="003451A0" w:rsidP="006A62AC">
            <w:pPr>
              <w:rPr>
                <w:rFonts w:ascii="Arial" w:hAnsi="Arial" w:cs="Arial"/>
                <w:b/>
                <w:bCs/>
                <w:noProof/>
                <w:color w:val="0070EF"/>
                <w:sz w:val="24"/>
              </w:rPr>
            </w:pPr>
          </w:p>
        </w:tc>
      </w:tr>
    </w:tbl>
    <w:p w14:paraId="2DE0A4F7" w14:textId="5FABD28E" w:rsidR="006A62AC" w:rsidRPr="009D5905" w:rsidRDefault="006A62AC" w:rsidP="006A62AC">
      <w:pPr>
        <w:spacing w:after="0" w:line="240" w:lineRule="auto"/>
        <w:rPr>
          <w:rFonts w:ascii="Arial" w:hAnsi="Arial" w:cs="Arial"/>
          <w:b/>
          <w:bCs/>
          <w:noProof/>
          <w:color w:val="0070EF"/>
        </w:rPr>
      </w:pPr>
    </w:p>
    <w:p w14:paraId="1E255686" w14:textId="77777777" w:rsidR="006A62AC" w:rsidRPr="009D5905" w:rsidRDefault="006A62AC" w:rsidP="006A62AC">
      <w:pPr>
        <w:spacing w:after="0" w:line="240" w:lineRule="auto"/>
        <w:rPr>
          <w:rFonts w:ascii="Arial" w:hAnsi="Arial" w:cs="Arial"/>
          <w:b/>
          <w:bCs/>
          <w:noProof/>
          <w:color w:val="0070EF"/>
        </w:rPr>
      </w:pPr>
    </w:p>
    <w:p w14:paraId="3F036F29" w14:textId="77777777" w:rsidR="001B1778" w:rsidRPr="001B1778" w:rsidRDefault="001B1778" w:rsidP="001B1778">
      <w:pPr>
        <w:spacing w:after="0" w:line="240" w:lineRule="auto"/>
        <w:jc w:val="both"/>
        <w:rPr>
          <w:rFonts w:ascii="Arial" w:hAnsi="Arial" w:cs="Arial"/>
          <w:b/>
          <w:bCs/>
          <w:noProof/>
          <w:color w:val="0070EF"/>
          <w:sz w:val="24"/>
        </w:rPr>
      </w:pPr>
      <w:r w:rsidRPr="001B1778">
        <w:rPr>
          <w:rFonts w:ascii="Arial" w:hAnsi="Arial" w:cs="Arial"/>
          <w:b/>
          <w:bCs/>
          <w:noProof/>
          <w:color w:val="0070EF"/>
          <w:sz w:val="24"/>
        </w:rPr>
        <w:t>À propos de Technip Energies</w:t>
      </w:r>
    </w:p>
    <w:p w14:paraId="01CC4945" w14:textId="77777777" w:rsidR="001B1778" w:rsidRPr="001B1778" w:rsidRDefault="001B1778" w:rsidP="001B1778">
      <w:pPr>
        <w:spacing w:after="0" w:line="240" w:lineRule="auto"/>
        <w:jc w:val="both"/>
        <w:rPr>
          <w:rFonts w:ascii="Arial" w:hAnsi="Arial" w:cs="Arial"/>
          <w:b/>
          <w:bCs/>
          <w:noProof/>
          <w:color w:val="0070EF"/>
          <w:sz w:val="24"/>
        </w:rPr>
      </w:pPr>
    </w:p>
    <w:p w14:paraId="11C7C7D8" w14:textId="77777777" w:rsidR="001B1778" w:rsidRPr="001B1778" w:rsidRDefault="001B1778" w:rsidP="001B1778">
      <w:pPr>
        <w:spacing w:after="0" w:line="240" w:lineRule="auto"/>
        <w:jc w:val="both"/>
        <w:rPr>
          <w:rFonts w:ascii="Arial" w:hAnsi="Arial" w:cs="Arial"/>
        </w:rPr>
      </w:pPr>
      <w:r w:rsidRPr="001B1778">
        <w:rPr>
          <w:rFonts w:ascii="Arial" w:hAnsi="Arial" w:cs="Arial"/>
        </w:rPr>
        <w:t>Technip Energies est une entreprise d’ingénierie et des technologies de premier plan au service de la transition énergétique, avec des positions de leader dans le Gaz Naturel Liquéfié (GNL), l'hydrogène et l'éthylène et avec une présence forte sur les marchés en croissance de l'hydrogène bleu et vert, la chimie durable et la gestion du CO</w:t>
      </w:r>
      <w:r w:rsidRPr="001B1778">
        <w:rPr>
          <w:rFonts w:ascii="Arial" w:hAnsi="Arial" w:cs="Arial"/>
          <w:vertAlign w:val="subscript"/>
        </w:rPr>
        <w:t>2</w:t>
      </w:r>
      <w:r w:rsidRPr="001B1778">
        <w:rPr>
          <w:rFonts w:ascii="Arial" w:hAnsi="Arial" w:cs="Arial"/>
        </w:rPr>
        <w:t>. L’entreprise bénéficie de son solide modèle de livraison de projet, soutenu par une offre étendue de technologies, de produits et de services.</w:t>
      </w:r>
    </w:p>
    <w:p w14:paraId="384A645D" w14:textId="77777777" w:rsidR="001B1778" w:rsidRPr="001B1778" w:rsidRDefault="001B1778" w:rsidP="001B1778">
      <w:pPr>
        <w:spacing w:after="0" w:line="240" w:lineRule="auto"/>
        <w:jc w:val="both"/>
        <w:rPr>
          <w:rFonts w:ascii="Arial" w:hAnsi="Arial" w:cs="Arial"/>
        </w:rPr>
      </w:pPr>
    </w:p>
    <w:p w14:paraId="18F914C9" w14:textId="77777777" w:rsidR="001B1778" w:rsidRPr="001B1778" w:rsidRDefault="001B1778" w:rsidP="001B1778">
      <w:pPr>
        <w:spacing w:after="0" w:line="240" w:lineRule="auto"/>
        <w:jc w:val="both"/>
        <w:rPr>
          <w:rFonts w:ascii="Arial" w:hAnsi="Arial" w:cs="Arial"/>
        </w:rPr>
      </w:pPr>
      <w:r w:rsidRPr="001B1778">
        <w:rPr>
          <w:rFonts w:ascii="Arial" w:hAnsi="Arial" w:cs="Arial"/>
        </w:rPr>
        <w:t>Avec une présence dans 34 pays, nos 15 000 collaborateurs sont pleinement engagés à donner vie aux projets innovants de nos clients, en repoussant les limites du possible pour accélérer la transition énergétique vers un avenir meilleur.</w:t>
      </w:r>
    </w:p>
    <w:p w14:paraId="269F240F" w14:textId="77777777" w:rsidR="001B1778" w:rsidRPr="001B1778" w:rsidRDefault="001B1778" w:rsidP="001B1778">
      <w:pPr>
        <w:spacing w:after="0" w:line="240" w:lineRule="auto"/>
        <w:jc w:val="both"/>
        <w:rPr>
          <w:rFonts w:ascii="Arial" w:hAnsi="Arial" w:cs="Arial"/>
        </w:rPr>
      </w:pPr>
    </w:p>
    <w:p w14:paraId="42372067" w14:textId="72FE014F" w:rsidR="001B1778" w:rsidRPr="001B1778" w:rsidRDefault="001B1778" w:rsidP="007F4480">
      <w:pPr>
        <w:spacing w:after="0" w:line="240" w:lineRule="auto"/>
        <w:jc w:val="both"/>
        <w:rPr>
          <w:rFonts w:ascii="Arial" w:hAnsi="Arial" w:cs="Arial"/>
        </w:rPr>
      </w:pPr>
      <w:r w:rsidRPr="001B1778">
        <w:rPr>
          <w:rFonts w:ascii="Arial" w:hAnsi="Arial" w:cs="Arial"/>
        </w:rPr>
        <w:t>Technip Energ</w:t>
      </w:r>
      <w:r>
        <w:rPr>
          <w:rFonts w:ascii="Arial" w:hAnsi="Arial" w:cs="Arial"/>
        </w:rPr>
        <w:t xml:space="preserve">ies est coté sur Euronext Paris. Technip Energies a par ailleurs mis en place </w:t>
      </w:r>
      <w:r w:rsidR="007F4480">
        <w:rPr>
          <w:rFonts w:ascii="Arial" w:hAnsi="Arial" w:cs="Arial"/>
        </w:rPr>
        <w:t xml:space="preserve">un programme sponsorisé de niveau 1 de </w:t>
      </w:r>
      <w:r w:rsidRPr="001B1778">
        <w:rPr>
          <w:rFonts w:ascii="Arial" w:hAnsi="Arial" w:cs="Arial"/>
        </w:rPr>
        <w:t>ce</w:t>
      </w:r>
      <w:r w:rsidR="007F4480">
        <w:rPr>
          <w:rFonts w:ascii="Arial" w:hAnsi="Arial" w:cs="Arial"/>
        </w:rPr>
        <w:t>rtificats de dépôt américains (« </w:t>
      </w:r>
      <w:r w:rsidRPr="001B1778">
        <w:rPr>
          <w:rFonts w:ascii="Arial" w:hAnsi="Arial" w:cs="Arial"/>
        </w:rPr>
        <w:t>ADR</w:t>
      </w:r>
      <w:r w:rsidR="007F4480">
        <w:rPr>
          <w:rFonts w:ascii="Arial" w:hAnsi="Arial" w:cs="Arial"/>
        </w:rPr>
        <w:t> »</w:t>
      </w:r>
      <w:r w:rsidRPr="001B1778">
        <w:rPr>
          <w:rFonts w:ascii="Arial" w:hAnsi="Arial" w:cs="Arial"/>
        </w:rPr>
        <w:t>) négociés de gré-à-gré aux États-Unis.</w:t>
      </w:r>
    </w:p>
    <w:p w14:paraId="57E2D7CC" w14:textId="77777777" w:rsidR="001B1778" w:rsidRPr="001B1778" w:rsidRDefault="001B1778" w:rsidP="001B1778">
      <w:pPr>
        <w:spacing w:after="0" w:line="240" w:lineRule="auto"/>
        <w:jc w:val="both"/>
        <w:rPr>
          <w:rFonts w:ascii="Arial" w:hAnsi="Arial" w:cs="Arial"/>
        </w:rPr>
      </w:pPr>
    </w:p>
    <w:p w14:paraId="330AEC52" w14:textId="696DA6D2" w:rsidR="007F4480" w:rsidRPr="001B1778" w:rsidRDefault="001B1778" w:rsidP="007F4480">
      <w:pPr>
        <w:spacing w:after="0" w:line="240" w:lineRule="auto"/>
        <w:jc w:val="both"/>
        <w:rPr>
          <w:rFonts w:ascii="Arial" w:hAnsi="Arial" w:cs="Arial"/>
        </w:rPr>
      </w:pPr>
      <w:r w:rsidRPr="001B1778">
        <w:rPr>
          <w:rFonts w:ascii="Arial" w:hAnsi="Arial" w:cs="Arial"/>
        </w:rPr>
        <w:t xml:space="preserve">Pour plus d'informations : </w:t>
      </w:r>
      <w:hyperlink r:id="rId9" w:history="1">
        <w:r w:rsidR="007F4480" w:rsidRPr="009D2647">
          <w:rPr>
            <w:rStyle w:val="Hyperlink"/>
            <w:rFonts w:ascii="Arial" w:hAnsi="Arial" w:cs="Arial"/>
          </w:rPr>
          <w:t>www.technipenergies.com</w:t>
        </w:r>
      </w:hyperlink>
    </w:p>
    <w:p w14:paraId="50CAB460" w14:textId="77777777" w:rsidR="006A62AC" w:rsidRPr="009D5905" w:rsidRDefault="006A62AC" w:rsidP="006A62AC">
      <w:pPr>
        <w:spacing w:after="0" w:line="240" w:lineRule="auto"/>
        <w:contextualSpacing/>
        <w:rPr>
          <w:rFonts w:ascii="Arial" w:hAnsi="Arial" w:cs="Arial"/>
          <w:b/>
          <w:color w:val="0070EF"/>
          <w:sz w:val="32"/>
          <w:szCs w:val="24"/>
        </w:rPr>
      </w:pPr>
    </w:p>
    <w:p w14:paraId="79B83246" w14:textId="77777777" w:rsidR="007F4480" w:rsidRPr="007F4480" w:rsidRDefault="007F4480" w:rsidP="007F4480">
      <w:pPr>
        <w:spacing w:after="0" w:line="240" w:lineRule="auto"/>
        <w:jc w:val="both"/>
        <w:rPr>
          <w:rFonts w:ascii="Arial" w:hAnsi="Arial" w:cs="Arial"/>
          <w:b/>
          <w:bCs/>
          <w:noProof/>
          <w:color w:val="0070EF"/>
          <w:sz w:val="24"/>
        </w:rPr>
      </w:pPr>
      <w:r w:rsidRPr="007F4480">
        <w:rPr>
          <w:rFonts w:ascii="Arial" w:hAnsi="Arial" w:cs="Arial"/>
          <w:b/>
          <w:bCs/>
          <w:noProof/>
          <w:color w:val="0070EF"/>
          <w:sz w:val="24"/>
        </w:rPr>
        <w:t>Déclarations prospectives</w:t>
      </w:r>
    </w:p>
    <w:p w14:paraId="0584E005" w14:textId="7AAFCDB6" w:rsidR="007F4480" w:rsidRDefault="007F4480" w:rsidP="007F4480">
      <w:pPr>
        <w:spacing w:after="0" w:line="240" w:lineRule="auto"/>
        <w:rPr>
          <w:rFonts w:ascii="Arial" w:hAnsi="Arial" w:cs="Arial"/>
        </w:rPr>
      </w:pPr>
    </w:p>
    <w:p w14:paraId="2B4238D5" w14:textId="77777777" w:rsidR="007F4480" w:rsidRDefault="007F4480" w:rsidP="007F4480">
      <w:pPr>
        <w:spacing w:after="0" w:line="240" w:lineRule="auto"/>
        <w:jc w:val="both"/>
        <w:rPr>
          <w:rFonts w:ascii="Arial" w:hAnsi="Arial" w:cs="Arial"/>
        </w:rPr>
      </w:pPr>
    </w:p>
    <w:p w14:paraId="5857E9BD" w14:textId="7462E80F" w:rsidR="00D16215" w:rsidRDefault="007F4480" w:rsidP="008F20BD">
      <w:pPr>
        <w:spacing w:after="0" w:line="240" w:lineRule="auto"/>
        <w:jc w:val="both"/>
        <w:rPr>
          <w:rFonts w:ascii="Arial" w:hAnsi="Arial" w:cs="Arial"/>
        </w:rPr>
      </w:pPr>
      <w:r w:rsidRPr="007F4480">
        <w:rPr>
          <w:rFonts w:ascii="Arial" w:hAnsi="Arial" w:cs="Arial"/>
        </w:rPr>
        <w:t xml:space="preserve">Ce communiqué contient des « déclarations prospectives » telles que les définissent la section 27A du United States Securities </w:t>
      </w:r>
      <w:proofErr w:type="spellStart"/>
      <w:r w:rsidRPr="007F4480">
        <w:rPr>
          <w:rFonts w:ascii="Arial" w:hAnsi="Arial" w:cs="Arial"/>
        </w:rPr>
        <w:t>Act</w:t>
      </w:r>
      <w:proofErr w:type="spellEnd"/>
      <w:r w:rsidRPr="007F4480">
        <w:rPr>
          <w:rFonts w:ascii="Arial" w:hAnsi="Arial" w:cs="Arial"/>
        </w:rPr>
        <w:t xml:space="preserve"> de 1933, telle qu’amendée, et la section 21E du United States Securities Exchange </w:t>
      </w:r>
      <w:proofErr w:type="spellStart"/>
      <w:r w:rsidRPr="007F4480">
        <w:rPr>
          <w:rFonts w:ascii="Arial" w:hAnsi="Arial" w:cs="Arial"/>
        </w:rPr>
        <w:t>Act</w:t>
      </w:r>
      <w:proofErr w:type="spellEnd"/>
      <w:r w:rsidRPr="007F4480">
        <w:rPr>
          <w:rFonts w:ascii="Arial" w:hAnsi="Arial" w:cs="Arial"/>
        </w:rPr>
        <w:t xml:space="preserve"> de 1934, telle qu’amendée. Ces déclarations prospectives concernent généralement des évènements futurs et des prévisions de revenus, de bénéfices, de flux de trésorerie ou d’autres aspects des activités ou des résultats d’exploitation de Technip Energies. Les déclarations prospectives sont souvent identifiées par les mots « croire », « attendre », « anticiper », « planifier », « avoir l’intention », « prévoir », « devrait », « serait », « pourrait », « peut », « estimer », « perspectives » et des expressions similaires, y compris </w:t>
      </w:r>
    </w:p>
    <w:p w14:paraId="116D88A1" w14:textId="321F41A9" w:rsidR="00D24D8C" w:rsidRDefault="00D24D8C" w:rsidP="008F20BD">
      <w:pPr>
        <w:spacing w:after="0" w:line="240" w:lineRule="auto"/>
        <w:jc w:val="both"/>
        <w:rPr>
          <w:rFonts w:ascii="Arial" w:hAnsi="Arial" w:cs="Arial"/>
        </w:rPr>
      </w:pPr>
    </w:p>
    <w:p w14:paraId="7426BA92" w14:textId="0CD06C80" w:rsidR="00D24D8C" w:rsidRDefault="00D24D8C" w:rsidP="008F20BD">
      <w:pPr>
        <w:spacing w:after="0" w:line="240" w:lineRule="auto"/>
        <w:jc w:val="both"/>
        <w:rPr>
          <w:rFonts w:ascii="Arial" w:hAnsi="Arial" w:cs="Arial"/>
        </w:rPr>
      </w:pPr>
    </w:p>
    <w:p w14:paraId="32DF2EE9" w14:textId="37177444" w:rsidR="00D24D8C" w:rsidRDefault="00D24D8C" w:rsidP="008F20BD">
      <w:pPr>
        <w:spacing w:after="0" w:line="240" w:lineRule="auto"/>
        <w:jc w:val="both"/>
        <w:rPr>
          <w:rFonts w:ascii="Arial" w:hAnsi="Arial" w:cs="Arial"/>
        </w:rPr>
      </w:pPr>
    </w:p>
    <w:p w14:paraId="19D42375" w14:textId="7A60EF4E" w:rsidR="00D24D8C" w:rsidRDefault="00D24D8C" w:rsidP="008F20BD">
      <w:pPr>
        <w:spacing w:after="0" w:line="240" w:lineRule="auto"/>
        <w:jc w:val="both"/>
        <w:rPr>
          <w:rFonts w:ascii="Arial" w:hAnsi="Arial" w:cs="Arial"/>
        </w:rPr>
      </w:pPr>
    </w:p>
    <w:p w14:paraId="73C97F31" w14:textId="77777777" w:rsidR="00D24D8C" w:rsidRDefault="00D24D8C" w:rsidP="008F20BD">
      <w:pPr>
        <w:spacing w:after="0" w:line="240" w:lineRule="auto"/>
        <w:jc w:val="both"/>
        <w:rPr>
          <w:rFonts w:ascii="Arial" w:hAnsi="Arial" w:cs="Arial"/>
        </w:rPr>
      </w:pPr>
    </w:p>
    <w:p w14:paraId="341A6578" w14:textId="77777777" w:rsidR="00D16215" w:rsidRDefault="00D16215" w:rsidP="008F20BD">
      <w:pPr>
        <w:spacing w:after="0" w:line="240" w:lineRule="auto"/>
        <w:jc w:val="both"/>
        <w:rPr>
          <w:rFonts w:ascii="Arial" w:hAnsi="Arial" w:cs="Arial"/>
        </w:rPr>
      </w:pPr>
    </w:p>
    <w:p w14:paraId="49478159" w14:textId="77777777" w:rsidR="00D16215" w:rsidRDefault="00D16215" w:rsidP="008F20BD">
      <w:pPr>
        <w:spacing w:after="0" w:line="240" w:lineRule="auto"/>
        <w:jc w:val="both"/>
        <w:rPr>
          <w:rFonts w:ascii="Arial" w:hAnsi="Arial" w:cs="Arial"/>
        </w:rPr>
      </w:pPr>
    </w:p>
    <w:p w14:paraId="6BB304A6" w14:textId="77777777" w:rsidR="00D16215" w:rsidRDefault="00D16215" w:rsidP="008F20BD">
      <w:pPr>
        <w:spacing w:after="0" w:line="240" w:lineRule="auto"/>
        <w:jc w:val="both"/>
        <w:rPr>
          <w:rFonts w:ascii="Arial" w:hAnsi="Arial" w:cs="Arial"/>
        </w:rPr>
      </w:pPr>
    </w:p>
    <w:p w14:paraId="4D068C93" w14:textId="77777777" w:rsidR="00D16215" w:rsidRDefault="00D16215" w:rsidP="008F20BD">
      <w:pPr>
        <w:spacing w:after="0" w:line="240" w:lineRule="auto"/>
        <w:jc w:val="both"/>
        <w:rPr>
          <w:rFonts w:ascii="Arial" w:hAnsi="Arial" w:cs="Arial"/>
        </w:rPr>
      </w:pPr>
    </w:p>
    <w:p w14:paraId="6AA182EC" w14:textId="77777777" w:rsidR="00D16215" w:rsidRDefault="00D16215" w:rsidP="008F20BD">
      <w:pPr>
        <w:spacing w:after="0" w:line="240" w:lineRule="auto"/>
        <w:jc w:val="both"/>
        <w:rPr>
          <w:rFonts w:ascii="Arial" w:hAnsi="Arial" w:cs="Arial"/>
        </w:rPr>
      </w:pPr>
    </w:p>
    <w:p w14:paraId="6035163C" w14:textId="20DE9D26" w:rsidR="007F4480" w:rsidRDefault="007F4480" w:rsidP="008F20BD">
      <w:pPr>
        <w:spacing w:after="0" w:line="240" w:lineRule="auto"/>
        <w:jc w:val="both"/>
        <w:rPr>
          <w:rFonts w:ascii="Arial" w:hAnsi="Arial" w:cs="Arial"/>
        </w:rPr>
      </w:pPr>
      <w:r w:rsidRPr="007F4480">
        <w:rPr>
          <w:rFonts w:ascii="Arial" w:hAnsi="Arial" w:cs="Arial"/>
        </w:rPr>
        <w:t>dans leur forme négative. L’absence de ces mots ne signifie toutefois pas que les déclarations ne sont pas prospectives. Ces déclarations prospectives sont basées sur les attentes, croyances et hypothèses actuelles de Technip Energies concernant les développements et les conditions commerciales futurs et leurs effets potentiels sur Technip Energies. Bien que Technip Energies estime que ces déclarations prospectives sont raisonnables au moment où elles sont faites, il ne peut y avoir aucune garantie que les développements futurs affectant Technip Energies seront ceux que Technip Energies anticipe.</w:t>
      </w:r>
    </w:p>
    <w:p w14:paraId="421F2A75" w14:textId="77777777" w:rsidR="008F20BD" w:rsidRPr="007F4480" w:rsidRDefault="008F20BD" w:rsidP="00D24D8C">
      <w:pPr>
        <w:spacing w:after="0" w:line="240" w:lineRule="auto"/>
        <w:jc w:val="both"/>
        <w:rPr>
          <w:rFonts w:ascii="Arial" w:hAnsi="Arial" w:cs="Arial"/>
        </w:rPr>
      </w:pPr>
    </w:p>
    <w:p w14:paraId="5865B7CB" w14:textId="3DA87029" w:rsidR="007F4480" w:rsidRPr="007F4480" w:rsidRDefault="007F4480" w:rsidP="00D24D8C">
      <w:pPr>
        <w:spacing w:after="200" w:line="240" w:lineRule="auto"/>
        <w:jc w:val="both"/>
        <w:rPr>
          <w:rFonts w:ascii="Arial" w:hAnsi="Arial" w:cs="Arial"/>
        </w:rPr>
      </w:pPr>
      <w:r w:rsidRPr="007F4480">
        <w:rPr>
          <w:rFonts w:ascii="Arial" w:hAnsi="Arial" w:cs="Arial"/>
        </w:rPr>
        <w:t>Toutes les déclarations prospectives de Technip Energies comportent des risques et des incertitudes (dont certains sont significatifs ou indépendants du contrôle de Technip Energies) et des hypothèses qui pourraient faire en sorte que les résultats réels diffèrent significativement de l'expérience historique de Technip Energies et des attentes ou projections actuelles de Technip Energies. Si un ou plusieurs de ces risques ou incertitudes se matérialisaient, ou si les hypothèses sous-jacentes se révélaient incorrectes, les résultats réels pourraient différer significativement de ceux indiqués dans les déclarations prospectives.</w:t>
      </w:r>
    </w:p>
    <w:p w14:paraId="7304DEA3" w14:textId="01E3A765" w:rsidR="007F4480" w:rsidRPr="007F4480" w:rsidRDefault="007F4480" w:rsidP="00D24D8C">
      <w:pPr>
        <w:spacing w:after="200" w:line="240" w:lineRule="auto"/>
        <w:jc w:val="both"/>
        <w:rPr>
          <w:rFonts w:ascii="Arial" w:hAnsi="Arial" w:cs="Arial"/>
        </w:rPr>
      </w:pPr>
      <w:r w:rsidRPr="007F4480">
        <w:rPr>
          <w:rFonts w:ascii="Arial" w:hAnsi="Arial" w:cs="Arial"/>
        </w:rPr>
        <w:t>Pour toute information concernant les facteurs importants connus susceptibles d’entrainer un écart entre les résultats réels et les résultats prévisionnels, veuillez consulter les facteurs de risque de Technip Energies énoncés dans les documents déposés par Technip Energies auprès de la Securities and Exchange Commission des Etats-Unis, qui incluent l’amendement n° 4 à la déclaration d'enregistrement de Technip Energies sur le formulaire F-1 déposé le 11 février 2021.</w:t>
      </w:r>
    </w:p>
    <w:p w14:paraId="11B552EB" w14:textId="1D3CB3D7" w:rsidR="006A62AC" w:rsidRDefault="007F4480" w:rsidP="00D24D8C">
      <w:pPr>
        <w:spacing w:after="200" w:line="240" w:lineRule="auto"/>
        <w:jc w:val="both"/>
        <w:rPr>
          <w:rFonts w:ascii="Arial" w:hAnsi="Arial" w:cs="Arial"/>
        </w:rPr>
      </w:pPr>
      <w:r w:rsidRPr="007F4480">
        <w:rPr>
          <w:rFonts w:ascii="Arial" w:hAnsi="Arial" w:cs="Arial"/>
        </w:rPr>
        <w:t>Les déclarations prospectives comportent des risques et des incertitudes inhérents et ne sont valables qu'à la date à laquelle elles sont faites. Technip Energies ne s'engage pas à mettre à jour les déclarations prospectives à la lumière de nouvelles informations ou d'événements futurs, sauf dans la mesure requise par la loi applicable.</w:t>
      </w:r>
    </w:p>
    <w:p w14:paraId="3CCC0F34" w14:textId="77777777" w:rsidR="00F64223" w:rsidRDefault="00F64223" w:rsidP="007F4480">
      <w:pPr>
        <w:spacing w:after="200" w:line="276" w:lineRule="auto"/>
        <w:jc w:val="both"/>
        <w:rPr>
          <w:rFonts w:ascii="Arial" w:hAnsi="Arial" w:cs="Arial"/>
        </w:rPr>
      </w:pPr>
    </w:p>
    <w:p w14:paraId="2CAE1AD1" w14:textId="77777777" w:rsidR="00F64223" w:rsidRPr="00F64223" w:rsidRDefault="00F64223" w:rsidP="00F64223">
      <w:pPr>
        <w:spacing w:after="0" w:line="240" w:lineRule="auto"/>
        <w:rPr>
          <w:rFonts w:ascii="Arial" w:hAnsi="Arial" w:cs="Arial"/>
        </w:rPr>
      </w:pPr>
    </w:p>
    <w:p w14:paraId="1E8CDE66" w14:textId="77777777" w:rsidR="00F64223" w:rsidRPr="00F64223" w:rsidRDefault="00F64223" w:rsidP="00F64223">
      <w:pPr>
        <w:spacing w:after="0" w:line="240" w:lineRule="auto"/>
        <w:jc w:val="both"/>
        <w:rPr>
          <w:rFonts w:ascii="Arial" w:hAnsi="Arial" w:cs="Arial"/>
        </w:rPr>
      </w:pPr>
    </w:p>
    <w:p w14:paraId="2380A828" w14:textId="5B6CB4DA" w:rsidR="00F64223" w:rsidRPr="009D5905" w:rsidRDefault="00F64223" w:rsidP="008F20BD">
      <w:pPr>
        <w:spacing w:after="200" w:line="240" w:lineRule="auto"/>
        <w:jc w:val="both"/>
        <w:rPr>
          <w:rFonts w:ascii="Arial" w:hAnsi="Arial" w:cs="Arial"/>
        </w:rPr>
      </w:pPr>
    </w:p>
    <w:sectPr w:rsidR="00F64223" w:rsidRPr="009D5905">
      <w:headerReference w:type="default" r:id="rId10"/>
      <w:footerReference w:type="defaul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B0A01" w14:textId="77777777" w:rsidR="006D53F9" w:rsidRDefault="006D53F9" w:rsidP="00471557">
      <w:pPr>
        <w:spacing w:after="0" w:line="240" w:lineRule="auto"/>
      </w:pPr>
      <w:r>
        <w:separator/>
      </w:r>
    </w:p>
  </w:endnote>
  <w:endnote w:type="continuationSeparator" w:id="0">
    <w:p w14:paraId="05613537" w14:textId="77777777" w:rsidR="006D53F9" w:rsidRDefault="006D53F9" w:rsidP="00471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Regular r:id="rId1" w:subsetted="1" w:fontKey="{86E168A8-0F16-44F6-83CD-23143F35058B}"/>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45AA2" w14:textId="77777777" w:rsidR="0069045E" w:rsidRDefault="0069045E" w:rsidP="0069045E">
    <w:pPr>
      <w:pStyle w:val="Footer"/>
    </w:pPr>
  </w:p>
  <w:p w14:paraId="1F6A6897" w14:textId="60E3284B" w:rsidR="0069045E" w:rsidRPr="0069045E" w:rsidRDefault="0069045E" w:rsidP="0069045E">
    <w:pPr>
      <w:tabs>
        <w:tab w:val="right" w:pos="9080"/>
      </w:tabs>
      <w:spacing w:line="240" w:lineRule="auto"/>
      <w:rPr>
        <w:rFonts w:ascii="Times New Roman" w:hAnsi="Times New Roman" w:cs="Times New Roman"/>
        <w:sz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A9F83" w14:textId="79663FED" w:rsidR="0069045E" w:rsidRDefault="0069045E" w:rsidP="0069045E">
    <w:pPr>
      <w:pStyle w:val="Footer"/>
    </w:pPr>
  </w:p>
  <w:p w14:paraId="62AF510B" w14:textId="056066E2" w:rsidR="0069045E" w:rsidRPr="0069045E" w:rsidRDefault="0069045E" w:rsidP="0069045E">
    <w:pPr>
      <w:tabs>
        <w:tab w:val="right" w:pos="9080"/>
      </w:tabs>
      <w:spacing w:line="240" w:lineRule="auto"/>
      <w:rPr>
        <w:rFonts w:ascii="Times New Roman" w:hAnsi="Times New Roman" w:cs="Times New Roman"/>
        <w:sz w:val="15"/>
      </w:rPr>
    </w:pPr>
    <w:r w:rsidRPr="0069045E">
      <w:rPr>
        <w:rFonts w:ascii="Times New Roman" w:hAnsi="Times New Roman" w:cs="Times New Roman"/>
        <w:sz w:val="14"/>
      </w:rPr>
      <w:fldChar w:fldCharType="begin"/>
    </w:r>
    <w:r w:rsidRPr="0069045E">
      <w:rPr>
        <w:rFonts w:ascii="Times New Roman" w:hAnsi="Times New Roman" w:cs="Times New Roman"/>
        <w:sz w:val="14"/>
      </w:rPr>
      <w:instrText xml:space="preserve"> DOCPROPERTY DPWPathText \* MERGEFORMAT </w:instrText>
    </w:r>
    <w:r w:rsidRPr="0069045E">
      <w:rPr>
        <w:rFonts w:ascii="Times New Roman" w:hAnsi="Times New Roman" w:cs="Times New Roman"/>
        <w:sz w:val="14"/>
      </w:rPr>
      <w:fldChar w:fldCharType="separate"/>
    </w:r>
    <w:r w:rsidR="009D5905">
      <w:rPr>
        <w:rFonts w:ascii="Times New Roman" w:hAnsi="Times New Roman" w:cs="Times New Roman"/>
        <w:sz w:val="14"/>
      </w:rPr>
      <w:t>#22079159v1</w:t>
    </w:r>
    <w:r w:rsidRPr="0069045E">
      <w:rPr>
        <w:rFonts w:ascii="Times New Roman" w:hAnsi="Times New Roman" w:cs="Times New Roman"/>
        <w:sz w:val="14"/>
      </w:rPr>
      <w:fldChar w:fldCharType="end"/>
    </w:r>
    <w:r w:rsidRPr="0069045E">
      <w:rPr>
        <w:rFonts w:ascii="Times New Roman" w:hAnsi="Times New Roman" w:cs="Times New Roman"/>
        <w:sz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6B8356" w14:textId="77777777" w:rsidR="006D53F9" w:rsidRDefault="006D53F9" w:rsidP="00471557">
      <w:pPr>
        <w:spacing w:after="0" w:line="240" w:lineRule="auto"/>
      </w:pPr>
      <w:r>
        <w:separator/>
      </w:r>
    </w:p>
  </w:footnote>
  <w:footnote w:type="continuationSeparator" w:id="0">
    <w:p w14:paraId="77984FCA" w14:textId="77777777" w:rsidR="006D53F9" w:rsidRDefault="006D53F9" w:rsidP="00471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CA05B" w14:textId="6B465CC9" w:rsidR="00471557" w:rsidRPr="006A62AC" w:rsidRDefault="006A62AC" w:rsidP="006A62AC">
    <w:pPr>
      <w:pStyle w:val="Header"/>
    </w:pPr>
    <w:r>
      <w:rPr>
        <w:noProof/>
        <w:lang w:val="en-US" w:eastAsia="zh-CN" w:bidi="he-IL"/>
      </w:rPr>
      <w:drawing>
        <wp:anchor distT="0" distB="0" distL="114300" distR="114300" simplePos="0" relativeHeight="251659264" behindDoc="0" locked="0" layoutInCell="1" allowOverlap="1" wp14:anchorId="05627965" wp14:editId="2DD7BA3C">
          <wp:simplePos x="0" y="0"/>
          <wp:positionH relativeFrom="page">
            <wp:posOffset>899795</wp:posOffset>
          </wp:positionH>
          <wp:positionV relativeFrom="paragraph">
            <wp:posOffset>-635</wp:posOffset>
          </wp:positionV>
          <wp:extent cx="2265045" cy="12636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5376" r="4505" b="12868"/>
                  <a:stretch/>
                </pic:blipFill>
                <pic:spPr bwMode="auto">
                  <a:xfrm>
                    <a:off x="0" y="0"/>
                    <a:ext cx="2265045" cy="1263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76A96"/>
    <w:multiLevelType w:val="hybridMultilevel"/>
    <w:tmpl w:val="8CAC2562"/>
    <w:lvl w:ilvl="0" w:tplc="52BEC61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9270A"/>
    <w:multiLevelType w:val="hybridMultilevel"/>
    <w:tmpl w:val="DFD6BC58"/>
    <w:lvl w:ilvl="0" w:tplc="252667B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84468B"/>
    <w:multiLevelType w:val="hybridMultilevel"/>
    <w:tmpl w:val="79D20818"/>
    <w:lvl w:ilvl="0" w:tplc="252667B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071231"/>
    <w:multiLevelType w:val="hybridMultilevel"/>
    <w:tmpl w:val="EE2CBC16"/>
    <w:lvl w:ilvl="0" w:tplc="81FE529E">
      <w:start w:val="2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TrueTypeFonts/>
  <w:saveSubsetFonts/>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557"/>
    <w:rsid w:val="00062167"/>
    <w:rsid w:val="00115A43"/>
    <w:rsid w:val="001549E2"/>
    <w:rsid w:val="001B1778"/>
    <w:rsid w:val="00207790"/>
    <w:rsid w:val="00295D65"/>
    <w:rsid w:val="003451A0"/>
    <w:rsid w:val="004060E1"/>
    <w:rsid w:val="00471557"/>
    <w:rsid w:val="004A2F9A"/>
    <w:rsid w:val="00546DA0"/>
    <w:rsid w:val="005C375D"/>
    <w:rsid w:val="005C7B8F"/>
    <w:rsid w:val="005D3D7B"/>
    <w:rsid w:val="0063009F"/>
    <w:rsid w:val="00665C73"/>
    <w:rsid w:val="0069045E"/>
    <w:rsid w:val="00697FC8"/>
    <w:rsid w:val="006A62AC"/>
    <w:rsid w:val="006D53F9"/>
    <w:rsid w:val="006F1DBF"/>
    <w:rsid w:val="007F4480"/>
    <w:rsid w:val="008875C7"/>
    <w:rsid w:val="008E6A84"/>
    <w:rsid w:val="008F20BD"/>
    <w:rsid w:val="008F4B81"/>
    <w:rsid w:val="00904ECE"/>
    <w:rsid w:val="00916F26"/>
    <w:rsid w:val="00921E98"/>
    <w:rsid w:val="00925AF1"/>
    <w:rsid w:val="009D5905"/>
    <w:rsid w:val="00AB2C97"/>
    <w:rsid w:val="00AD740A"/>
    <w:rsid w:val="00B31CF5"/>
    <w:rsid w:val="00B43648"/>
    <w:rsid w:val="00C530A9"/>
    <w:rsid w:val="00CB5FE3"/>
    <w:rsid w:val="00CE7330"/>
    <w:rsid w:val="00D159AE"/>
    <w:rsid w:val="00D16215"/>
    <w:rsid w:val="00D24D8C"/>
    <w:rsid w:val="00D70BB8"/>
    <w:rsid w:val="00E42950"/>
    <w:rsid w:val="00F1089F"/>
    <w:rsid w:val="00F64223"/>
    <w:rsid w:val="00FB6B79"/>
    <w:rsid w:val="00FC7C74"/>
    <w:rsid w:val="00FD261A"/>
    <w:rsid w:val="00FE553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94292C"/>
  <w15:chartTrackingRefBased/>
  <w15:docId w15:val="{87FE06A1-6D3A-4567-986E-AC6AE27A4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5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71557"/>
  </w:style>
  <w:style w:type="paragraph" w:styleId="Footer">
    <w:name w:val="footer"/>
    <w:basedOn w:val="Normal"/>
    <w:link w:val="FooterChar"/>
    <w:uiPriority w:val="99"/>
    <w:unhideWhenUsed/>
    <w:rsid w:val="004715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71557"/>
  </w:style>
  <w:style w:type="paragraph" w:styleId="ListParagraph">
    <w:name w:val="List Paragraph"/>
    <w:basedOn w:val="Normal"/>
    <w:uiPriority w:val="34"/>
    <w:semiHidden/>
    <w:qFormat/>
    <w:rsid w:val="00062167"/>
    <w:pPr>
      <w:ind w:left="720"/>
      <w:contextualSpacing/>
    </w:pPr>
  </w:style>
  <w:style w:type="character" w:styleId="SubtleEmphasis">
    <w:name w:val="Subtle Emphasis"/>
    <w:basedOn w:val="DefaultParagraphFont"/>
    <w:uiPriority w:val="19"/>
    <w:semiHidden/>
    <w:qFormat/>
    <w:rsid w:val="0069045E"/>
    <w:rPr>
      <w:i/>
      <w:iCs/>
      <w:color w:val="404040" w:themeColor="text1" w:themeTint="BF"/>
    </w:rPr>
  </w:style>
  <w:style w:type="character" w:styleId="Emphasis">
    <w:name w:val="Emphasis"/>
    <w:basedOn w:val="DefaultParagraphFont"/>
    <w:uiPriority w:val="20"/>
    <w:semiHidden/>
    <w:qFormat/>
    <w:rsid w:val="0069045E"/>
    <w:rPr>
      <w:i/>
      <w:iCs/>
    </w:rPr>
  </w:style>
  <w:style w:type="character" w:styleId="IntenseEmphasis">
    <w:name w:val="Intense Emphasis"/>
    <w:basedOn w:val="DefaultParagraphFont"/>
    <w:uiPriority w:val="21"/>
    <w:semiHidden/>
    <w:qFormat/>
    <w:rsid w:val="0069045E"/>
    <w:rPr>
      <w:i/>
      <w:iCs/>
      <w:color w:val="4472C4" w:themeColor="accent1"/>
    </w:rPr>
  </w:style>
  <w:style w:type="character" w:styleId="Strong">
    <w:name w:val="Strong"/>
    <w:basedOn w:val="DefaultParagraphFont"/>
    <w:uiPriority w:val="22"/>
    <w:semiHidden/>
    <w:qFormat/>
    <w:rsid w:val="0069045E"/>
    <w:rPr>
      <w:b/>
      <w:bCs/>
    </w:rPr>
  </w:style>
  <w:style w:type="paragraph" w:styleId="Quote">
    <w:name w:val="Quote"/>
    <w:basedOn w:val="Normal"/>
    <w:next w:val="Normal"/>
    <w:link w:val="QuoteChar"/>
    <w:uiPriority w:val="29"/>
    <w:semiHidden/>
    <w:qFormat/>
    <w:rsid w:val="006904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9045E"/>
    <w:rPr>
      <w:i/>
      <w:iCs/>
      <w:color w:val="404040" w:themeColor="text1" w:themeTint="BF"/>
    </w:rPr>
  </w:style>
  <w:style w:type="paragraph" w:styleId="IntenseQuote">
    <w:name w:val="Intense Quote"/>
    <w:basedOn w:val="Normal"/>
    <w:next w:val="Normal"/>
    <w:link w:val="IntenseQuoteChar"/>
    <w:uiPriority w:val="30"/>
    <w:semiHidden/>
    <w:qFormat/>
    <w:rsid w:val="0069045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9045E"/>
    <w:rPr>
      <w:i/>
      <w:iCs/>
      <w:color w:val="4472C4" w:themeColor="accent1"/>
    </w:rPr>
  </w:style>
  <w:style w:type="character" w:styleId="SubtleReference">
    <w:name w:val="Subtle Reference"/>
    <w:basedOn w:val="DefaultParagraphFont"/>
    <w:uiPriority w:val="31"/>
    <w:semiHidden/>
    <w:qFormat/>
    <w:rsid w:val="0069045E"/>
    <w:rPr>
      <w:smallCaps/>
      <w:color w:val="5A5A5A" w:themeColor="text1" w:themeTint="A5"/>
    </w:rPr>
  </w:style>
  <w:style w:type="character" w:styleId="IntenseReference">
    <w:name w:val="Intense Reference"/>
    <w:basedOn w:val="DefaultParagraphFont"/>
    <w:uiPriority w:val="32"/>
    <w:semiHidden/>
    <w:qFormat/>
    <w:rsid w:val="0069045E"/>
    <w:rPr>
      <w:b/>
      <w:bCs/>
      <w:smallCaps/>
      <w:color w:val="4472C4" w:themeColor="accent1"/>
      <w:spacing w:val="5"/>
    </w:rPr>
  </w:style>
  <w:style w:type="character" w:styleId="BookTitle">
    <w:name w:val="Book Title"/>
    <w:basedOn w:val="DefaultParagraphFont"/>
    <w:uiPriority w:val="33"/>
    <w:semiHidden/>
    <w:qFormat/>
    <w:rsid w:val="0069045E"/>
    <w:rPr>
      <w:b/>
      <w:bCs/>
      <w:i/>
      <w:iCs/>
      <w:spacing w:val="5"/>
    </w:rPr>
  </w:style>
  <w:style w:type="paragraph" w:styleId="BalloonText">
    <w:name w:val="Balloon Text"/>
    <w:basedOn w:val="Normal"/>
    <w:link w:val="BalloonTextChar"/>
    <w:uiPriority w:val="99"/>
    <w:semiHidden/>
    <w:unhideWhenUsed/>
    <w:rsid w:val="006A62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2AC"/>
    <w:rPr>
      <w:rFonts w:ascii="Segoe UI" w:hAnsi="Segoe UI" w:cs="Segoe UI"/>
      <w:sz w:val="18"/>
      <w:szCs w:val="18"/>
    </w:rPr>
  </w:style>
  <w:style w:type="table" w:styleId="TableGrid">
    <w:name w:val="Table Grid"/>
    <w:basedOn w:val="TableNormal"/>
    <w:uiPriority w:val="39"/>
    <w:rsid w:val="00345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44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4295">
      <w:bodyDiv w:val="1"/>
      <w:marLeft w:val="0"/>
      <w:marRight w:val="0"/>
      <w:marTop w:val="0"/>
      <w:marBottom w:val="0"/>
      <w:divBdr>
        <w:top w:val="none" w:sz="0" w:space="0" w:color="auto"/>
        <w:left w:val="none" w:sz="0" w:space="0" w:color="auto"/>
        <w:bottom w:val="none" w:sz="0" w:space="0" w:color="auto"/>
        <w:right w:val="none" w:sz="0" w:space="0" w:color="auto"/>
      </w:divBdr>
    </w:div>
    <w:div w:id="231235053">
      <w:bodyDiv w:val="1"/>
      <w:marLeft w:val="0"/>
      <w:marRight w:val="0"/>
      <w:marTop w:val="0"/>
      <w:marBottom w:val="0"/>
      <w:divBdr>
        <w:top w:val="none" w:sz="0" w:space="0" w:color="auto"/>
        <w:left w:val="none" w:sz="0" w:space="0" w:color="auto"/>
        <w:bottom w:val="none" w:sz="0" w:space="0" w:color="auto"/>
        <w:right w:val="none" w:sz="0" w:space="0" w:color="auto"/>
      </w:divBdr>
    </w:div>
    <w:div w:id="310796151">
      <w:bodyDiv w:val="1"/>
      <w:marLeft w:val="0"/>
      <w:marRight w:val="0"/>
      <w:marTop w:val="0"/>
      <w:marBottom w:val="0"/>
      <w:divBdr>
        <w:top w:val="none" w:sz="0" w:space="0" w:color="auto"/>
        <w:left w:val="none" w:sz="0" w:space="0" w:color="auto"/>
        <w:bottom w:val="none" w:sz="0" w:space="0" w:color="auto"/>
        <w:right w:val="none" w:sz="0" w:space="0" w:color="auto"/>
      </w:divBdr>
    </w:div>
    <w:div w:id="1393694368">
      <w:bodyDiv w:val="1"/>
      <w:marLeft w:val="0"/>
      <w:marRight w:val="0"/>
      <w:marTop w:val="0"/>
      <w:marBottom w:val="0"/>
      <w:divBdr>
        <w:top w:val="none" w:sz="0" w:space="0" w:color="auto"/>
        <w:left w:val="none" w:sz="0" w:space="0" w:color="auto"/>
        <w:bottom w:val="none" w:sz="0" w:space="0" w:color="auto"/>
        <w:right w:val="none" w:sz="0" w:space="0" w:color="auto"/>
      </w:divBdr>
    </w:div>
    <w:div w:id="203175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lla.Fumey@technipenergie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Phillip.lindsay@technipenergies.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echnipenergies.com"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1076</Words>
  <Characters>5954</Characters>
  <Application>Microsoft Office Word</Application>
  <DocSecurity>0</DocSecurity>
  <Lines>138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JIMENEZ PONT David</dc:creator>
  <cp:keywords/>
  <dc:description/>
  <cp:lastModifiedBy>Henri-Frederic Hibon</cp:lastModifiedBy>
  <cp:revision>8</cp:revision>
  <dcterms:created xsi:type="dcterms:W3CDTF">2021-07-06T15:10:00Z</dcterms:created>
  <dcterms:modified xsi:type="dcterms:W3CDTF">2021-07-09T14:04:00Z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WPathText">
    <vt:lpwstr>#22079159v1</vt:lpwstr>
  </property>
  <property fmtid="{D5CDD505-2E9C-101B-9397-08002B2CF9AE}" pid="3" name="MSIP_Label_3b48b937-0ae3-46f5-b32e-f3232b5be847_Enabled">
    <vt:lpwstr>True</vt:lpwstr>
  </property>
  <property fmtid="{D5CDD505-2E9C-101B-9397-08002B2CF9AE}" pid="4" name="MSIP_Label_3b48b937-0ae3-46f5-b32e-f3232b5be847_SiteId">
    <vt:lpwstr>9179d01a-e94c-4488-b5f0-4554bc474f8c</vt:lpwstr>
  </property>
  <property fmtid="{D5CDD505-2E9C-101B-9397-08002B2CF9AE}" pid="5" name="MSIP_Label_3b48b937-0ae3-46f5-b32e-f3232b5be847_Owner">
    <vt:lpwstr>henri-frederic.hibon@technipenergies.com</vt:lpwstr>
  </property>
  <property fmtid="{D5CDD505-2E9C-101B-9397-08002B2CF9AE}" pid="6" name="MSIP_Label_3b48b937-0ae3-46f5-b32e-f3232b5be847_SetDate">
    <vt:lpwstr>2021-07-06T08:16:59.3287248Z</vt:lpwstr>
  </property>
  <property fmtid="{D5CDD505-2E9C-101B-9397-08002B2CF9AE}" pid="7" name="MSIP_Label_3b48b937-0ae3-46f5-b32e-f3232b5be847_Name">
    <vt:lpwstr>General</vt:lpwstr>
  </property>
  <property fmtid="{D5CDD505-2E9C-101B-9397-08002B2CF9AE}" pid="8" name="MSIP_Label_3b48b937-0ae3-46f5-b32e-f3232b5be847_Application">
    <vt:lpwstr>Microsoft Azure Information Protection</vt:lpwstr>
  </property>
  <property fmtid="{D5CDD505-2E9C-101B-9397-08002B2CF9AE}" pid="9" name="MSIP_Label_3b48b937-0ae3-46f5-b32e-f3232b5be847_Extended_MSFT_Method">
    <vt:lpwstr>Automatic</vt:lpwstr>
  </property>
  <property fmtid="{D5CDD505-2E9C-101B-9397-08002B2CF9AE}" pid="10" name="MSIP_Label_b29603fb-7fab-4bf6-8ed3-004985bb9d91_Enabled">
    <vt:lpwstr>True</vt:lpwstr>
  </property>
  <property fmtid="{D5CDD505-2E9C-101B-9397-08002B2CF9AE}" pid="11" name="MSIP_Label_b29603fb-7fab-4bf6-8ed3-004985bb9d91_SiteId">
    <vt:lpwstr>9179d01a-e94c-4488-b5f0-4554bc474f8c</vt:lpwstr>
  </property>
  <property fmtid="{D5CDD505-2E9C-101B-9397-08002B2CF9AE}" pid="12" name="MSIP_Label_b29603fb-7fab-4bf6-8ed3-004985bb9d91_Owner">
    <vt:lpwstr>henri-frederic.hibon@technipenergies.com</vt:lpwstr>
  </property>
  <property fmtid="{D5CDD505-2E9C-101B-9397-08002B2CF9AE}" pid="13" name="MSIP_Label_b29603fb-7fab-4bf6-8ed3-004985bb9d91_SetDate">
    <vt:lpwstr>2021-07-06T08:16:59.3287248Z</vt:lpwstr>
  </property>
  <property fmtid="{D5CDD505-2E9C-101B-9397-08002B2CF9AE}" pid="14" name="MSIP_Label_b29603fb-7fab-4bf6-8ed3-004985bb9d91_Name">
    <vt:lpwstr>Anyone - No Protection</vt:lpwstr>
  </property>
  <property fmtid="{D5CDD505-2E9C-101B-9397-08002B2CF9AE}" pid="15" name="MSIP_Label_b29603fb-7fab-4bf6-8ed3-004985bb9d91_Application">
    <vt:lpwstr>Microsoft Azure Information Protection</vt:lpwstr>
  </property>
  <property fmtid="{D5CDD505-2E9C-101B-9397-08002B2CF9AE}" pid="16" name="MSIP_Label_b29603fb-7fab-4bf6-8ed3-004985bb9d91_Parent">
    <vt:lpwstr>3b48b937-0ae3-46f5-b32e-f3232b5be847</vt:lpwstr>
  </property>
  <property fmtid="{D5CDD505-2E9C-101B-9397-08002B2CF9AE}" pid="17" name="MSIP_Label_b29603fb-7fab-4bf6-8ed3-004985bb9d91_Extended_MSFT_Method">
    <vt:lpwstr>Automatic</vt:lpwstr>
  </property>
  <property fmtid="{D5CDD505-2E9C-101B-9397-08002B2CF9AE}" pid="18" name="Sensitivity">
    <vt:lpwstr>General Anyone - No Protection</vt:lpwstr>
  </property>
</Properties>
</file>