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44F0" w14:textId="7EC0E3B5" w:rsidR="00BF68A3" w:rsidRPr="00961180" w:rsidRDefault="002A5D03" w:rsidP="00003438">
      <w:pPr>
        <w:tabs>
          <w:tab w:val="left" w:pos="1340"/>
          <w:tab w:val="left" w:pos="7371"/>
        </w:tabs>
        <w:ind w:right="-709"/>
        <w:rPr>
          <w:rFonts w:ascii="worksansregular" w:eastAsia="Times New Roman" w:hAnsi="worksansregular" w:cs="Times New Roman"/>
          <w:b/>
          <w:bCs/>
          <w:color w:val="333333"/>
          <w:sz w:val="28"/>
          <w:szCs w:val="28"/>
          <w:lang w:val="fr-FR" w:eastAsia="fr-FR"/>
        </w:rPr>
      </w:pPr>
      <w:r w:rsidRPr="00082E57">
        <w:rPr>
          <w:rFonts w:ascii="worksansregular" w:eastAsia="Times New Roman" w:hAnsi="worksansregular" w:cs="Times New Roman"/>
          <w:b/>
          <w:bCs/>
          <w:color w:val="333333"/>
          <w:sz w:val="28"/>
          <w:szCs w:val="28"/>
          <w:lang w:val="fr-FR" w:eastAsia="fr-FR"/>
        </w:rPr>
        <w:t xml:space="preserve">Technip Energies N.V. </w:t>
      </w:r>
      <w:r w:rsidR="002B160E">
        <w:rPr>
          <w:rFonts w:ascii="worksansregular" w:eastAsia="Times New Roman" w:hAnsi="worksansregular" w:cs="Times New Roman"/>
          <w:b/>
          <w:bCs/>
          <w:color w:val="333333"/>
          <w:sz w:val="28"/>
          <w:szCs w:val="28"/>
          <w:lang w:val="fr-FR" w:eastAsia="fr-FR"/>
        </w:rPr>
        <w:t xml:space="preserve">- </w:t>
      </w:r>
      <w:r w:rsidRPr="00082E57">
        <w:rPr>
          <w:rFonts w:ascii="worksansregular" w:eastAsia="Times New Roman" w:hAnsi="worksansregular" w:cs="Times New Roman"/>
          <w:b/>
          <w:bCs/>
          <w:color w:val="333333"/>
          <w:sz w:val="28"/>
          <w:szCs w:val="28"/>
          <w:lang w:val="fr-FR" w:eastAsia="fr-FR"/>
        </w:rPr>
        <w:t>d</w:t>
      </w:r>
      <w:r w:rsidR="001A28C3" w:rsidRPr="00082E57">
        <w:rPr>
          <w:rFonts w:ascii="worksansregular" w:eastAsia="Times New Roman" w:hAnsi="worksansregular" w:cs="Times New Roman"/>
          <w:b/>
          <w:bCs/>
          <w:color w:val="333333"/>
          <w:sz w:val="28"/>
          <w:szCs w:val="28"/>
          <w:lang w:val="fr-FR" w:eastAsia="fr-FR"/>
        </w:rPr>
        <w:t>é</w:t>
      </w:r>
      <w:r w:rsidR="00BF68A3" w:rsidRPr="00082E57">
        <w:rPr>
          <w:rFonts w:ascii="worksansregular" w:eastAsia="Times New Roman" w:hAnsi="worksansregular" w:cs="Times New Roman"/>
          <w:b/>
          <w:bCs/>
          <w:color w:val="333333"/>
          <w:sz w:val="28"/>
          <w:szCs w:val="28"/>
          <w:lang w:val="fr-FR" w:eastAsia="fr-FR"/>
        </w:rPr>
        <w:t xml:space="preserve">claration hebdomadaire rachat </w:t>
      </w:r>
      <w:r w:rsidR="00D60EEF" w:rsidRPr="00082E57">
        <w:rPr>
          <w:rFonts w:ascii="worksansregular" w:eastAsia="Times New Roman" w:hAnsi="worksansregular" w:cs="Times New Roman"/>
          <w:b/>
          <w:bCs/>
          <w:color w:val="333333"/>
          <w:sz w:val="28"/>
          <w:szCs w:val="28"/>
          <w:lang w:val="fr-FR" w:eastAsia="fr-FR"/>
        </w:rPr>
        <w:t>d’</w:t>
      </w:r>
      <w:r w:rsidR="00BF68A3" w:rsidRPr="00082E57">
        <w:rPr>
          <w:rFonts w:ascii="worksansregular" w:eastAsia="Times New Roman" w:hAnsi="worksansregular" w:cs="Times New Roman"/>
          <w:b/>
          <w:bCs/>
          <w:color w:val="333333"/>
          <w:sz w:val="28"/>
          <w:szCs w:val="28"/>
          <w:lang w:val="fr-FR" w:eastAsia="fr-FR"/>
        </w:rPr>
        <w:t>actions</w:t>
      </w:r>
      <w:r w:rsidR="0026229F">
        <w:rPr>
          <w:rFonts w:ascii="worksansregular" w:eastAsia="Times New Roman" w:hAnsi="worksansregular" w:cs="Times New Roman"/>
          <w:b/>
          <w:bCs/>
          <w:color w:val="333333"/>
          <w:sz w:val="28"/>
          <w:szCs w:val="28"/>
          <w:lang w:val="fr-FR" w:eastAsia="fr-FR"/>
        </w:rPr>
        <w:t xml:space="preserve"> -</w:t>
      </w:r>
      <w:r w:rsidR="00BF68A3" w:rsidRPr="00082E57">
        <w:rPr>
          <w:rFonts w:ascii="worksansregular" w:eastAsia="Times New Roman" w:hAnsi="worksansregular" w:cs="Times New Roman"/>
          <w:b/>
          <w:bCs/>
          <w:color w:val="333333"/>
          <w:sz w:val="28"/>
          <w:szCs w:val="28"/>
          <w:lang w:val="fr-FR" w:eastAsia="fr-FR"/>
        </w:rPr>
        <w:t xml:space="preserve"> </w:t>
      </w:r>
      <w:r w:rsidR="009951C7">
        <w:rPr>
          <w:rFonts w:ascii="worksansregular" w:eastAsia="Times New Roman" w:hAnsi="worksansregular" w:cs="Times New Roman"/>
          <w:b/>
          <w:bCs/>
          <w:color w:val="333333"/>
          <w:sz w:val="28"/>
          <w:szCs w:val="28"/>
          <w:lang w:val="fr-FR" w:eastAsia="fr-FR"/>
        </w:rPr>
        <w:t>semain</w:t>
      </w:r>
      <w:r w:rsidR="006C1968">
        <w:rPr>
          <w:rFonts w:ascii="worksansregular" w:eastAsia="Times New Roman" w:hAnsi="worksansregular" w:cs="Times New Roman"/>
          <w:b/>
          <w:bCs/>
          <w:color w:val="333333"/>
          <w:sz w:val="28"/>
          <w:szCs w:val="28"/>
          <w:lang w:val="fr-FR" w:eastAsia="fr-FR"/>
        </w:rPr>
        <w:t>e</w:t>
      </w:r>
      <w:r w:rsidR="009951C7">
        <w:rPr>
          <w:rFonts w:ascii="worksansregular" w:eastAsia="Times New Roman" w:hAnsi="worksansregular" w:cs="Times New Roman"/>
          <w:b/>
          <w:bCs/>
          <w:color w:val="333333"/>
          <w:sz w:val="28"/>
          <w:szCs w:val="28"/>
          <w:lang w:val="fr-FR" w:eastAsia="fr-FR"/>
        </w:rPr>
        <w:t xml:space="preserve"> du </w:t>
      </w:r>
      <w:r w:rsidR="00CA3C89">
        <w:rPr>
          <w:rFonts w:ascii="worksansregular" w:eastAsia="Times New Roman" w:hAnsi="worksansregular" w:cs="Times New Roman"/>
          <w:b/>
          <w:bCs/>
          <w:color w:val="333333"/>
          <w:sz w:val="28"/>
          <w:szCs w:val="28"/>
          <w:highlight w:val="yellow"/>
          <w:lang w:val="fr-FR" w:eastAsia="fr-FR"/>
        </w:rPr>
        <w:t>25</w:t>
      </w:r>
      <w:r w:rsidR="00AD4EF4" w:rsidRPr="0005277D">
        <w:rPr>
          <w:rFonts w:ascii="worksansregular" w:eastAsia="Times New Roman" w:hAnsi="worksansregular" w:cs="Times New Roman"/>
          <w:b/>
          <w:bCs/>
          <w:color w:val="333333"/>
          <w:sz w:val="28"/>
          <w:szCs w:val="28"/>
          <w:highlight w:val="yellow"/>
          <w:lang w:val="fr-FR" w:eastAsia="fr-FR"/>
        </w:rPr>
        <w:t xml:space="preserve"> juillet</w:t>
      </w:r>
      <w:r w:rsidR="00BF68A3" w:rsidRPr="0005277D">
        <w:rPr>
          <w:rFonts w:ascii="worksansregular" w:eastAsia="Times New Roman" w:hAnsi="worksansregular" w:cs="Times New Roman"/>
          <w:b/>
          <w:bCs/>
          <w:color w:val="333333"/>
          <w:sz w:val="28"/>
          <w:szCs w:val="28"/>
          <w:highlight w:val="yellow"/>
          <w:lang w:val="fr-FR" w:eastAsia="fr-FR"/>
        </w:rPr>
        <w:t xml:space="preserve"> </w:t>
      </w:r>
      <w:r w:rsidR="00C3095F" w:rsidRPr="0005277D">
        <w:rPr>
          <w:rFonts w:ascii="worksansregular" w:eastAsia="Times New Roman" w:hAnsi="worksansregular" w:cs="Times New Roman"/>
          <w:b/>
          <w:bCs/>
          <w:color w:val="333333"/>
          <w:sz w:val="28"/>
          <w:szCs w:val="28"/>
          <w:highlight w:val="yellow"/>
          <w:lang w:val="fr-FR" w:eastAsia="fr-FR"/>
        </w:rPr>
        <w:t xml:space="preserve">au </w:t>
      </w:r>
      <w:r w:rsidR="003D7D9B" w:rsidRPr="0005277D">
        <w:rPr>
          <w:rFonts w:ascii="worksansregular" w:eastAsia="Times New Roman" w:hAnsi="worksansregular" w:cs="Times New Roman"/>
          <w:b/>
          <w:bCs/>
          <w:color w:val="333333"/>
          <w:sz w:val="28"/>
          <w:szCs w:val="28"/>
          <w:highlight w:val="yellow"/>
          <w:lang w:val="fr-FR" w:eastAsia="fr-FR"/>
        </w:rPr>
        <w:t>2</w:t>
      </w:r>
      <w:r w:rsidR="00CA3C89">
        <w:rPr>
          <w:rFonts w:ascii="worksansregular" w:eastAsia="Times New Roman" w:hAnsi="worksansregular" w:cs="Times New Roman"/>
          <w:b/>
          <w:bCs/>
          <w:color w:val="333333"/>
          <w:sz w:val="28"/>
          <w:szCs w:val="28"/>
          <w:highlight w:val="yellow"/>
          <w:lang w:val="fr-FR" w:eastAsia="fr-FR"/>
        </w:rPr>
        <w:t>9</w:t>
      </w:r>
      <w:r w:rsidR="00AD4EF4" w:rsidRPr="0005277D">
        <w:rPr>
          <w:rFonts w:ascii="worksansregular" w:eastAsia="Times New Roman" w:hAnsi="worksansregular" w:cs="Times New Roman"/>
          <w:b/>
          <w:bCs/>
          <w:color w:val="333333"/>
          <w:sz w:val="28"/>
          <w:szCs w:val="28"/>
          <w:highlight w:val="yellow"/>
          <w:lang w:val="fr-FR" w:eastAsia="fr-FR"/>
        </w:rPr>
        <w:t xml:space="preserve"> j</w:t>
      </w:r>
      <w:r w:rsidR="00C3095F" w:rsidRPr="0005277D">
        <w:rPr>
          <w:rFonts w:ascii="worksansregular" w:eastAsia="Times New Roman" w:hAnsi="worksansregular" w:cs="Times New Roman"/>
          <w:b/>
          <w:bCs/>
          <w:color w:val="333333"/>
          <w:sz w:val="28"/>
          <w:szCs w:val="28"/>
          <w:highlight w:val="yellow"/>
          <w:lang w:val="fr-FR" w:eastAsia="fr-FR"/>
        </w:rPr>
        <w:t xml:space="preserve">uillet </w:t>
      </w:r>
      <w:r w:rsidR="00BF68A3" w:rsidRPr="0005277D">
        <w:rPr>
          <w:rFonts w:ascii="worksansregular" w:eastAsia="Times New Roman" w:hAnsi="worksansregular" w:cs="Times New Roman"/>
          <w:b/>
          <w:bCs/>
          <w:color w:val="333333"/>
          <w:sz w:val="28"/>
          <w:szCs w:val="28"/>
          <w:highlight w:val="yellow"/>
          <w:lang w:val="fr-FR" w:eastAsia="fr-FR"/>
        </w:rPr>
        <w:t>2022</w:t>
      </w:r>
    </w:p>
    <w:p w14:paraId="7D32CFC7" w14:textId="01C3F091" w:rsidR="0012007E" w:rsidRPr="00177379" w:rsidRDefault="000A62AA" w:rsidP="001E4222">
      <w:pPr>
        <w:tabs>
          <w:tab w:val="left" w:pos="1340"/>
        </w:tabs>
        <w:ind w:right="-709"/>
        <w:rPr>
          <w:rFonts w:ascii="worksansregular" w:eastAsia="Times New Roman" w:hAnsi="worksansregular" w:cs="Times New Roman"/>
          <w:color w:val="333333"/>
          <w:sz w:val="24"/>
          <w:szCs w:val="24"/>
          <w:lang w:val="fr-FR" w:eastAsia="fr-FR"/>
        </w:rPr>
      </w:pPr>
      <w:r w:rsidRPr="00961180">
        <w:rPr>
          <w:rFonts w:ascii="worksansregular" w:eastAsia="Times New Roman" w:hAnsi="worksansregular" w:cs="Times New Roman"/>
          <w:b/>
          <w:bCs/>
          <w:color w:val="333333"/>
          <w:sz w:val="24"/>
          <w:szCs w:val="24"/>
          <w:lang w:val="fr-FR" w:eastAsia="fr-FR"/>
        </w:rPr>
        <w:t xml:space="preserve">Paris, le </w:t>
      </w:r>
      <w:r w:rsidR="00CA3C89">
        <w:rPr>
          <w:rFonts w:ascii="worksansregular" w:eastAsia="Times New Roman" w:hAnsi="worksansregular" w:cs="Times New Roman"/>
          <w:b/>
          <w:bCs/>
          <w:color w:val="333333"/>
          <w:sz w:val="24"/>
          <w:szCs w:val="24"/>
          <w:highlight w:val="yellow"/>
          <w:lang w:val="fr-FR" w:eastAsia="fr-FR"/>
        </w:rPr>
        <w:t>1</w:t>
      </w:r>
      <w:r w:rsidR="00CA3C89" w:rsidRPr="00CA3C89">
        <w:rPr>
          <w:rFonts w:ascii="worksansregular" w:eastAsia="Times New Roman" w:hAnsi="worksansregular" w:cs="Times New Roman"/>
          <w:b/>
          <w:bCs/>
          <w:color w:val="333333"/>
          <w:sz w:val="24"/>
          <w:szCs w:val="24"/>
          <w:highlight w:val="yellow"/>
          <w:vertAlign w:val="superscript"/>
          <w:lang w:val="fr-FR" w:eastAsia="fr-FR"/>
        </w:rPr>
        <w:t>er</w:t>
      </w:r>
      <w:r w:rsidR="00CA3C89">
        <w:rPr>
          <w:rFonts w:ascii="worksansregular" w:eastAsia="Times New Roman" w:hAnsi="worksansregular" w:cs="Times New Roman"/>
          <w:b/>
          <w:bCs/>
          <w:color w:val="333333"/>
          <w:sz w:val="24"/>
          <w:szCs w:val="24"/>
          <w:highlight w:val="yellow"/>
          <w:lang w:val="fr-FR" w:eastAsia="fr-FR"/>
        </w:rPr>
        <w:t xml:space="preserve"> août</w:t>
      </w:r>
      <w:r w:rsidRPr="0005277D">
        <w:rPr>
          <w:rFonts w:ascii="worksansregular" w:eastAsia="Times New Roman" w:hAnsi="worksansregular" w:cs="Times New Roman"/>
          <w:b/>
          <w:bCs/>
          <w:color w:val="333333"/>
          <w:sz w:val="24"/>
          <w:szCs w:val="24"/>
          <w:highlight w:val="yellow"/>
          <w:lang w:val="fr-FR" w:eastAsia="fr-FR"/>
        </w:rPr>
        <w:t xml:space="preserve"> 2022</w:t>
      </w:r>
      <w:r w:rsidRPr="00961180">
        <w:rPr>
          <w:rFonts w:ascii="worksansregular" w:eastAsia="Times New Roman" w:hAnsi="worksansregular" w:cs="Times New Roman"/>
          <w:b/>
          <w:bCs/>
          <w:color w:val="333333"/>
          <w:sz w:val="24"/>
          <w:szCs w:val="24"/>
          <w:lang w:val="fr-FR" w:eastAsia="fr-FR"/>
        </w:rPr>
        <w:t xml:space="preserve"> -</w:t>
      </w:r>
      <w:r w:rsidRPr="00961180">
        <w:rPr>
          <w:rFonts w:ascii="worksansregular" w:eastAsia="Times New Roman" w:hAnsi="worksansregular" w:cs="Times New Roman"/>
          <w:color w:val="333333"/>
          <w:sz w:val="24"/>
          <w:szCs w:val="24"/>
          <w:lang w:val="fr-FR" w:eastAsia="fr-FR"/>
        </w:rPr>
        <w:t xml:space="preserve"> </w:t>
      </w:r>
      <w:r w:rsidR="0012007E" w:rsidRPr="00961180">
        <w:rPr>
          <w:rFonts w:ascii="worksansregular" w:eastAsia="Times New Roman" w:hAnsi="worksansregular" w:cs="Times New Roman"/>
          <w:color w:val="333333"/>
          <w:sz w:val="24"/>
          <w:szCs w:val="24"/>
          <w:lang w:val="fr-FR" w:eastAsia="fr-FR"/>
        </w:rPr>
        <w:t xml:space="preserve">Conformément à la réglementation relative aux rachats d'actions, Technip Energies </w:t>
      </w:r>
      <w:r w:rsidR="00B10670" w:rsidRPr="00961180">
        <w:rPr>
          <w:rFonts w:ascii="worksansregular" w:eastAsia="Times New Roman" w:hAnsi="worksansregular" w:cs="Times New Roman"/>
          <w:color w:val="333333"/>
          <w:sz w:val="24"/>
          <w:szCs w:val="24"/>
          <w:lang w:val="fr-FR" w:eastAsia="fr-FR"/>
        </w:rPr>
        <w:t xml:space="preserve">(PARIS:TE) </w:t>
      </w:r>
      <w:r w:rsidR="0012007E" w:rsidRPr="00961180">
        <w:rPr>
          <w:rFonts w:ascii="worksansregular" w:eastAsia="Times New Roman" w:hAnsi="worksansregular" w:cs="Times New Roman"/>
          <w:color w:val="333333"/>
          <w:sz w:val="24"/>
          <w:szCs w:val="24"/>
          <w:lang w:val="fr-FR" w:eastAsia="fr-FR"/>
        </w:rPr>
        <w:t>déclare ci-après les transactions sur actions propres réalisées du</w:t>
      </w:r>
      <w:r w:rsidR="00F73404" w:rsidRPr="00961180">
        <w:rPr>
          <w:rFonts w:ascii="worksansregular" w:eastAsia="Times New Roman" w:hAnsi="worksansregular" w:cs="Times New Roman"/>
          <w:color w:val="333333"/>
          <w:sz w:val="24"/>
          <w:szCs w:val="24"/>
          <w:lang w:val="fr-FR" w:eastAsia="fr-FR"/>
        </w:rPr>
        <w:t>rant la semaine du</w:t>
      </w:r>
      <w:r w:rsidR="0012007E" w:rsidRPr="00961180">
        <w:rPr>
          <w:rFonts w:ascii="worksansregular" w:eastAsia="Times New Roman" w:hAnsi="worksansregular" w:cs="Times New Roman"/>
          <w:color w:val="333333"/>
          <w:sz w:val="24"/>
          <w:szCs w:val="24"/>
          <w:lang w:val="fr-FR" w:eastAsia="fr-FR"/>
        </w:rPr>
        <w:t xml:space="preserve"> </w:t>
      </w:r>
      <w:r w:rsidR="00BF4C77">
        <w:rPr>
          <w:rFonts w:ascii="worksansregular" w:eastAsia="Times New Roman" w:hAnsi="worksansregular" w:cs="Times New Roman"/>
          <w:color w:val="333333"/>
          <w:sz w:val="24"/>
          <w:szCs w:val="24"/>
          <w:highlight w:val="yellow"/>
          <w:lang w:val="fr-FR" w:eastAsia="fr-FR"/>
        </w:rPr>
        <w:t>2</w:t>
      </w:r>
      <w:r w:rsidR="00CA3C89">
        <w:rPr>
          <w:rFonts w:ascii="worksansregular" w:eastAsia="Times New Roman" w:hAnsi="worksansregular" w:cs="Times New Roman"/>
          <w:color w:val="333333"/>
          <w:sz w:val="24"/>
          <w:szCs w:val="24"/>
          <w:highlight w:val="yellow"/>
          <w:lang w:val="fr-FR" w:eastAsia="fr-FR"/>
        </w:rPr>
        <w:t>5</w:t>
      </w:r>
      <w:r w:rsidR="00AD4EF4" w:rsidRPr="0005277D">
        <w:rPr>
          <w:rFonts w:ascii="worksansregular" w:eastAsia="Times New Roman" w:hAnsi="worksansregular" w:cs="Times New Roman"/>
          <w:color w:val="333333"/>
          <w:sz w:val="24"/>
          <w:szCs w:val="24"/>
          <w:highlight w:val="yellow"/>
          <w:lang w:val="fr-FR" w:eastAsia="fr-FR"/>
        </w:rPr>
        <w:t xml:space="preserve"> juillet</w:t>
      </w:r>
      <w:r w:rsidR="00C3095F" w:rsidRPr="0005277D">
        <w:rPr>
          <w:rFonts w:ascii="worksansregular" w:eastAsia="Times New Roman" w:hAnsi="worksansregular" w:cs="Times New Roman"/>
          <w:color w:val="333333"/>
          <w:sz w:val="24"/>
          <w:szCs w:val="24"/>
          <w:highlight w:val="yellow"/>
          <w:lang w:val="fr-FR" w:eastAsia="fr-FR"/>
        </w:rPr>
        <w:t xml:space="preserve"> au </w:t>
      </w:r>
      <w:r w:rsidR="003D7D9B" w:rsidRPr="0005277D">
        <w:rPr>
          <w:rFonts w:ascii="worksansregular" w:eastAsia="Times New Roman" w:hAnsi="worksansregular" w:cs="Times New Roman"/>
          <w:color w:val="333333"/>
          <w:sz w:val="24"/>
          <w:szCs w:val="24"/>
          <w:highlight w:val="yellow"/>
          <w:lang w:val="fr-FR" w:eastAsia="fr-FR"/>
        </w:rPr>
        <w:t>2</w:t>
      </w:r>
      <w:r w:rsidR="00CA3C89">
        <w:rPr>
          <w:rFonts w:ascii="worksansregular" w:eastAsia="Times New Roman" w:hAnsi="worksansregular" w:cs="Times New Roman"/>
          <w:color w:val="333333"/>
          <w:sz w:val="24"/>
          <w:szCs w:val="24"/>
          <w:highlight w:val="yellow"/>
          <w:lang w:val="fr-FR" w:eastAsia="fr-FR"/>
        </w:rPr>
        <w:t>9</w:t>
      </w:r>
      <w:r w:rsidR="00C3095F" w:rsidRPr="0005277D">
        <w:rPr>
          <w:rFonts w:ascii="worksansregular" w:eastAsia="Times New Roman" w:hAnsi="worksansregular" w:cs="Times New Roman"/>
          <w:color w:val="333333"/>
          <w:sz w:val="24"/>
          <w:szCs w:val="24"/>
          <w:highlight w:val="yellow"/>
          <w:lang w:val="fr-FR" w:eastAsia="fr-FR"/>
        </w:rPr>
        <w:t xml:space="preserve"> juillet</w:t>
      </w:r>
      <w:r w:rsidR="0043384B" w:rsidRPr="0005277D">
        <w:rPr>
          <w:rFonts w:ascii="worksansregular" w:eastAsia="Times New Roman" w:hAnsi="worksansregular" w:cs="Times New Roman"/>
          <w:color w:val="333333"/>
          <w:sz w:val="24"/>
          <w:szCs w:val="24"/>
          <w:highlight w:val="yellow"/>
          <w:lang w:val="fr-FR" w:eastAsia="fr-FR"/>
        </w:rPr>
        <w:t xml:space="preserve"> 2022</w:t>
      </w:r>
      <w:r w:rsidR="0012007E" w:rsidRPr="00961180">
        <w:rPr>
          <w:rFonts w:ascii="worksansregular" w:eastAsia="Times New Roman" w:hAnsi="worksansregular" w:cs="Times New Roman"/>
          <w:color w:val="333333"/>
          <w:sz w:val="24"/>
          <w:szCs w:val="24"/>
          <w:lang w:val="fr-FR" w:eastAsia="fr-FR"/>
        </w:rPr>
        <w:t>.</w:t>
      </w:r>
    </w:p>
    <w:p w14:paraId="4158873E" w14:textId="6428DD63" w:rsidR="00312CC4" w:rsidRPr="00177379" w:rsidRDefault="00EF56DB" w:rsidP="001E4222">
      <w:pPr>
        <w:tabs>
          <w:tab w:val="left" w:pos="1340"/>
        </w:tabs>
        <w:ind w:right="-709"/>
        <w:rPr>
          <w:rFonts w:ascii="worksansregular" w:eastAsia="Times New Roman" w:hAnsi="worksansregular" w:cs="Times New Roman"/>
          <w:color w:val="333333"/>
          <w:sz w:val="24"/>
          <w:szCs w:val="24"/>
          <w:lang w:val="fr-FR" w:eastAsia="fr-FR"/>
        </w:rPr>
      </w:pPr>
      <w:r w:rsidRPr="00177379">
        <w:rPr>
          <w:rFonts w:ascii="worksansregular" w:eastAsia="Times New Roman" w:hAnsi="worksansregular" w:cs="Times New Roman"/>
          <w:color w:val="333333"/>
          <w:sz w:val="24"/>
          <w:szCs w:val="24"/>
          <w:lang w:val="fr-FR" w:eastAsia="fr-FR"/>
        </w:rPr>
        <w:t xml:space="preserve">Ces transactions ont été réalisées dans le cadre du programme de rachat </w:t>
      </w:r>
      <w:r w:rsidR="009565A6" w:rsidRPr="00177379">
        <w:rPr>
          <w:rFonts w:ascii="worksansregular" w:eastAsia="Times New Roman" w:hAnsi="worksansregular" w:cs="Times New Roman"/>
          <w:color w:val="333333"/>
          <w:sz w:val="24"/>
          <w:szCs w:val="24"/>
          <w:lang w:val="fr-FR" w:eastAsia="fr-FR"/>
        </w:rPr>
        <w:t>avec la mise en place</w:t>
      </w:r>
      <w:r w:rsidRPr="00177379">
        <w:rPr>
          <w:rFonts w:ascii="worksansregular" w:eastAsia="Times New Roman" w:hAnsi="worksansregular" w:cs="Times New Roman"/>
          <w:color w:val="333333"/>
          <w:sz w:val="24"/>
          <w:szCs w:val="24"/>
          <w:lang w:val="fr-FR" w:eastAsia="fr-FR"/>
        </w:rPr>
        <w:t xml:space="preserve"> d'un mandat discrétionnaire exécuté par un prestataire de services d'investissement </w:t>
      </w:r>
      <w:r w:rsidR="002056E1" w:rsidRPr="00177379">
        <w:rPr>
          <w:rFonts w:ascii="worksansregular" w:eastAsia="Times New Roman" w:hAnsi="worksansregular" w:cs="Times New Roman"/>
          <w:color w:val="333333"/>
          <w:sz w:val="24"/>
          <w:szCs w:val="24"/>
          <w:lang w:val="fr-FR" w:eastAsia="fr-FR"/>
        </w:rPr>
        <w:t>prenant</w:t>
      </w:r>
      <w:r w:rsidR="00CF4B5C" w:rsidRPr="00177379">
        <w:rPr>
          <w:rFonts w:ascii="worksansregular" w:eastAsia="Times New Roman" w:hAnsi="worksansregular" w:cs="Times New Roman"/>
          <w:color w:val="333333"/>
          <w:sz w:val="24"/>
          <w:szCs w:val="24"/>
          <w:lang w:val="fr-FR" w:eastAsia="fr-FR"/>
        </w:rPr>
        <w:t xml:space="preserve"> ses décisions relatives à l’acquisition d’actions de Technip Energies de manière indépendante</w:t>
      </w:r>
      <w:r w:rsidR="009565A6" w:rsidRPr="00177379">
        <w:rPr>
          <w:rFonts w:ascii="worksansregular" w:eastAsia="Times New Roman" w:hAnsi="worksansregular" w:cs="Times New Roman"/>
          <w:color w:val="333333"/>
          <w:sz w:val="24"/>
          <w:szCs w:val="24"/>
          <w:lang w:val="fr-FR" w:eastAsia="fr-FR"/>
        </w:rPr>
        <w:t>.</w:t>
      </w:r>
      <w:bookmarkStart w:id="0" w:name="_Hlk107215983"/>
    </w:p>
    <w:tbl>
      <w:tblPr>
        <w:tblW w:w="11557" w:type="dxa"/>
        <w:tblInd w:w="-1281" w:type="dxa"/>
        <w:tblCellMar>
          <w:left w:w="70" w:type="dxa"/>
          <w:right w:w="70" w:type="dxa"/>
        </w:tblCellMar>
        <w:tblLook w:val="04A0" w:firstRow="1" w:lastRow="0" w:firstColumn="1" w:lastColumn="0" w:noHBand="0" w:noVBand="1"/>
      </w:tblPr>
      <w:tblGrid>
        <w:gridCol w:w="1843"/>
        <w:gridCol w:w="2410"/>
        <w:gridCol w:w="1276"/>
        <w:gridCol w:w="1613"/>
        <w:gridCol w:w="1364"/>
        <w:gridCol w:w="2126"/>
        <w:gridCol w:w="925"/>
      </w:tblGrid>
      <w:tr w:rsidR="004718AE" w:rsidRPr="004718AE" w14:paraId="22A2809A" w14:textId="77777777" w:rsidTr="004718AE">
        <w:trPr>
          <w:trHeight w:val="1738"/>
        </w:trPr>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B9B86A" w14:textId="77777777" w:rsidR="004718AE" w:rsidRPr="004718AE" w:rsidRDefault="004718AE" w:rsidP="004718AE">
            <w:pPr>
              <w:widowControl/>
              <w:spacing w:after="0" w:line="240" w:lineRule="auto"/>
              <w:jc w:val="center"/>
              <w:rPr>
                <w:rFonts w:ascii="Arial" w:eastAsia="Times New Roman" w:hAnsi="Arial" w:cs="Arial"/>
                <w:b/>
                <w:bCs/>
                <w:color w:val="000000"/>
                <w:sz w:val="20"/>
                <w:szCs w:val="20"/>
                <w:lang w:val="fr-FR" w:eastAsia="fr-FR"/>
              </w:rPr>
            </w:pPr>
            <w:r w:rsidRPr="004718AE">
              <w:rPr>
                <w:rFonts w:ascii="Arial" w:eastAsia="Times New Roman" w:hAnsi="Arial" w:cs="Arial"/>
                <w:b/>
                <w:bCs/>
                <w:color w:val="000000"/>
                <w:sz w:val="20"/>
                <w:szCs w:val="20"/>
                <w:lang w:val="fr-FR" w:eastAsia="fr-FR"/>
              </w:rPr>
              <w:t>Nom de l'émetteur</w:t>
            </w:r>
          </w:p>
        </w:tc>
        <w:tc>
          <w:tcPr>
            <w:tcW w:w="2410" w:type="dxa"/>
            <w:tcBorders>
              <w:top w:val="single" w:sz="4" w:space="0" w:color="000000"/>
              <w:left w:val="nil"/>
              <w:bottom w:val="single" w:sz="4" w:space="0" w:color="000000"/>
              <w:right w:val="single" w:sz="4" w:space="0" w:color="000000"/>
            </w:tcBorders>
            <w:shd w:val="clear" w:color="FFFFFF" w:fill="FFFFFF"/>
            <w:vAlign w:val="center"/>
            <w:hideMark/>
          </w:tcPr>
          <w:p w14:paraId="6FE4643E" w14:textId="77777777" w:rsidR="004718AE" w:rsidRPr="004718AE" w:rsidRDefault="004718AE" w:rsidP="004718AE">
            <w:pPr>
              <w:widowControl/>
              <w:spacing w:after="0" w:line="240" w:lineRule="auto"/>
              <w:jc w:val="center"/>
              <w:rPr>
                <w:rFonts w:ascii="Arial" w:eastAsia="Times New Roman" w:hAnsi="Arial" w:cs="Arial"/>
                <w:b/>
                <w:bCs/>
                <w:color w:val="000000"/>
                <w:sz w:val="20"/>
                <w:szCs w:val="20"/>
                <w:lang w:val="fr-FR" w:eastAsia="fr-FR"/>
              </w:rPr>
            </w:pPr>
            <w:r w:rsidRPr="004718AE">
              <w:rPr>
                <w:rFonts w:ascii="Arial" w:eastAsia="Times New Roman" w:hAnsi="Arial" w:cs="Arial"/>
                <w:b/>
                <w:bCs/>
                <w:color w:val="000000"/>
                <w:sz w:val="20"/>
                <w:szCs w:val="20"/>
                <w:lang w:val="fr-FR" w:eastAsia="fr-FR"/>
              </w:rPr>
              <w:t>Code Identifiant de l'émetteur</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14:paraId="27E67F09" w14:textId="77777777" w:rsidR="004718AE" w:rsidRPr="004718AE" w:rsidRDefault="004718AE" w:rsidP="004718AE">
            <w:pPr>
              <w:widowControl/>
              <w:spacing w:after="0" w:line="240" w:lineRule="auto"/>
              <w:jc w:val="center"/>
              <w:rPr>
                <w:rFonts w:ascii="Arial" w:eastAsia="Times New Roman" w:hAnsi="Arial" w:cs="Arial"/>
                <w:b/>
                <w:bCs/>
                <w:color w:val="000000"/>
                <w:sz w:val="20"/>
                <w:szCs w:val="20"/>
                <w:lang w:val="fr-FR" w:eastAsia="fr-FR"/>
              </w:rPr>
            </w:pPr>
            <w:r w:rsidRPr="004718AE">
              <w:rPr>
                <w:rFonts w:ascii="Arial" w:eastAsia="Times New Roman" w:hAnsi="Arial" w:cs="Arial"/>
                <w:b/>
                <w:bCs/>
                <w:color w:val="000000"/>
                <w:sz w:val="20"/>
                <w:szCs w:val="20"/>
                <w:lang w:val="fr-FR" w:eastAsia="fr-FR"/>
              </w:rPr>
              <w:t>Jour de la transaction</w:t>
            </w:r>
          </w:p>
        </w:tc>
        <w:tc>
          <w:tcPr>
            <w:tcW w:w="1613" w:type="dxa"/>
            <w:tcBorders>
              <w:top w:val="single" w:sz="4" w:space="0" w:color="000000"/>
              <w:left w:val="nil"/>
              <w:bottom w:val="single" w:sz="4" w:space="0" w:color="000000"/>
              <w:right w:val="single" w:sz="4" w:space="0" w:color="000000"/>
            </w:tcBorders>
            <w:shd w:val="clear" w:color="FFFFFF" w:fill="FFFFFF"/>
            <w:vAlign w:val="center"/>
            <w:hideMark/>
          </w:tcPr>
          <w:p w14:paraId="50A4397C" w14:textId="77777777" w:rsidR="004718AE" w:rsidRPr="004718AE" w:rsidRDefault="004718AE" w:rsidP="004718AE">
            <w:pPr>
              <w:widowControl/>
              <w:spacing w:after="0" w:line="240" w:lineRule="auto"/>
              <w:jc w:val="center"/>
              <w:rPr>
                <w:rFonts w:ascii="Arial" w:eastAsia="Times New Roman" w:hAnsi="Arial" w:cs="Arial"/>
                <w:b/>
                <w:bCs/>
                <w:color w:val="000000"/>
                <w:sz w:val="20"/>
                <w:szCs w:val="20"/>
                <w:lang w:val="fr-FR" w:eastAsia="fr-FR"/>
              </w:rPr>
            </w:pPr>
            <w:r w:rsidRPr="004718AE">
              <w:rPr>
                <w:rFonts w:ascii="Arial" w:eastAsia="Times New Roman" w:hAnsi="Arial" w:cs="Arial"/>
                <w:b/>
                <w:bCs/>
                <w:color w:val="000000"/>
                <w:sz w:val="20"/>
                <w:szCs w:val="20"/>
                <w:lang w:val="fr-FR" w:eastAsia="fr-FR"/>
              </w:rPr>
              <w:t>Code identifiant de l'instrument financier</w:t>
            </w:r>
          </w:p>
        </w:tc>
        <w:tc>
          <w:tcPr>
            <w:tcW w:w="1364" w:type="dxa"/>
            <w:tcBorders>
              <w:top w:val="single" w:sz="4" w:space="0" w:color="000000"/>
              <w:left w:val="nil"/>
              <w:bottom w:val="single" w:sz="4" w:space="0" w:color="000000"/>
              <w:right w:val="single" w:sz="4" w:space="0" w:color="000000"/>
            </w:tcBorders>
            <w:shd w:val="clear" w:color="FFFFFF" w:fill="FFFFFF"/>
            <w:vAlign w:val="center"/>
            <w:hideMark/>
          </w:tcPr>
          <w:p w14:paraId="473E333F" w14:textId="77777777" w:rsidR="004718AE" w:rsidRPr="004718AE" w:rsidRDefault="004718AE" w:rsidP="004718AE">
            <w:pPr>
              <w:widowControl/>
              <w:spacing w:after="0" w:line="240" w:lineRule="auto"/>
              <w:jc w:val="center"/>
              <w:rPr>
                <w:rFonts w:ascii="Arial" w:eastAsia="Times New Roman" w:hAnsi="Arial" w:cs="Arial"/>
                <w:b/>
                <w:bCs/>
                <w:color w:val="000000"/>
                <w:sz w:val="20"/>
                <w:szCs w:val="20"/>
                <w:lang w:val="fr-FR" w:eastAsia="fr-FR"/>
              </w:rPr>
            </w:pPr>
            <w:r w:rsidRPr="004718AE">
              <w:rPr>
                <w:rFonts w:ascii="Arial" w:eastAsia="Times New Roman" w:hAnsi="Arial" w:cs="Arial"/>
                <w:b/>
                <w:bCs/>
                <w:color w:val="000000"/>
                <w:sz w:val="20"/>
                <w:szCs w:val="20"/>
                <w:lang w:val="fr-FR" w:eastAsia="fr-FR"/>
              </w:rPr>
              <w:t>Volume total journalier (en nombre d'actions)</w:t>
            </w:r>
          </w:p>
        </w:tc>
        <w:tc>
          <w:tcPr>
            <w:tcW w:w="2126" w:type="dxa"/>
            <w:tcBorders>
              <w:top w:val="single" w:sz="4" w:space="0" w:color="000000"/>
              <w:left w:val="nil"/>
              <w:bottom w:val="single" w:sz="4" w:space="0" w:color="000000"/>
              <w:right w:val="single" w:sz="4" w:space="0" w:color="000000"/>
            </w:tcBorders>
            <w:shd w:val="clear" w:color="FFFFFF" w:fill="FFFFFF"/>
            <w:vAlign w:val="center"/>
            <w:hideMark/>
          </w:tcPr>
          <w:p w14:paraId="3840D2A0" w14:textId="77777777" w:rsidR="004718AE" w:rsidRPr="004718AE" w:rsidRDefault="004718AE" w:rsidP="004718AE">
            <w:pPr>
              <w:widowControl/>
              <w:spacing w:after="0" w:line="240" w:lineRule="auto"/>
              <w:jc w:val="center"/>
              <w:rPr>
                <w:rFonts w:ascii="Arial" w:eastAsia="Times New Roman" w:hAnsi="Arial" w:cs="Arial"/>
                <w:b/>
                <w:bCs/>
                <w:color w:val="000000"/>
                <w:sz w:val="20"/>
                <w:szCs w:val="20"/>
                <w:lang w:val="fr-FR" w:eastAsia="fr-FR"/>
              </w:rPr>
            </w:pPr>
            <w:r w:rsidRPr="004718AE">
              <w:rPr>
                <w:rFonts w:ascii="Arial" w:eastAsia="Times New Roman" w:hAnsi="Arial" w:cs="Arial"/>
                <w:b/>
                <w:bCs/>
                <w:color w:val="000000"/>
                <w:sz w:val="20"/>
                <w:szCs w:val="20"/>
                <w:lang w:val="fr-FR" w:eastAsia="fr-FR"/>
              </w:rPr>
              <w:t>Prix pondéré moyen journalier d'acquisition des actions</w:t>
            </w:r>
          </w:p>
        </w:tc>
        <w:tc>
          <w:tcPr>
            <w:tcW w:w="925" w:type="dxa"/>
            <w:tcBorders>
              <w:top w:val="single" w:sz="4" w:space="0" w:color="000000"/>
              <w:left w:val="nil"/>
              <w:bottom w:val="single" w:sz="4" w:space="0" w:color="000000"/>
              <w:right w:val="single" w:sz="4" w:space="0" w:color="000000"/>
            </w:tcBorders>
            <w:shd w:val="clear" w:color="FFFFFF" w:fill="FFFFFF"/>
            <w:vAlign w:val="center"/>
            <w:hideMark/>
          </w:tcPr>
          <w:p w14:paraId="29DD1CB1" w14:textId="77777777" w:rsidR="004718AE" w:rsidRPr="004718AE" w:rsidRDefault="004718AE" w:rsidP="004718AE">
            <w:pPr>
              <w:widowControl/>
              <w:spacing w:after="0" w:line="240" w:lineRule="auto"/>
              <w:jc w:val="center"/>
              <w:rPr>
                <w:rFonts w:ascii="Arial" w:eastAsia="Times New Roman" w:hAnsi="Arial" w:cs="Arial"/>
                <w:b/>
                <w:bCs/>
                <w:color w:val="000000"/>
                <w:sz w:val="20"/>
                <w:szCs w:val="20"/>
                <w:lang w:val="fr-FR" w:eastAsia="fr-FR"/>
              </w:rPr>
            </w:pPr>
            <w:r w:rsidRPr="004718AE">
              <w:rPr>
                <w:rFonts w:ascii="Arial" w:eastAsia="Times New Roman" w:hAnsi="Arial" w:cs="Arial"/>
                <w:b/>
                <w:bCs/>
                <w:color w:val="000000"/>
                <w:sz w:val="20"/>
                <w:szCs w:val="20"/>
                <w:lang w:val="fr-FR" w:eastAsia="fr-FR"/>
              </w:rPr>
              <w:t>Marché</w:t>
            </w:r>
          </w:p>
        </w:tc>
      </w:tr>
      <w:tr w:rsidR="004718AE" w:rsidRPr="004718AE" w14:paraId="5666B8F0" w14:textId="77777777" w:rsidTr="004718AE">
        <w:trPr>
          <w:trHeight w:val="395"/>
        </w:trPr>
        <w:tc>
          <w:tcPr>
            <w:tcW w:w="1843" w:type="dxa"/>
            <w:tcBorders>
              <w:top w:val="nil"/>
              <w:left w:val="single" w:sz="4" w:space="0" w:color="000000"/>
              <w:bottom w:val="single" w:sz="4" w:space="0" w:color="000000"/>
              <w:right w:val="single" w:sz="4" w:space="0" w:color="000000"/>
            </w:tcBorders>
            <w:shd w:val="clear" w:color="FFFFFF" w:fill="F8FBFC"/>
            <w:vAlign w:val="center"/>
            <w:hideMark/>
          </w:tcPr>
          <w:p w14:paraId="4F2C66AA" w14:textId="77777777" w:rsidR="004718AE" w:rsidRPr="004718AE" w:rsidRDefault="004718AE" w:rsidP="004718AE">
            <w:pPr>
              <w:widowControl/>
              <w:spacing w:after="0" w:line="240" w:lineRule="auto"/>
              <w:rPr>
                <w:rFonts w:ascii="Arial" w:eastAsia="Times New Roman" w:hAnsi="Arial" w:cs="Arial"/>
                <w:color w:val="333333"/>
                <w:sz w:val="18"/>
                <w:szCs w:val="18"/>
                <w:lang w:val="fr-FR" w:eastAsia="fr-FR"/>
              </w:rPr>
            </w:pPr>
            <w:r w:rsidRPr="004718AE">
              <w:rPr>
                <w:rFonts w:ascii="Arial" w:eastAsia="Times New Roman" w:hAnsi="Arial" w:cs="Arial"/>
                <w:color w:val="333333"/>
                <w:sz w:val="18"/>
                <w:szCs w:val="18"/>
                <w:lang w:val="fr-FR" w:eastAsia="fr-FR"/>
              </w:rPr>
              <w:t>Technip Energies</w:t>
            </w:r>
          </w:p>
        </w:tc>
        <w:tc>
          <w:tcPr>
            <w:tcW w:w="2410" w:type="dxa"/>
            <w:tcBorders>
              <w:top w:val="nil"/>
              <w:left w:val="nil"/>
              <w:bottom w:val="single" w:sz="4" w:space="0" w:color="000000"/>
              <w:right w:val="single" w:sz="4" w:space="0" w:color="000000"/>
            </w:tcBorders>
            <w:shd w:val="clear" w:color="FFFFFF" w:fill="F8FBFC"/>
            <w:noWrap/>
            <w:vAlign w:val="center"/>
            <w:hideMark/>
          </w:tcPr>
          <w:p w14:paraId="756B75F9" w14:textId="77777777" w:rsidR="004718AE" w:rsidRPr="004718AE" w:rsidRDefault="004718AE" w:rsidP="004718AE">
            <w:pPr>
              <w:widowControl/>
              <w:spacing w:after="0" w:line="240" w:lineRule="auto"/>
              <w:rPr>
                <w:rFonts w:ascii="Arial" w:eastAsia="Times New Roman" w:hAnsi="Arial" w:cs="Arial"/>
                <w:color w:val="333333"/>
                <w:sz w:val="18"/>
                <w:szCs w:val="18"/>
                <w:lang w:val="fr-FR" w:eastAsia="fr-FR"/>
              </w:rPr>
            </w:pPr>
            <w:r w:rsidRPr="004718AE">
              <w:rPr>
                <w:rFonts w:ascii="Arial" w:eastAsia="Times New Roman" w:hAnsi="Arial" w:cs="Arial"/>
                <w:color w:val="333333"/>
                <w:sz w:val="18"/>
                <w:szCs w:val="18"/>
                <w:lang w:val="fr-FR" w:eastAsia="fr-FR"/>
              </w:rPr>
              <w:t>724500FLODI49NSCIP70</w:t>
            </w:r>
          </w:p>
        </w:tc>
        <w:tc>
          <w:tcPr>
            <w:tcW w:w="1276" w:type="dxa"/>
            <w:tcBorders>
              <w:top w:val="nil"/>
              <w:left w:val="nil"/>
              <w:bottom w:val="single" w:sz="4" w:space="0" w:color="000000"/>
              <w:right w:val="single" w:sz="4" w:space="0" w:color="000000"/>
            </w:tcBorders>
            <w:shd w:val="clear" w:color="FFFFFF" w:fill="F8FBFC"/>
            <w:noWrap/>
            <w:vAlign w:val="center"/>
            <w:hideMark/>
          </w:tcPr>
          <w:p w14:paraId="3699D914" w14:textId="77777777" w:rsidR="004718AE" w:rsidRPr="004718AE" w:rsidRDefault="004718AE" w:rsidP="004718AE">
            <w:pPr>
              <w:widowControl/>
              <w:spacing w:after="0" w:line="240" w:lineRule="auto"/>
              <w:jc w:val="center"/>
              <w:rPr>
                <w:rFonts w:ascii="Arial" w:eastAsia="Times New Roman" w:hAnsi="Arial" w:cs="Arial"/>
                <w:color w:val="333333"/>
                <w:sz w:val="18"/>
                <w:szCs w:val="18"/>
                <w:lang w:val="fr-FR" w:eastAsia="fr-FR"/>
              </w:rPr>
            </w:pPr>
            <w:r w:rsidRPr="004718AE">
              <w:rPr>
                <w:rFonts w:ascii="Arial" w:eastAsia="Times New Roman" w:hAnsi="Arial" w:cs="Arial"/>
                <w:color w:val="333333"/>
                <w:sz w:val="18"/>
                <w:szCs w:val="18"/>
                <w:lang w:val="fr-FR" w:eastAsia="fr-FR"/>
              </w:rPr>
              <w:t>2022-07-25</w:t>
            </w:r>
          </w:p>
        </w:tc>
        <w:tc>
          <w:tcPr>
            <w:tcW w:w="1613" w:type="dxa"/>
            <w:tcBorders>
              <w:top w:val="nil"/>
              <w:left w:val="nil"/>
              <w:bottom w:val="single" w:sz="4" w:space="0" w:color="000000"/>
              <w:right w:val="single" w:sz="4" w:space="0" w:color="000000"/>
            </w:tcBorders>
            <w:shd w:val="clear" w:color="FFFFFF" w:fill="F8FBFC"/>
            <w:noWrap/>
            <w:vAlign w:val="center"/>
            <w:hideMark/>
          </w:tcPr>
          <w:p w14:paraId="4729A56A" w14:textId="77777777" w:rsidR="004718AE" w:rsidRPr="004718AE" w:rsidRDefault="004718AE" w:rsidP="004718AE">
            <w:pPr>
              <w:widowControl/>
              <w:spacing w:after="0" w:line="240" w:lineRule="auto"/>
              <w:rPr>
                <w:rFonts w:ascii="Arial" w:eastAsia="Times New Roman" w:hAnsi="Arial" w:cs="Arial"/>
                <w:color w:val="333333"/>
                <w:sz w:val="18"/>
                <w:szCs w:val="18"/>
                <w:lang w:val="fr-FR" w:eastAsia="fr-FR"/>
              </w:rPr>
            </w:pPr>
            <w:r w:rsidRPr="004718AE">
              <w:rPr>
                <w:rFonts w:ascii="Arial" w:eastAsia="Times New Roman" w:hAnsi="Arial" w:cs="Arial"/>
                <w:color w:val="333333"/>
                <w:sz w:val="18"/>
                <w:szCs w:val="18"/>
                <w:lang w:val="fr-FR" w:eastAsia="fr-FR"/>
              </w:rPr>
              <w:t>NL0014559478</w:t>
            </w:r>
          </w:p>
        </w:tc>
        <w:tc>
          <w:tcPr>
            <w:tcW w:w="1364" w:type="dxa"/>
            <w:tcBorders>
              <w:top w:val="nil"/>
              <w:left w:val="nil"/>
              <w:bottom w:val="single" w:sz="4" w:space="0" w:color="000000"/>
              <w:right w:val="single" w:sz="4" w:space="0" w:color="000000"/>
            </w:tcBorders>
            <w:shd w:val="clear" w:color="FFFFFF" w:fill="F8FBFC"/>
            <w:noWrap/>
            <w:vAlign w:val="center"/>
            <w:hideMark/>
          </w:tcPr>
          <w:p w14:paraId="23BBA27C" w14:textId="77777777" w:rsidR="004718AE" w:rsidRPr="004718AE" w:rsidRDefault="004718AE" w:rsidP="004718AE">
            <w:pPr>
              <w:widowControl/>
              <w:spacing w:after="0" w:line="240" w:lineRule="auto"/>
              <w:jc w:val="right"/>
              <w:rPr>
                <w:rFonts w:ascii="Arial" w:eastAsia="Times New Roman" w:hAnsi="Arial" w:cs="Arial"/>
                <w:color w:val="333333"/>
                <w:sz w:val="18"/>
                <w:szCs w:val="18"/>
                <w:lang w:val="fr-FR" w:eastAsia="fr-FR"/>
              </w:rPr>
            </w:pPr>
            <w:r w:rsidRPr="004718AE">
              <w:rPr>
                <w:rFonts w:ascii="Arial" w:eastAsia="Times New Roman" w:hAnsi="Arial" w:cs="Arial"/>
                <w:color w:val="333333"/>
                <w:sz w:val="18"/>
                <w:szCs w:val="18"/>
                <w:lang w:val="fr-FR" w:eastAsia="fr-FR"/>
              </w:rPr>
              <w:t>29083</w:t>
            </w:r>
          </w:p>
        </w:tc>
        <w:tc>
          <w:tcPr>
            <w:tcW w:w="2126" w:type="dxa"/>
            <w:tcBorders>
              <w:top w:val="nil"/>
              <w:left w:val="nil"/>
              <w:bottom w:val="single" w:sz="4" w:space="0" w:color="000000"/>
              <w:right w:val="single" w:sz="4" w:space="0" w:color="000000"/>
            </w:tcBorders>
            <w:shd w:val="clear" w:color="FFFFFF" w:fill="F8FBFC"/>
            <w:noWrap/>
            <w:vAlign w:val="center"/>
            <w:hideMark/>
          </w:tcPr>
          <w:p w14:paraId="705533C1" w14:textId="77777777" w:rsidR="004718AE" w:rsidRPr="004718AE" w:rsidRDefault="004718AE" w:rsidP="004718AE">
            <w:pPr>
              <w:widowControl/>
              <w:spacing w:after="0" w:line="240" w:lineRule="auto"/>
              <w:jc w:val="right"/>
              <w:rPr>
                <w:rFonts w:ascii="Arial" w:eastAsia="Times New Roman" w:hAnsi="Arial" w:cs="Arial"/>
                <w:color w:val="333333"/>
                <w:sz w:val="18"/>
                <w:szCs w:val="18"/>
                <w:lang w:val="fr-FR" w:eastAsia="fr-FR"/>
              </w:rPr>
            </w:pPr>
            <w:r w:rsidRPr="004718AE">
              <w:rPr>
                <w:rFonts w:ascii="Arial" w:eastAsia="Times New Roman" w:hAnsi="Arial" w:cs="Arial"/>
                <w:color w:val="333333"/>
                <w:sz w:val="18"/>
                <w:szCs w:val="18"/>
                <w:lang w:val="fr-FR" w:eastAsia="fr-FR"/>
              </w:rPr>
              <w:t>10,144503</w:t>
            </w:r>
          </w:p>
        </w:tc>
        <w:tc>
          <w:tcPr>
            <w:tcW w:w="925" w:type="dxa"/>
            <w:tcBorders>
              <w:top w:val="nil"/>
              <w:left w:val="nil"/>
              <w:bottom w:val="single" w:sz="4" w:space="0" w:color="000000"/>
              <w:right w:val="single" w:sz="4" w:space="0" w:color="000000"/>
            </w:tcBorders>
            <w:shd w:val="clear" w:color="FFFFFF" w:fill="F8FBFC"/>
            <w:noWrap/>
            <w:vAlign w:val="center"/>
            <w:hideMark/>
          </w:tcPr>
          <w:p w14:paraId="0FAF629C" w14:textId="77777777" w:rsidR="004718AE" w:rsidRPr="004718AE" w:rsidRDefault="004718AE" w:rsidP="004718AE">
            <w:pPr>
              <w:widowControl/>
              <w:spacing w:after="0" w:line="240" w:lineRule="auto"/>
              <w:jc w:val="center"/>
              <w:rPr>
                <w:rFonts w:ascii="Arial" w:eastAsia="Times New Roman" w:hAnsi="Arial" w:cs="Arial"/>
                <w:color w:val="333333"/>
                <w:sz w:val="18"/>
                <w:szCs w:val="18"/>
                <w:lang w:val="fr-FR" w:eastAsia="fr-FR"/>
              </w:rPr>
            </w:pPr>
            <w:r w:rsidRPr="004718AE">
              <w:rPr>
                <w:rFonts w:ascii="Arial" w:eastAsia="Times New Roman" w:hAnsi="Arial" w:cs="Arial"/>
                <w:color w:val="333333"/>
                <w:sz w:val="18"/>
                <w:szCs w:val="18"/>
                <w:lang w:val="fr-FR" w:eastAsia="fr-FR"/>
              </w:rPr>
              <w:t>XPAR</w:t>
            </w:r>
          </w:p>
        </w:tc>
      </w:tr>
      <w:tr w:rsidR="004718AE" w:rsidRPr="004718AE" w14:paraId="41087D15" w14:textId="77777777" w:rsidTr="004718AE">
        <w:trPr>
          <w:trHeight w:val="546"/>
        </w:trPr>
        <w:tc>
          <w:tcPr>
            <w:tcW w:w="1843" w:type="dxa"/>
            <w:tcBorders>
              <w:top w:val="nil"/>
              <w:left w:val="nil"/>
              <w:bottom w:val="nil"/>
              <w:right w:val="nil"/>
            </w:tcBorders>
            <w:shd w:val="clear" w:color="FFFFFF" w:fill="FFFFFF"/>
            <w:noWrap/>
            <w:vAlign w:val="center"/>
            <w:hideMark/>
          </w:tcPr>
          <w:p w14:paraId="3DD1A6DB" w14:textId="77777777" w:rsidR="004718AE" w:rsidRPr="004718AE" w:rsidRDefault="004718AE" w:rsidP="004718AE">
            <w:pPr>
              <w:widowControl/>
              <w:spacing w:after="0" w:line="240" w:lineRule="auto"/>
              <w:jc w:val="right"/>
              <w:rPr>
                <w:rFonts w:ascii="Arial" w:eastAsia="Times New Roman" w:hAnsi="Arial" w:cs="Arial"/>
                <w:b/>
                <w:bCs/>
                <w:color w:val="333333"/>
                <w:sz w:val="16"/>
                <w:szCs w:val="16"/>
                <w:lang w:val="fr-FR" w:eastAsia="fr-FR"/>
              </w:rPr>
            </w:pPr>
            <w:r w:rsidRPr="004718AE">
              <w:rPr>
                <w:rFonts w:ascii="Arial" w:eastAsia="Times New Roman" w:hAnsi="Arial" w:cs="Arial"/>
                <w:b/>
                <w:bCs/>
                <w:color w:val="333333"/>
                <w:sz w:val="16"/>
                <w:szCs w:val="16"/>
                <w:lang w:val="fr-FR" w:eastAsia="fr-FR"/>
              </w:rPr>
              <w:t> </w:t>
            </w:r>
          </w:p>
        </w:tc>
        <w:tc>
          <w:tcPr>
            <w:tcW w:w="2410" w:type="dxa"/>
            <w:tcBorders>
              <w:top w:val="nil"/>
              <w:left w:val="nil"/>
              <w:bottom w:val="nil"/>
              <w:right w:val="nil"/>
            </w:tcBorders>
            <w:shd w:val="clear" w:color="FFFFFF" w:fill="FFFFFF"/>
            <w:noWrap/>
            <w:vAlign w:val="center"/>
            <w:hideMark/>
          </w:tcPr>
          <w:p w14:paraId="2EFAE6F7" w14:textId="77777777" w:rsidR="004718AE" w:rsidRPr="004718AE" w:rsidRDefault="004718AE" w:rsidP="004718AE">
            <w:pPr>
              <w:widowControl/>
              <w:spacing w:after="0" w:line="240" w:lineRule="auto"/>
              <w:rPr>
                <w:rFonts w:ascii="Arial" w:eastAsia="Times New Roman" w:hAnsi="Arial" w:cs="Arial"/>
                <w:b/>
                <w:bCs/>
                <w:color w:val="333333"/>
                <w:sz w:val="16"/>
                <w:szCs w:val="16"/>
                <w:lang w:val="fr-FR" w:eastAsia="fr-FR"/>
              </w:rPr>
            </w:pPr>
            <w:r w:rsidRPr="004718AE">
              <w:rPr>
                <w:rFonts w:ascii="Arial" w:eastAsia="Times New Roman" w:hAnsi="Arial" w:cs="Arial"/>
                <w:b/>
                <w:bCs/>
                <w:color w:val="333333"/>
                <w:sz w:val="16"/>
                <w:szCs w:val="16"/>
                <w:lang w:val="fr-FR" w:eastAsia="fr-FR"/>
              </w:rPr>
              <w:t> </w:t>
            </w:r>
          </w:p>
        </w:tc>
        <w:tc>
          <w:tcPr>
            <w:tcW w:w="1276" w:type="dxa"/>
            <w:tcBorders>
              <w:top w:val="nil"/>
              <w:left w:val="nil"/>
              <w:bottom w:val="nil"/>
              <w:right w:val="nil"/>
            </w:tcBorders>
            <w:shd w:val="clear" w:color="FFFFFF" w:fill="FFFFFF"/>
            <w:noWrap/>
            <w:vAlign w:val="center"/>
            <w:hideMark/>
          </w:tcPr>
          <w:p w14:paraId="6A7B6F8A" w14:textId="77777777" w:rsidR="004718AE" w:rsidRPr="004718AE" w:rsidRDefault="004718AE" w:rsidP="004718AE">
            <w:pPr>
              <w:widowControl/>
              <w:spacing w:after="0" w:line="240" w:lineRule="auto"/>
              <w:jc w:val="center"/>
              <w:rPr>
                <w:rFonts w:ascii="Arial" w:eastAsia="Times New Roman" w:hAnsi="Arial" w:cs="Arial"/>
                <w:b/>
                <w:bCs/>
                <w:color w:val="333333"/>
                <w:sz w:val="16"/>
                <w:szCs w:val="16"/>
                <w:lang w:val="fr-FR" w:eastAsia="fr-FR"/>
              </w:rPr>
            </w:pPr>
            <w:r w:rsidRPr="004718AE">
              <w:rPr>
                <w:rFonts w:ascii="Arial" w:eastAsia="Times New Roman" w:hAnsi="Arial" w:cs="Arial"/>
                <w:b/>
                <w:bCs/>
                <w:color w:val="333333"/>
                <w:sz w:val="16"/>
                <w:szCs w:val="16"/>
                <w:lang w:val="fr-FR" w:eastAsia="fr-FR"/>
              </w:rPr>
              <w:t> </w:t>
            </w:r>
          </w:p>
        </w:tc>
        <w:tc>
          <w:tcPr>
            <w:tcW w:w="1613" w:type="dxa"/>
            <w:tcBorders>
              <w:top w:val="nil"/>
              <w:left w:val="single" w:sz="4" w:space="0" w:color="000000"/>
              <w:bottom w:val="single" w:sz="4" w:space="0" w:color="000000"/>
              <w:right w:val="single" w:sz="4" w:space="0" w:color="000000"/>
            </w:tcBorders>
            <w:shd w:val="clear" w:color="FFFFFF" w:fill="C6C3C6"/>
            <w:noWrap/>
            <w:vAlign w:val="center"/>
            <w:hideMark/>
          </w:tcPr>
          <w:p w14:paraId="1C72EADC" w14:textId="77777777" w:rsidR="004718AE" w:rsidRPr="004718AE" w:rsidRDefault="004718AE" w:rsidP="004718AE">
            <w:pPr>
              <w:widowControl/>
              <w:spacing w:after="0" w:line="240" w:lineRule="auto"/>
              <w:jc w:val="center"/>
              <w:rPr>
                <w:rFonts w:ascii="Arial" w:eastAsia="Times New Roman" w:hAnsi="Arial" w:cs="Arial"/>
                <w:b/>
                <w:bCs/>
                <w:color w:val="333333"/>
                <w:lang w:val="fr-FR" w:eastAsia="fr-FR"/>
              </w:rPr>
            </w:pPr>
            <w:r w:rsidRPr="004718AE">
              <w:rPr>
                <w:rFonts w:ascii="Arial" w:eastAsia="Times New Roman" w:hAnsi="Arial" w:cs="Arial"/>
                <w:b/>
                <w:bCs/>
                <w:color w:val="333333"/>
                <w:lang w:val="fr-FR" w:eastAsia="fr-FR"/>
              </w:rPr>
              <w:t>TOTAL</w:t>
            </w:r>
          </w:p>
        </w:tc>
        <w:tc>
          <w:tcPr>
            <w:tcW w:w="1364" w:type="dxa"/>
            <w:tcBorders>
              <w:top w:val="nil"/>
              <w:left w:val="nil"/>
              <w:bottom w:val="single" w:sz="4" w:space="0" w:color="000000"/>
              <w:right w:val="single" w:sz="4" w:space="0" w:color="000000"/>
            </w:tcBorders>
            <w:shd w:val="clear" w:color="FFFFFF" w:fill="C6C3C6"/>
            <w:noWrap/>
            <w:vAlign w:val="center"/>
            <w:hideMark/>
          </w:tcPr>
          <w:p w14:paraId="7FA8B8B5" w14:textId="77777777" w:rsidR="004718AE" w:rsidRPr="004718AE" w:rsidRDefault="004718AE" w:rsidP="004718AE">
            <w:pPr>
              <w:widowControl/>
              <w:spacing w:after="0" w:line="240" w:lineRule="auto"/>
              <w:jc w:val="right"/>
              <w:rPr>
                <w:rFonts w:ascii="Arial" w:eastAsia="Times New Roman" w:hAnsi="Arial" w:cs="Arial"/>
                <w:b/>
                <w:bCs/>
                <w:color w:val="333333"/>
                <w:lang w:val="fr-FR" w:eastAsia="fr-FR"/>
              </w:rPr>
            </w:pPr>
            <w:r w:rsidRPr="004718AE">
              <w:rPr>
                <w:rFonts w:ascii="Arial" w:eastAsia="Times New Roman" w:hAnsi="Arial" w:cs="Arial"/>
                <w:b/>
                <w:bCs/>
                <w:color w:val="333333"/>
                <w:lang w:val="fr-FR" w:eastAsia="fr-FR"/>
              </w:rPr>
              <w:t>29083</w:t>
            </w:r>
          </w:p>
        </w:tc>
        <w:tc>
          <w:tcPr>
            <w:tcW w:w="2126" w:type="dxa"/>
            <w:tcBorders>
              <w:top w:val="nil"/>
              <w:left w:val="nil"/>
              <w:bottom w:val="single" w:sz="4" w:space="0" w:color="000000"/>
              <w:right w:val="single" w:sz="4" w:space="0" w:color="000000"/>
            </w:tcBorders>
            <w:shd w:val="clear" w:color="FFFFFF" w:fill="C6C3C6"/>
            <w:noWrap/>
            <w:vAlign w:val="center"/>
            <w:hideMark/>
          </w:tcPr>
          <w:p w14:paraId="06C30034" w14:textId="77777777" w:rsidR="004718AE" w:rsidRPr="004718AE" w:rsidRDefault="004718AE" w:rsidP="004718AE">
            <w:pPr>
              <w:widowControl/>
              <w:spacing w:after="0" w:line="240" w:lineRule="auto"/>
              <w:jc w:val="right"/>
              <w:rPr>
                <w:rFonts w:ascii="Arial" w:eastAsia="Times New Roman" w:hAnsi="Arial" w:cs="Arial"/>
                <w:b/>
                <w:bCs/>
                <w:color w:val="333333"/>
                <w:lang w:val="fr-FR" w:eastAsia="fr-FR"/>
              </w:rPr>
            </w:pPr>
            <w:r w:rsidRPr="004718AE">
              <w:rPr>
                <w:rFonts w:ascii="Arial" w:eastAsia="Times New Roman" w:hAnsi="Arial" w:cs="Arial"/>
                <w:b/>
                <w:bCs/>
                <w:color w:val="333333"/>
                <w:lang w:val="fr-FR" w:eastAsia="fr-FR"/>
              </w:rPr>
              <w:t>10,144503</w:t>
            </w:r>
          </w:p>
        </w:tc>
        <w:tc>
          <w:tcPr>
            <w:tcW w:w="925" w:type="dxa"/>
            <w:tcBorders>
              <w:top w:val="nil"/>
              <w:left w:val="nil"/>
              <w:bottom w:val="nil"/>
              <w:right w:val="nil"/>
            </w:tcBorders>
            <w:shd w:val="clear" w:color="FFFFFF" w:fill="FFFFFF"/>
            <w:noWrap/>
            <w:vAlign w:val="center"/>
            <w:hideMark/>
          </w:tcPr>
          <w:p w14:paraId="01EB7587" w14:textId="77777777" w:rsidR="004718AE" w:rsidRPr="004718AE" w:rsidRDefault="004718AE" w:rsidP="004718AE">
            <w:pPr>
              <w:widowControl/>
              <w:spacing w:after="0" w:line="240" w:lineRule="auto"/>
              <w:jc w:val="center"/>
              <w:rPr>
                <w:rFonts w:ascii="Arial" w:eastAsia="Times New Roman" w:hAnsi="Arial" w:cs="Arial"/>
                <w:b/>
                <w:bCs/>
                <w:color w:val="333333"/>
                <w:sz w:val="16"/>
                <w:szCs w:val="16"/>
                <w:lang w:val="fr-FR" w:eastAsia="fr-FR"/>
              </w:rPr>
            </w:pPr>
            <w:r w:rsidRPr="004718AE">
              <w:rPr>
                <w:rFonts w:ascii="Arial" w:eastAsia="Times New Roman" w:hAnsi="Arial" w:cs="Arial"/>
                <w:b/>
                <w:bCs/>
                <w:color w:val="333333"/>
                <w:sz w:val="16"/>
                <w:szCs w:val="16"/>
                <w:lang w:val="fr-FR" w:eastAsia="fr-FR"/>
              </w:rPr>
              <w:t> </w:t>
            </w:r>
          </w:p>
        </w:tc>
      </w:tr>
    </w:tbl>
    <w:p w14:paraId="27B2050B" w14:textId="77777777" w:rsidR="00BB68D0" w:rsidRDefault="00BB68D0" w:rsidP="00C811F6">
      <w:pPr>
        <w:tabs>
          <w:tab w:val="left" w:pos="1340"/>
        </w:tabs>
        <w:ind w:right="-709"/>
        <w:rPr>
          <w:rFonts w:ascii="worksansregular" w:eastAsia="Times New Roman" w:hAnsi="worksansregular" w:cs="Times New Roman"/>
          <w:color w:val="333333"/>
          <w:sz w:val="24"/>
          <w:szCs w:val="24"/>
          <w:lang w:val="fr-FR" w:eastAsia="fr-FR"/>
        </w:rPr>
      </w:pPr>
    </w:p>
    <w:bookmarkEnd w:id="0"/>
    <w:p w14:paraId="5121B774" w14:textId="4FA07E06" w:rsidR="00B41E62" w:rsidRPr="00C811F6" w:rsidRDefault="00BB68D0" w:rsidP="00C811F6">
      <w:pPr>
        <w:tabs>
          <w:tab w:val="left" w:pos="1340"/>
        </w:tabs>
        <w:ind w:right="-709"/>
        <w:rPr>
          <w:rFonts w:ascii="worksansregular" w:eastAsia="Times New Roman" w:hAnsi="worksansregular" w:cs="Times New Roman"/>
          <w:color w:val="333333"/>
          <w:sz w:val="24"/>
          <w:szCs w:val="24"/>
          <w:lang w:val="fr-FR" w:eastAsia="fr-FR"/>
        </w:rPr>
      </w:pPr>
      <w:r>
        <w:rPr>
          <w:rFonts w:ascii="worksansregular" w:eastAsia="Times New Roman" w:hAnsi="worksansregular" w:cs="Times New Roman"/>
          <w:color w:val="333333"/>
          <w:sz w:val="24"/>
          <w:szCs w:val="24"/>
          <w:lang w:val="fr-FR" w:eastAsia="fr-FR"/>
        </w:rPr>
        <w:t>P</w:t>
      </w:r>
      <w:r w:rsidR="00582C5A" w:rsidRPr="00C811F6">
        <w:rPr>
          <w:rFonts w:ascii="worksansregular" w:eastAsia="Times New Roman" w:hAnsi="worksansregular" w:cs="Times New Roman"/>
          <w:color w:val="333333"/>
          <w:sz w:val="24"/>
          <w:szCs w:val="24"/>
          <w:lang w:val="fr-FR" w:eastAsia="fr-FR"/>
        </w:rPr>
        <w:t xml:space="preserve">our une information détaillée concernant les transactions réalisées ainsi que les </w:t>
      </w:r>
      <w:r w:rsidR="006003C3" w:rsidRPr="00C811F6">
        <w:rPr>
          <w:rFonts w:ascii="worksansregular" w:eastAsia="Times New Roman" w:hAnsi="worksansregular" w:cs="Times New Roman"/>
          <w:color w:val="333333"/>
          <w:sz w:val="24"/>
          <w:szCs w:val="24"/>
          <w:lang w:val="fr-FR" w:eastAsia="fr-FR"/>
        </w:rPr>
        <w:t>o</w:t>
      </w:r>
      <w:r w:rsidR="00582C5A" w:rsidRPr="00C811F6">
        <w:rPr>
          <w:rFonts w:ascii="worksansregular" w:eastAsia="Times New Roman" w:hAnsi="worksansregular" w:cs="Times New Roman"/>
          <w:color w:val="333333"/>
          <w:sz w:val="24"/>
          <w:szCs w:val="24"/>
          <w:lang w:val="fr-FR" w:eastAsia="fr-FR"/>
        </w:rPr>
        <w:t xml:space="preserve">bjectifs de rachat poursuivis, se référer à la déclaration détaillée disponible sur </w:t>
      </w:r>
      <w:r w:rsidR="00000000">
        <w:fldChar w:fldCharType="begin"/>
      </w:r>
      <w:r w:rsidR="00000000" w:rsidRPr="006D1F1A">
        <w:rPr>
          <w:lang w:val="fr-FR"/>
        </w:rPr>
        <w:instrText xml:space="preserve"> HYPERLINK "https://investors.technipenergies.com/fr/financial-information/transactions-sur-actions-propres" </w:instrText>
      </w:r>
      <w:r w:rsidR="00000000">
        <w:fldChar w:fldCharType="separate"/>
      </w:r>
      <w:r w:rsidR="00563343" w:rsidRPr="00644902">
        <w:rPr>
          <w:rStyle w:val="Hyperlink"/>
          <w:rFonts w:ascii="worksansregular" w:eastAsia="Times New Roman" w:hAnsi="worksansregular" w:cs="Times New Roman"/>
          <w:sz w:val="24"/>
          <w:szCs w:val="24"/>
          <w:lang w:val="fr-FR" w:eastAsia="fr-FR"/>
        </w:rPr>
        <w:t>https://investors.technipenergies.com/fr/financial-information/transactions-sur-actions-propres</w:t>
      </w:r>
      <w:r w:rsidR="00000000">
        <w:rPr>
          <w:rStyle w:val="Hyperlink"/>
          <w:rFonts w:ascii="worksansregular" w:eastAsia="Times New Roman" w:hAnsi="worksansregular" w:cs="Times New Roman"/>
          <w:sz w:val="24"/>
          <w:szCs w:val="24"/>
          <w:lang w:val="fr-FR" w:eastAsia="fr-FR"/>
        </w:rPr>
        <w:fldChar w:fldCharType="end"/>
      </w:r>
      <w:r w:rsidR="00582C5A" w:rsidRPr="00C811F6">
        <w:rPr>
          <w:rFonts w:ascii="worksansregular" w:eastAsia="Times New Roman" w:hAnsi="worksansregular" w:cs="Times New Roman"/>
          <w:color w:val="333333"/>
          <w:sz w:val="24"/>
          <w:szCs w:val="24"/>
          <w:lang w:val="fr-FR" w:eastAsia="fr-FR"/>
        </w:rPr>
        <w:t>.</w:t>
      </w:r>
    </w:p>
    <w:p w14:paraId="5570CBE7" w14:textId="77777777" w:rsidR="006003C3" w:rsidRDefault="006003C3" w:rsidP="00803309">
      <w:pPr>
        <w:pStyle w:val="NormalWeb"/>
        <w:shd w:val="clear" w:color="auto" w:fill="FFFFFF"/>
        <w:spacing w:before="0" w:beforeAutospacing="0" w:after="0" w:afterAutospacing="0"/>
        <w:rPr>
          <w:rFonts w:ascii="worksansregular" w:hAnsi="worksansregular"/>
          <w:color w:val="333333"/>
        </w:rPr>
      </w:pPr>
    </w:p>
    <w:p w14:paraId="6C66F303" w14:textId="21B91BEB" w:rsidR="003607F5" w:rsidRPr="006D1F1A" w:rsidRDefault="00803309" w:rsidP="007B218E">
      <w:pPr>
        <w:pStyle w:val="NormalWeb"/>
        <w:spacing w:before="0" w:beforeAutospacing="0" w:after="0" w:afterAutospacing="0"/>
        <w:rPr>
          <w:rFonts w:ascii="worksansregular" w:hAnsi="worksansregular"/>
          <w:color w:val="0070EE"/>
        </w:rPr>
      </w:pPr>
      <w:r w:rsidRPr="006D1F1A">
        <w:rPr>
          <w:rFonts w:ascii="worksansregular" w:hAnsi="worksansregular"/>
          <w:color w:val="0070EE"/>
        </w:rPr>
        <w:t>A propos de Technip Energies</w:t>
      </w:r>
    </w:p>
    <w:p w14:paraId="1DDBB170" w14:textId="7283A8A1" w:rsidR="00803309" w:rsidRDefault="00803309" w:rsidP="007B218E">
      <w:pPr>
        <w:tabs>
          <w:tab w:val="left" w:pos="1340"/>
        </w:tabs>
        <w:ind w:right="-709"/>
        <w:rPr>
          <w:rFonts w:ascii="worksansregular" w:hAnsi="worksansregular"/>
          <w:color w:val="333333"/>
          <w:lang w:val="fr-FR"/>
        </w:rPr>
      </w:pPr>
      <w:r w:rsidRPr="007B218E">
        <w:rPr>
          <w:rFonts w:ascii="worksansregular" w:eastAsia="Times New Roman" w:hAnsi="worksansregular" w:cs="Times New Roman"/>
          <w:color w:val="333333"/>
          <w:sz w:val="24"/>
          <w:szCs w:val="24"/>
          <w:lang w:val="fr-FR" w:eastAsia="fr-FR"/>
        </w:rPr>
        <w:t>Technip Energies est une société d’ingénierie et de technologies de premier plan au service de la transition énergétique, avec des positions de leader dans le Gaz Naturel Liquéfié (GNL), l’hydrogène et l’éthylène et avec une présence forte sur les marchés en croissance de l’hydrogène bleu et vert, la chimie durable et la gestion du CO</w:t>
      </w:r>
      <w:r w:rsidRPr="006803FE">
        <w:rPr>
          <w:rFonts w:ascii="worksansregular" w:eastAsia="Times New Roman" w:hAnsi="worksansregular" w:cs="Times New Roman"/>
          <w:color w:val="333333"/>
          <w:sz w:val="24"/>
          <w:szCs w:val="24"/>
          <w:vertAlign w:val="subscript"/>
          <w:lang w:val="fr-FR" w:eastAsia="fr-FR"/>
        </w:rPr>
        <w:t>2</w:t>
      </w:r>
      <w:r w:rsidRPr="007B218E">
        <w:rPr>
          <w:rFonts w:ascii="worksansregular" w:eastAsia="Times New Roman" w:hAnsi="worksansregular" w:cs="Times New Roman"/>
          <w:color w:val="333333"/>
          <w:sz w:val="24"/>
          <w:szCs w:val="24"/>
          <w:lang w:val="fr-FR" w:eastAsia="fr-FR"/>
        </w:rPr>
        <w:t>. La société bénéficie de son solide modèle de livraison de projet, soutenu par une offre étendue de technologies, de produits et de services.</w:t>
      </w:r>
      <w:r w:rsidRPr="007B218E">
        <w:rPr>
          <w:rFonts w:ascii="worksansregular" w:eastAsia="Times New Roman" w:hAnsi="worksansregular" w:cs="Times New Roman"/>
          <w:color w:val="333333"/>
          <w:sz w:val="24"/>
          <w:szCs w:val="24"/>
          <w:lang w:val="fr-FR" w:eastAsia="fr-FR"/>
        </w:rPr>
        <w:br/>
      </w:r>
      <w:r w:rsidRPr="007B218E">
        <w:rPr>
          <w:rFonts w:ascii="worksansregular" w:eastAsia="Times New Roman" w:hAnsi="worksansregular" w:cs="Times New Roman"/>
          <w:color w:val="333333"/>
          <w:sz w:val="24"/>
          <w:szCs w:val="24"/>
          <w:lang w:val="fr-FR" w:eastAsia="fr-FR"/>
        </w:rPr>
        <w:br/>
        <w:t>Avec une présence dans 34 pays, nos 15 000 collaborateurs sont pleinement engagés à donner vie aux projets innovants de nos clients, en repoussant les limites du possible pour accélérer la transition énergétique vers un avenir meilleur.</w:t>
      </w:r>
      <w:r w:rsidRPr="007B218E">
        <w:rPr>
          <w:rFonts w:ascii="worksansregular" w:eastAsia="Times New Roman" w:hAnsi="worksansregular" w:cs="Times New Roman"/>
          <w:color w:val="333333"/>
          <w:sz w:val="24"/>
          <w:szCs w:val="24"/>
          <w:lang w:val="fr-FR" w:eastAsia="fr-FR"/>
        </w:rPr>
        <w:br/>
      </w:r>
      <w:r w:rsidRPr="007B218E">
        <w:rPr>
          <w:rFonts w:ascii="worksansregular" w:eastAsia="Times New Roman" w:hAnsi="worksansregular" w:cs="Times New Roman"/>
          <w:color w:val="333333"/>
          <w:sz w:val="24"/>
          <w:szCs w:val="24"/>
          <w:lang w:val="fr-FR" w:eastAsia="fr-FR"/>
        </w:rPr>
        <w:br/>
      </w:r>
      <w:r w:rsidRPr="007B218E">
        <w:rPr>
          <w:rFonts w:ascii="worksansregular" w:eastAsia="Times New Roman" w:hAnsi="worksansregular" w:cs="Times New Roman"/>
          <w:color w:val="333333"/>
          <w:sz w:val="24"/>
          <w:szCs w:val="24"/>
          <w:lang w:val="fr-FR" w:eastAsia="fr-FR"/>
        </w:rPr>
        <w:lastRenderedPageBreak/>
        <w:t>Technip Energies est coté sur Euronext Paris avec des certificats de dépôt américains (« ADR ») négociés de gré à gré aux Etats-Unis.</w:t>
      </w:r>
    </w:p>
    <w:p w14:paraId="1032E81D" w14:textId="6D8E7FE7" w:rsidR="00803309" w:rsidRDefault="00803309" w:rsidP="00803309">
      <w:pPr>
        <w:pStyle w:val="NormalWeb"/>
        <w:shd w:val="clear" w:color="auto" w:fill="FFFFFF"/>
        <w:spacing w:before="0" w:beforeAutospacing="0" w:after="0" w:afterAutospacing="0"/>
        <w:rPr>
          <w:rFonts w:ascii="worksansregular" w:hAnsi="worksansregular"/>
          <w:color w:val="333333"/>
        </w:rPr>
      </w:pPr>
      <w:r>
        <w:rPr>
          <w:rFonts w:ascii="worksansregular" w:hAnsi="worksansregular"/>
          <w:color w:val="333333"/>
        </w:rPr>
        <w:t>Pour plus d’informations : </w:t>
      </w:r>
      <w:hyperlink r:id="rId10" w:history="1">
        <w:r w:rsidR="00201269">
          <w:rPr>
            <w:rStyle w:val="Hyperlink"/>
            <w:rFonts w:ascii="worksansregular" w:hAnsi="worksansregular"/>
            <w:color w:val="004C83"/>
          </w:rPr>
          <w:t>https://www.technipenergies.com</w:t>
        </w:r>
      </w:hyperlink>
      <w:r>
        <w:rPr>
          <w:rFonts w:ascii="worksansregular" w:hAnsi="worksansregular"/>
          <w:color w:val="333333"/>
        </w:rPr>
        <w:t>.</w:t>
      </w:r>
    </w:p>
    <w:p w14:paraId="5ABC5CE7" w14:textId="77777777" w:rsidR="006003C3" w:rsidRDefault="006003C3" w:rsidP="00803309">
      <w:pPr>
        <w:pStyle w:val="NormalWeb"/>
        <w:shd w:val="clear" w:color="auto" w:fill="FFFFFF"/>
        <w:spacing w:before="0" w:beforeAutospacing="0" w:after="0" w:afterAutospacing="0"/>
        <w:rPr>
          <w:rFonts w:ascii="worksansregular" w:hAnsi="worksansregular"/>
          <w:color w:val="333333"/>
        </w:rPr>
      </w:pPr>
    </w:p>
    <w:p w14:paraId="731B63BC" w14:textId="77777777" w:rsidR="006003C3" w:rsidRDefault="006003C3" w:rsidP="006003C3">
      <w:pPr>
        <w:pStyle w:val="NormalWeb"/>
        <w:shd w:val="clear" w:color="auto" w:fill="FFFFFF"/>
        <w:spacing w:before="0" w:beforeAutospacing="0" w:after="0" w:afterAutospacing="0"/>
        <w:rPr>
          <w:rFonts w:ascii="worksansregular" w:hAnsi="worksansregular"/>
          <w:color w:val="333333"/>
        </w:rPr>
      </w:pPr>
      <w:r>
        <w:rPr>
          <w:rFonts w:ascii="worksansregular" w:hAnsi="worksansregular"/>
          <w:color w:val="333333"/>
        </w:rPr>
        <w:t>Contacts</w:t>
      </w:r>
    </w:p>
    <w:p w14:paraId="2E521BA8" w14:textId="77777777" w:rsidR="00F716CC" w:rsidRDefault="00F716CC" w:rsidP="006003C3">
      <w:pPr>
        <w:pStyle w:val="NormalWeb"/>
        <w:spacing w:before="0" w:beforeAutospacing="0" w:after="0" w:afterAutospacing="0"/>
        <w:rPr>
          <w:rFonts w:ascii="worksansregular" w:hAnsi="worksansregular"/>
        </w:rPr>
      </w:pPr>
    </w:p>
    <w:p w14:paraId="02F9EFAD" w14:textId="1EBF5CA6" w:rsidR="006003C3" w:rsidRDefault="006003C3" w:rsidP="006003C3">
      <w:pPr>
        <w:pStyle w:val="NormalWeb"/>
        <w:spacing w:before="0" w:beforeAutospacing="0" w:after="0" w:afterAutospacing="0"/>
        <w:rPr>
          <w:rFonts w:ascii="worksansregular" w:hAnsi="worksansregular"/>
        </w:rPr>
      </w:pPr>
      <w:r>
        <w:rPr>
          <w:rFonts w:ascii="worksansregular" w:hAnsi="worksansregular"/>
        </w:rPr>
        <w:t>Relations avec les investisseurs</w:t>
      </w:r>
    </w:p>
    <w:p w14:paraId="496C6FA7" w14:textId="12B22AFA" w:rsidR="006003C3" w:rsidRPr="006D1F1A" w:rsidRDefault="006003C3" w:rsidP="006003C3">
      <w:pPr>
        <w:pStyle w:val="NormalWeb"/>
        <w:spacing w:before="0" w:beforeAutospacing="0" w:after="0" w:afterAutospacing="0"/>
        <w:rPr>
          <w:rFonts w:ascii="worksansregular" w:hAnsi="worksansregular"/>
          <w:lang w:val="en-US"/>
        </w:rPr>
      </w:pPr>
      <w:r w:rsidRPr="006D1F1A">
        <w:rPr>
          <w:rFonts w:ascii="worksansregular" w:hAnsi="worksansregular"/>
          <w:lang w:val="en-US"/>
        </w:rPr>
        <w:t>Phillip Lindsay</w:t>
      </w:r>
      <w:r w:rsidRPr="006D1F1A">
        <w:rPr>
          <w:rFonts w:ascii="worksansregular" w:hAnsi="worksansregular"/>
          <w:lang w:val="en-US"/>
        </w:rPr>
        <w:br/>
        <w:t>Vice-President, Investor Relations</w:t>
      </w:r>
      <w:r w:rsidRPr="006D1F1A">
        <w:rPr>
          <w:rFonts w:ascii="worksansregular" w:hAnsi="worksansregular"/>
          <w:lang w:val="en-US"/>
        </w:rPr>
        <w:br/>
        <w:t>Tel: +44 203 429 3929</w:t>
      </w:r>
      <w:r w:rsidRPr="006D1F1A">
        <w:rPr>
          <w:rFonts w:ascii="worksansregular" w:hAnsi="worksansregular"/>
          <w:lang w:val="en-US"/>
        </w:rPr>
        <w:br/>
        <w:t>Email: </w:t>
      </w:r>
      <w:hyperlink r:id="rId11" w:history="1">
        <w:r w:rsidR="00C211A3" w:rsidRPr="006D1F1A">
          <w:rPr>
            <w:rStyle w:val="Hyperlink"/>
            <w:rFonts w:ascii="worksansregular" w:hAnsi="worksansregular"/>
            <w:color w:val="004C83"/>
            <w:lang w:val="en-US"/>
          </w:rPr>
          <w:t>Phillip Lindsay</w:t>
        </w:r>
      </w:hyperlink>
    </w:p>
    <w:p w14:paraId="3BFFDD02" w14:textId="77777777" w:rsidR="006003C3" w:rsidRPr="006D1F1A" w:rsidRDefault="006003C3" w:rsidP="006003C3">
      <w:pPr>
        <w:pStyle w:val="NormalWeb"/>
        <w:spacing w:before="0" w:beforeAutospacing="0" w:after="0" w:afterAutospacing="0"/>
        <w:rPr>
          <w:rFonts w:ascii="worksansregular" w:hAnsi="worksansregular"/>
          <w:lang w:val="en-US"/>
        </w:rPr>
      </w:pPr>
    </w:p>
    <w:p w14:paraId="6145E92F" w14:textId="77777777" w:rsidR="006003C3" w:rsidRDefault="006003C3" w:rsidP="006003C3">
      <w:pPr>
        <w:pStyle w:val="NormalWeb"/>
        <w:spacing w:before="0" w:beforeAutospacing="0" w:after="0" w:afterAutospacing="0"/>
        <w:rPr>
          <w:rFonts w:ascii="worksansregular" w:hAnsi="worksansregular"/>
        </w:rPr>
      </w:pPr>
      <w:r>
        <w:rPr>
          <w:rFonts w:ascii="worksansregular" w:hAnsi="worksansregular"/>
        </w:rPr>
        <w:t>Relations avec les médias</w:t>
      </w:r>
    </w:p>
    <w:p w14:paraId="520F9587" w14:textId="4467E34A" w:rsidR="006003C3" w:rsidRDefault="006003C3" w:rsidP="006003C3">
      <w:pPr>
        <w:pStyle w:val="NormalWeb"/>
        <w:spacing w:before="0" w:beforeAutospacing="0" w:after="0" w:afterAutospacing="0"/>
        <w:rPr>
          <w:rFonts w:ascii="worksansregular" w:hAnsi="worksansregular"/>
        </w:rPr>
      </w:pPr>
      <w:r>
        <w:rPr>
          <w:rFonts w:ascii="worksansregular" w:hAnsi="worksansregular"/>
        </w:rPr>
        <w:t>Stella Fumey</w:t>
      </w:r>
      <w:r>
        <w:rPr>
          <w:rFonts w:ascii="worksansregular" w:hAnsi="worksansregular"/>
        </w:rPr>
        <w:br/>
        <w:t>Directrice Relations Presse &amp; Communication Digitale</w:t>
      </w:r>
      <w:r>
        <w:rPr>
          <w:rFonts w:ascii="worksansregular" w:hAnsi="worksansregular"/>
        </w:rPr>
        <w:br/>
      </w:r>
      <w:proofErr w:type="gramStart"/>
      <w:r>
        <w:rPr>
          <w:rFonts w:ascii="worksansregular" w:hAnsi="worksansregular"/>
        </w:rPr>
        <w:t>Tel:</w:t>
      </w:r>
      <w:proofErr w:type="gramEnd"/>
      <w:r>
        <w:rPr>
          <w:rFonts w:ascii="worksansregular" w:hAnsi="worksansregular"/>
        </w:rPr>
        <w:t xml:space="preserve"> +33 1 85 67 40 95</w:t>
      </w:r>
      <w:r>
        <w:rPr>
          <w:rFonts w:ascii="worksansregular" w:hAnsi="worksansregular"/>
        </w:rPr>
        <w:br/>
        <w:t>Email: </w:t>
      </w:r>
      <w:hyperlink r:id="rId12" w:history="1">
        <w:r w:rsidR="002F76CF" w:rsidRPr="002F76CF">
          <w:rPr>
            <w:rStyle w:val="Hyperlink"/>
            <w:rFonts w:ascii="worksansregular" w:hAnsi="worksansregular"/>
            <w:color w:val="004C83"/>
          </w:rPr>
          <w:t>Stella Fumey</w:t>
        </w:r>
      </w:hyperlink>
    </w:p>
    <w:p w14:paraId="58D86DAF" w14:textId="77777777" w:rsidR="00F716CC" w:rsidRDefault="00F716CC" w:rsidP="006003C3">
      <w:pPr>
        <w:pStyle w:val="NormalWeb"/>
        <w:spacing w:before="0" w:beforeAutospacing="0" w:after="0" w:afterAutospacing="0"/>
        <w:rPr>
          <w:rFonts w:ascii="worksansregular" w:hAnsi="worksansregular"/>
        </w:rPr>
      </w:pPr>
    </w:p>
    <w:p w14:paraId="3AE833A3" w14:textId="63874E6C" w:rsidR="006003C3" w:rsidRDefault="006003C3" w:rsidP="006003C3">
      <w:pPr>
        <w:pStyle w:val="NormalWeb"/>
        <w:spacing w:before="0" w:beforeAutospacing="0" w:after="0" w:afterAutospacing="0"/>
        <w:rPr>
          <w:rFonts w:ascii="worksansregular" w:hAnsi="worksansregular"/>
        </w:rPr>
      </w:pPr>
      <w:r>
        <w:rPr>
          <w:rFonts w:ascii="worksansregular" w:hAnsi="worksansregular"/>
        </w:rPr>
        <w:t>Jason Hyonne</w:t>
      </w:r>
      <w:r>
        <w:rPr>
          <w:rFonts w:ascii="worksansregular" w:hAnsi="worksansregular"/>
        </w:rPr>
        <w:br/>
        <w:t>Responsable des Relations Presse et des Réseaux Sociaux</w:t>
      </w:r>
    </w:p>
    <w:p w14:paraId="7911B4A6" w14:textId="77777777" w:rsidR="006003C3" w:rsidRDefault="006003C3" w:rsidP="006003C3">
      <w:pPr>
        <w:pStyle w:val="NormalWeb"/>
        <w:spacing w:before="0" w:beforeAutospacing="0" w:after="0" w:afterAutospacing="0"/>
        <w:rPr>
          <w:rFonts w:ascii="worksansregular" w:hAnsi="worksansregular"/>
        </w:rPr>
      </w:pPr>
      <w:proofErr w:type="gramStart"/>
      <w:r>
        <w:rPr>
          <w:rFonts w:ascii="worksansregular" w:hAnsi="worksansregular"/>
        </w:rPr>
        <w:t>Tel:</w:t>
      </w:r>
      <w:proofErr w:type="gramEnd"/>
      <w:r>
        <w:rPr>
          <w:rFonts w:ascii="worksansregular" w:hAnsi="worksansregular"/>
        </w:rPr>
        <w:t xml:space="preserve"> +33 1 47 78 22 89</w:t>
      </w:r>
    </w:p>
    <w:p w14:paraId="6B269462" w14:textId="68EC9000" w:rsidR="00BE317C" w:rsidRDefault="006003C3" w:rsidP="006803FE">
      <w:pPr>
        <w:pStyle w:val="NormalWeb"/>
        <w:spacing w:before="0" w:beforeAutospacing="0" w:after="0" w:afterAutospacing="0"/>
        <w:rPr>
          <w:rStyle w:val="Hyperlink"/>
          <w:rFonts w:ascii="worksansregular" w:hAnsi="worksansregular"/>
          <w:color w:val="004C83"/>
        </w:rPr>
      </w:pPr>
      <w:proofErr w:type="gramStart"/>
      <w:r>
        <w:rPr>
          <w:rFonts w:ascii="worksansregular" w:hAnsi="worksansregular"/>
        </w:rPr>
        <w:t>Email:</w:t>
      </w:r>
      <w:proofErr w:type="gramEnd"/>
      <w:r>
        <w:rPr>
          <w:rFonts w:ascii="worksansregular" w:hAnsi="worksansregular"/>
        </w:rPr>
        <w:t> </w:t>
      </w:r>
      <w:hyperlink r:id="rId13" w:history="1">
        <w:r w:rsidR="00ED6E79" w:rsidRPr="00992CE4">
          <w:rPr>
            <w:rStyle w:val="Hyperlink"/>
            <w:rFonts w:ascii="worksansregular" w:hAnsi="worksansregular"/>
            <w:color w:val="004C83"/>
            <w:lang w:val="en-US"/>
          </w:rPr>
          <w:t>Jason Hyonne</w:t>
        </w:r>
      </w:hyperlink>
    </w:p>
    <w:p w14:paraId="72A63B05" w14:textId="2B9A8AC1" w:rsidR="0047380D" w:rsidRPr="0047380D" w:rsidRDefault="0047380D" w:rsidP="0047380D">
      <w:pPr>
        <w:tabs>
          <w:tab w:val="left" w:pos="4052"/>
        </w:tabs>
        <w:rPr>
          <w:lang w:val="fr-FR" w:eastAsia="fr-FR"/>
        </w:rPr>
      </w:pPr>
    </w:p>
    <w:sectPr w:rsidR="0047380D" w:rsidRPr="0047380D" w:rsidSect="006803FE">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83EA" w14:textId="77777777" w:rsidR="00267612" w:rsidRDefault="00267612" w:rsidP="00EF56DB">
      <w:pPr>
        <w:spacing w:after="0" w:line="240" w:lineRule="auto"/>
      </w:pPr>
      <w:r>
        <w:separator/>
      </w:r>
    </w:p>
  </w:endnote>
  <w:endnote w:type="continuationSeparator" w:id="0">
    <w:p w14:paraId="5F2FAFC5" w14:textId="77777777" w:rsidR="00267612" w:rsidRDefault="00267612" w:rsidP="00EF56DB">
      <w:pPr>
        <w:spacing w:after="0" w:line="240" w:lineRule="auto"/>
      </w:pPr>
      <w:r>
        <w:continuationSeparator/>
      </w:r>
    </w:p>
  </w:endnote>
  <w:endnote w:type="continuationNotice" w:id="1">
    <w:p w14:paraId="45834E59" w14:textId="77777777" w:rsidR="00267612" w:rsidRDefault="00267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sans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882563"/>
      <w:docPartObj>
        <w:docPartGallery w:val="Page Numbers (Bottom of Page)"/>
        <w:docPartUnique/>
      </w:docPartObj>
    </w:sdtPr>
    <w:sdtContent>
      <w:p w14:paraId="11489812" w14:textId="4DBE3192" w:rsidR="00BD78EC" w:rsidRDefault="00BD78EC">
        <w:pPr>
          <w:pStyle w:val="Footer"/>
          <w:jc w:val="center"/>
        </w:pPr>
        <w:r>
          <w:fldChar w:fldCharType="begin"/>
        </w:r>
        <w:r>
          <w:instrText>PAGE   \* MERGEFORMAT</w:instrText>
        </w:r>
        <w:r>
          <w:fldChar w:fldCharType="separate"/>
        </w:r>
        <w:r>
          <w:rPr>
            <w:lang w:val="fr-FR"/>
          </w:rPr>
          <w:t>2</w:t>
        </w:r>
        <w:r>
          <w:fldChar w:fldCharType="end"/>
        </w:r>
      </w:p>
    </w:sdtContent>
  </w:sdt>
  <w:p w14:paraId="0BE66394" w14:textId="77777777" w:rsidR="00BD78EC" w:rsidRDefault="00BD7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3DDE" w14:textId="718EFC6D" w:rsidR="00AC353E" w:rsidRPr="005F4251" w:rsidRDefault="00AC353E" w:rsidP="00AC353E">
    <w:pPr>
      <w:spacing w:before="100" w:beforeAutospacing="1" w:after="100" w:afterAutospacing="1" w:line="240" w:lineRule="auto"/>
      <w:jc w:val="center"/>
      <w:rPr>
        <w:rFonts w:ascii="worksansregular" w:eastAsia="Times New Roman" w:hAnsi="worksansregular" w:cs="Times New Roman"/>
        <w:color w:val="333333"/>
        <w:sz w:val="20"/>
        <w:szCs w:val="20"/>
        <w:lang w:val="fr-FR" w:eastAsia="fr-FR"/>
      </w:rPr>
    </w:pPr>
    <w:r w:rsidRPr="005F4251">
      <w:rPr>
        <w:rFonts w:ascii="worksansregular" w:eastAsia="Times New Roman" w:hAnsi="worksansregular" w:cs="Times New Roman"/>
        <w:color w:val="333333"/>
        <w:sz w:val="20"/>
        <w:szCs w:val="20"/>
        <w:lang w:val="fr-FR" w:eastAsia="fr-FR"/>
      </w:rPr>
      <w:t xml:space="preserve">Technip Energies NV, société ayant son siège social à Amsterdam, aux Pays-Bas </w:t>
    </w:r>
    <w:r w:rsidRPr="005F4251">
      <w:rPr>
        <w:rFonts w:ascii="worksansregular" w:eastAsia="Times New Roman" w:hAnsi="worksansregular" w:cs="Times New Roman"/>
        <w:color w:val="333333"/>
        <w:sz w:val="20"/>
        <w:szCs w:val="20"/>
        <w:lang w:val="fr-FR" w:eastAsia="fr-FR"/>
      </w:rPr>
      <w:br/>
      <w:t xml:space="preserve">(chambre de commerce néerlandaise numéro 76122654), </w:t>
    </w:r>
    <w:r w:rsidRPr="005F4251">
      <w:rPr>
        <w:rFonts w:ascii="worksansregular" w:eastAsia="Times New Roman" w:hAnsi="worksansregular" w:cs="Times New Roman"/>
        <w:color w:val="333333"/>
        <w:sz w:val="20"/>
        <w:szCs w:val="20"/>
        <w:lang w:val="fr-FR" w:eastAsia="fr-FR"/>
      </w:rPr>
      <w:br/>
      <w:t>et son principal centre d’activité au 2126 boulevard de la Défense, CS 10266, 92741 Nanterre Cedex, France (RCS Nanterre 879 464 584)</w:t>
    </w:r>
  </w:p>
  <w:p w14:paraId="65E9F1DB" w14:textId="77777777" w:rsidR="00AC353E" w:rsidRPr="00AC353E" w:rsidRDefault="00AC353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3CF0" w14:textId="77777777" w:rsidR="00267612" w:rsidRDefault="00267612" w:rsidP="00EF56DB">
      <w:pPr>
        <w:spacing w:after="0" w:line="240" w:lineRule="auto"/>
      </w:pPr>
      <w:r>
        <w:separator/>
      </w:r>
    </w:p>
  </w:footnote>
  <w:footnote w:type="continuationSeparator" w:id="0">
    <w:p w14:paraId="06F8298C" w14:textId="77777777" w:rsidR="00267612" w:rsidRDefault="00267612" w:rsidP="00EF56DB">
      <w:pPr>
        <w:spacing w:after="0" w:line="240" w:lineRule="auto"/>
      </w:pPr>
      <w:r>
        <w:continuationSeparator/>
      </w:r>
    </w:p>
  </w:footnote>
  <w:footnote w:type="continuationNotice" w:id="1">
    <w:p w14:paraId="3BD42116" w14:textId="77777777" w:rsidR="00267612" w:rsidRDefault="002676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75E8" w14:textId="292DAC6E" w:rsidR="00EF56DB" w:rsidRDefault="00EF56DB">
    <w:pPr>
      <w:pStyle w:val="Header"/>
    </w:pPr>
    <w:r>
      <w:rPr>
        <w:noProof/>
      </w:rPr>
      <w:drawing>
        <wp:anchor distT="0" distB="0" distL="114300" distR="114300" simplePos="0" relativeHeight="251658240" behindDoc="0" locked="0" layoutInCell="1" allowOverlap="1" wp14:anchorId="583CD1CC" wp14:editId="32631DB0">
          <wp:simplePos x="0" y="0"/>
          <wp:positionH relativeFrom="column">
            <wp:posOffset>-499892</wp:posOffset>
          </wp:positionH>
          <wp:positionV relativeFrom="paragraph">
            <wp:posOffset>-447424</wp:posOffset>
          </wp:positionV>
          <wp:extent cx="2448560" cy="1414145"/>
          <wp:effectExtent l="0" t="0" r="0" b="0"/>
          <wp:wrapTopAndBottom/>
          <wp:docPr id="9" name="Picture 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560"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DB"/>
    <w:rsid w:val="0000202F"/>
    <w:rsid w:val="00003438"/>
    <w:rsid w:val="00024553"/>
    <w:rsid w:val="00024CA4"/>
    <w:rsid w:val="00032B5B"/>
    <w:rsid w:val="00047401"/>
    <w:rsid w:val="0005277D"/>
    <w:rsid w:val="0006013D"/>
    <w:rsid w:val="0006599A"/>
    <w:rsid w:val="00071BFC"/>
    <w:rsid w:val="00082E57"/>
    <w:rsid w:val="0008584F"/>
    <w:rsid w:val="000A40D5"/>
    <w:rsid w:val="000A62AA"/>
    <w:rsid w:val="000C004D"/>
    <w:rsid w:val="000E6792"/>
    <w:rsid w:val="00102237"/>
    <w:rsid w:val="0012007E"/>
    <w:rsid w:val="0012578E"/>
    <w:rsid w:val="00130F0F"/>
    <w:rsid w:val="001521CE"/>
    <w:rsid w:val="001623B1"/>
    <w:rsid w:val="00165F31"/>
    <w:rsid w:val="00177379"/>
    <w:rsid w:val="001932DD"/>
    <w:rsid w:val="001A00D1"/>
    <w:rsid w:val="001A28C3"/>
    <w:rsid w:val="001A350B"/>
    <w:rsid w:val="001A5455"/>
    <w:rsid w:val="001B42C8"/>
    <w:rsid w:val="001E4222"/>
    <w:rsid w:val="001E6431"/>
    <w:rsid w:val="00201269"/>
    <w:rsid w:val="00202B12"/>
    <w:rsid w:val="002055DC"/>
    <w:rsid w:val="002056E1"/>
    <w:rsid w:val="002122CC"/>
    <w:rsid w:val="00221B25"/>
    <w:rsid w:val="00226287"/>
    <w:rsid w:val="002460E0"/>
    <w:rsid w:val="00247BA4"/>
    <w:rsid w:val="0026229F"/>
    <w:rsid w:val="00267612"/>
    <w:rsid w:val="0028554C"/>
    <w:rsid w:val="00286836"/>
    <w:rsid w:val="00287F10"/>
    <w:rsid w:val="002A5D03"/>
    <w:rsid w:val="002B160E"/>
    <w:rsid w:val="002B4AED"/>
    <w:rsid w:val="002D4E6C"/>
    <w:rsid w:val="002F76CF"/>
    <w:rsid w:val="00312CC4"/>
    <w:rsid w:val="00323838"/>
    <w:rsid w:val="003332AB"/>
    <w:rsid w:val="00336B27"/>
    <w:rsid w:val="00347689"/>
    <w:rsid w:val="0035445D"/>
    <w:rsid w:val="003607F5"/>
    <w:rsid w:val="00365E70"/>
    <w:rsid w:val="00371E01"/>
    <w:rsid w:val="003811CE"/>
    <w:rsid w:val="003858FD"/>
    <w:rsid w:val="003A28FD"/>
    <w:rsid w:val="003A37B9"/>
    <w:rsid w:val="003C482D"/>
    <w:rsid w:val="003C50C5"/>
    <w:rsid w:val="003D7D9B"/>
    <w:rsid w:val="003E5220"/>
    <w:rsid w:val="00405577"/>
    <w:rsid w:val="00415560"/>
    <w:rsid w:val="00417610"/>
    <w:rsid w:val="00425735"/>
    <w:rsid w:val="0043384B"/>
    <w:rsid w:val="00451A91"/>
    <w:rsid w:val="004718AE"/>
    <w:rsid w:val="0047380D"/>
    <w:rsid w:val="00474C19"/>
    <w:rsid w:val="0049408F"/>
    <w:rsid w:val="004B7B2F"/>
    <w:rsid w:val="004D4E53"/>
    <w:rsid w:val="004F74A4"/>
    <w:rsid w:val="00540114"/>
    <w:rsid w:val="00563343"/>
    <w:rsid w:val="00582C5A"/>
    <w:rsid w:val="005C0D03"/>
    <w:rsid w:val="005C297E"/>
    <w:rsid w:val="005F177A"/>
    <w:rsid w:val="005F4251"/>
    <w:rsid w:val="005F4F71"/>
    <w:rsid w:val="006003C3"/>
    <w:rsid w:val="00603E94"/>
    <w:rsid w:val="00606DA1"/>
    <w:rsid w:val="00623EE0"/>
    <w:rsid w:val="006311B3"/>
    <w:rsid w:val="00644902"/>
    <w:rsid w:val="00654920"/>
    <w:rsid w:val="006710FA"/>
    <w:rsid w:val="006736D7"/>
    <w:rsid w:val="006803FE"/>
    <w:rsid w:val="00686FAE"/>
    <w:rsid w:val="00693FEF"/>
    <w:rsid w:val="006A796F"/>
    <w:rsid w:val="006B5C6A"/>
    <w:rsid w:val="006C1968"/>
    <w:rsid w:val="006D1D08"/>
    <w:rsid w:val="006D1F1A"/>
    <w:rsid w:val="006D50AE"/>
    <w:rsid w:val="006E7330"/>
    <w:rsid w:val="00740444"/>
    <w:rsid w:val="00741A8B"/>
    <w:rsid w:val="007A2C1B"/>
    <w:rsid w:val="007A36D3"/>
    <w:rsid w:val="007B218E"/>
    <w:rsid w:val="007B7484"/>
    <w:rsid w:val="007C0147"/>
    <w:rsid w:val="00803309"/>
    <w:rsid w:val="00884AE3"/>
    <w:rsid w:val="00885C50"/>
    <w:rsid w:val="00895279"/>
    <w:rsid w:val="008C3AD4"/>
    <w:rsid w:val="008D7634"/>
    <w:rsid w:val="008E3A6F"/>
    <w:rsid w:val="0090678C"/>
    <w:rsid w:val="00906CF3"/>
    <w:rsid w:val="00935819"/>
    <w:rsid w:val="00940183"/>
    <w:rsid w:val="009565A6"/>
    <w:rsid w:val="00961180"/>
    <w:rsid w:val="00966449"/>
    <w:rsid w:val="009951C7"/>
    <w:rsid w:val="009975E9"/>
    <w:rsid w:val="009B48A6"/>
    <w:rsid w:val="009D4CC5"/>
    <w:rsid w:val="009E30FE"/>
    <w:rsid w:val="00A07174"/>
    <w:rsid w:val="00A21C94"/>
    <w:rsid w:val="00A25DBE"/>
    <w:rsid w:val="00A27104"/>
    <w:rsid w:val="00A403C8"/>
    <w:rsid w:val="00A44D3E"/>
    <w:rsid w:val="00A56EB5"/>
    <w:rsid w:val="00A67EA7"/>
    <w:rsid w:val="00A96941"/>
    <w:rsid w:val="00AB3D4B"/>
    <w:rsid w:val="00AC278E"/>
    <w:rsid w:val="00AC353E"/>
    <w:rsid w:val="00AD4EF4"/>
    <w:rsid w:val="00AE1AF7"/>
    <w:rsid w:val="00B1032C"/>
    <w:rsid w:val="00B10670"/>
    <w:rsid w:val="00B2354E"/>
    <w:rsid w:val="00B272D5"/>
    <w:rsid w:val="00B41E62"/>
    <w:rsid w:val="00B4485A"/>
    <w:rsid w:val="00B500A7"/>
    <w:rsid w:val="00B651BA"/>
    <w:rsid w:val="00BB0F74"/>
    <w:rsid w:val="00BB2F8D"/>
    <w:rsid w:val="00BB68D0"/>
    <w:rsid w:val="00BD01EB"/>
    <w:rsid w:val="00BD78EC"/>
    <w:rsid w:val="00BE317C"/>
    <w:rsid w:val="00BF4C77"/>
    <w:rsid w:val="00BF68A3"/>
    <w:rsid w:val="00C10BBC"/>
    <w:rsid w:val="00C12850"/>
    <w:rsid w:val="00C211A3"/>
    <w:rsid w:val="00C3095F"/>
    <w:rsid w:val="00C35B4F"/>
    <w:rsid w:val="00C47FCF"/>
    <w:rsid w:val="00C573A9"/>
    <w:rsid w:val="00C77E50"/>
    <w:rsid w:val="00C811F6"/>
    <w:rsid w:val="00C938B4"/>
    <w:rsid w:val="00CA3C89"/>
    <w:rsid w:val="00CB6A1B"/>
    <w:rsid w:val="00CE567A"/>
    <w:rsid w:val="00CE66D0"/>
    <w:rsid w:val="00CF4B5C"/>
    <w:rsid w:val="00D010D8"/>
    <w:rsid w:val="00D02FEF"/>
    <w:rsid w:val="00D20EDF"/>
    <w:rsid w:val="00D42029"/>
    <w:rsid w:val="00D42934"/>
    <w:rsid w:val="00D44820"/>
    <w:rsid w:val="00D60EEF"/>
    <w:rsid w:val="00D63D16"/>
    <w:rsid w:val="00D721F9"/>
    <w:rsid w:val="00D72422"/>
    <w:rsid w:val="00D83C20"/>
    <w:rsid w:val="00D9408A"/>
    <w:rsid w:val="00DE1AF7"/>
    <w:rsid w:val="00DE313C"/>
    <w:rsid w:val="00DE46C2"/>
    <w:rsid w:val="00E01817"/>
    <w:rsid w:val="00E052C2"/>
    <w:rsid w:val="00E07E0D"/>
    <w:rsid w:val="00E27EED"/>
    <w:rsid w:val="00E62318"/>
    <w:rsid w:val="00E63CBD"/>
    <w:rsid w:val="00E9527E"/>
    <w:rsid w:val="00EA3153"/>
    <w:rsid w:val="00EB4C93"/>
    <w:rsid w:val="00ED1A9C"/>
    <w:rsid w:val="00ED3EE1"/>
    <w:rsid w:val="00ED6E79"/>
    <w:rsid w:val="00EF56DB"/>
    <w:rsid w:val="00F01BE4"/>
    <w:rsid w:val="00F656CB"/>
    <w:rsid w:val="00F716CC"/>
    <w:rsid w:val="00F73404"/>
    <w:rsid w:val="00F769D5"/>
    <w:rsid w:val="00F815B4"/>
    <w:rsid w:val="00F85548"/>
    <w:rsid w:val="00F87065"/>
    <w:rsid w:val="00FB1374"/>
    <w:rsid w:val="00FD791C"/>
    <w:rsid w:val="3D04B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DEA2"/>
  <w15:chartTrackingRefBased/>
  <w15:docId w15:val="{18916DD1-1DC0-402A-A65A-4704E177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DB"/>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56DB"/>
    <w:rPr>
      <w:lang w:val="en-US"/>
    </w:rPr>
  </w:style>
  <w:style w:type="paragraph" w:styleId="Footer">
    <w:name w:val="footer"/>
    <w:basedOn w:val="Normal"/>
    <w:link w:val="FooterChar"/>
    <w:uiPriority w:val="99"/>
    <w:unhideWhenUsed/>
    <w:rsid w:val="00EF56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56DB"/>
    <w:rPr>
      <w:lang w:val="en-US"/>
    </w:rPr>
  </w:style>
  <w:style w:type="table" w:styleId="TableGrid">
    <w:name w:val="Table Grid"/>
    <w:basedOn w:val="TableNormal"/>
    <w:uiPriority w:val="39"/>
    <w:rsid w:val="00B4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A1B"/>
    <w:rPr>
      <w:color w:val="0563C1"/>
      <w:u w:val="single"/>
    </w:rPr>
  </w:style>
  <w:style w:type="character" w:styleId="FollowedHyperlink">
    <w:name w:val="FollowedHyperlink"/>
    <w:basedOn w:val="DefaultParagraphFont"/>
    <w:uiPriority w:val="99"/>
    <w:semiHidden/>
    <w:unhideWhenUsed/>
    <w:rsid w:val="00CB6A1B"/>
    <w:rPr>
      <w:color w:val="954F72"/>
      <w:u w:val="single"/>
    </w:rPr>
  </w:style>
  <w:style w:type="paragraph" w:customStyle="1" w:styleId="msonormal0">
    <w:name w:val="msonormal"/>
    <w:basedOn w:val="Normal"/>
    <w:rsid w:val="00CB6A1B"/>
    <w:pPr>
      <w:widowControl/>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3">
    <w:name w:val="xl63"/>
    <w:basedOn w:val="Normal"/>
    <w:rsid w:val="00CB6A1B"/>
    <w:pPr>
      <w:widowControl/>
      <w:shd w:val="clear" w:color="FFFFFF" w:fill="FFFFFF"/>
      <w:spacing w:before="100" w:beforeAutospacing="1" w:after="100" w:afterAutospacing="1" w:line="240" w:lineRule="auto"/>
    </w:pPr>
    <w:rPr>
      <w:rFonts w:ascii="Arial" w:eastAsia="Times New Roman" w:hAnsi="Arial" w:cs="Arial"/>
      <w:color w:val="333333"/>
      <w:sz w:val="16"/>
      <w:szCs w:val="16"/>
      <w:lang w:val="fr-FR" w:eastAsia="fr-FR"/>
    </w:rPr>
  </w:style>
  <w:style w:type="paragraph" w:customStyle="1" w:styleId="xl64">
    <w:name w:val="xl64"/>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65">
    <w:name w:val="xl65"/>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66">
    <w:name w:val="xl66"/>
    <w:basedOn w:val="Normal"/>
    <w:rsid w:val="00CB6A1B"/>
    <w:pPr>
      <w:widowControl/>
      <w:pBdr>
        <w:top w:val="single" w:sz="4" w:space="0" w:color="000000"/>
        <w:left w:val="single" w:sz="4" w:space="0" w:color="000000"/>
        <w:bottom w:val="single" w:sz="4" w:space="0" w:color="000000"/>
        <w:right w:val="single" w:sz="4" w:space="0" w:color="000000"/>
      </w:pBdr>
      <w:shd w:val="clear" w:color="FFFFFF" w:fill="F8FBFC"/>
      <w:spacing w:before="100" w:beforeAutospacing="1" w:after="100" w:afterAutospacing="1" w:line="240" w:lineRule="auto"/>
      <w:textAlignment w:val="center"/>
    </w:pPr>
    <w:rPr>
      <w:rFonts w:ascii="Arial" w:eastAsia="Times New Roman" w:hAnsi="Arial" w:cs="Arial"/>
      <w:color w:val="333333"/>
      <w:sz w:val="16"/>
      <w:szCs w:val="16"/>
      <w:lang w:val="fr-FR" w:eastAsia="fr-FR"/>
    </w:rPr>
  </w:style>
  <w:style w:type="paragraph" w:customStyle="1" w:styleId="xl67">
    <w:name w:val="xl67"/>
    <w:basedOn w:val="Normal"/>
    <w:rsid w:val="00CB6A1B"/>
    <w:pPr>
      <w:widowControl/>
      <w:pBdr>
        <w:top w:val="single" w:sz="4" w:space="0" w:color="000000"/>
        <w:left w:val="single" w:sz="4" w:space="0" w:color="000000"/>
        <w:bottom w:val="single" w:sz="4" w:space="0" w:color="000000"/>
        <w:right w:val="single" w:sz="4" w:space="0" w:color="000000"/>
      </w:pBdr>
      <w:shd w:val="clear" w:color="FFFFFF" w:fill="F8FBFC"/>
      <w:spacing w:before="100" w:beforeAutospacing="1" w:after="100" w:afterAutospacing="1" w:line="240" w:lineRule="auto"/>
      <w:textAlignment w:val="center"/>
    </w:pPr>
    <w:rPr>
      <w:rFonts w:ascii="Arial" w:eastAsia="Times New Roman" w:hAnsi="Arial" w:cs="Arial"/>
      <w:color w:val="333333"/>
      <w:sz w:val="16"/>
      <w:szCs w:val="16"/>
      <w:lang w:val="fr-FR" w:eastAsia="fr-FR"/>
    </w:rPr>
  </w:style>
  <w:style w:type="paragraph" w:customStyle="1" w:styleId="xl68">
    <w:name w:val="xl68"/>
    <w:basedOn w:val="Normal"/>
    <w:rsid w:val="00CB6A1B"/>
    <w:pPr>
      <w:widowControl/>
      <w:pBdr>
        <w:top w:val="single" w:sz="4" w:space="0" w:color="000000"/>
        <w:left w:val="single" w:sz="4" w:space="0" w:color="000000"/>
        <w:bottom w:val="single" w:sz="4" w:space="0" w:color="000000"/>
        <w:right w:val="single" w:sz="4" w:space="0" w:color="000000"/>
      </w:pBdr>
      <w:shd w:val="clear" w:color="FFFFFF" w:fill="F8FBFC"/>
      <w:spacing w:before="100" w:beforeAutospacing="1" w:after="100" w:afterAutospacing="1" w:line="240" w:lineRule="auto"/>
      <w:jc w:val="right"/>
      <w:textAlignment w:val="center"/>
    </w:pPr>
    <w:rPr>
      <w:rFonts w:ascii="Arial" w:eastAsia="Times New Roman" w:hAnsi="Arial" w:cs="Arial"/>
      <w:color w:val="333333"/>
      <w:sz w:val="16"/>
      <w:szCs w:val="16"/>
      <w:lang w:val="fr-FR" w:eastAsia="fr-FR"/>
    </w:rPr>
  </w:style>
  <w:style w:type="paragraph" w:customStyle="1" w:styleId="xl69">
    <w:name w:val="xl69"/>
    <w:basedOn w:val="Normal"/>
    <w:rsid w:val="00CB6A1B"/>
    <w:pPr>
      <w:widowControl/>
      <w:pBdr>
        <w:top w:val="single" w:sz="4" w:space="0" w:color="000000"/>
        <w:left w:val="single" w:sz="4" w:space="0" w:color="000000"/>
        <w:bottom w:val="single" w:sz="4" w:space="0" w:color="000000"/>
        <w:right w:val="single" w:sz="4" w:space="0" w:color="000000"/>
      </w:pBdr>
      <w:shd w:val="clear" w:color="FFFFFF" w:fill="F8FBFC"/>
      <w:spacing w:before="100" w:beforeAutospacing="1" w:after="100" w:afterAutospacing="1" w:line="240" w:lineRule="auto"/>
      <w:jc w:val="center"/>
      <w:textAlignment w:val="center"/>
    </w:pPr>
    <w:rPr>
      <w:rFonts w:ascii="Arial" w:eastAsia="Times New Roman" w:hAnsi="Arial" w:cs="Arial"/>
      <w:color w:val="333333"/>
      <w:sz w:val="16"/>
      <w:szCs w:val="16"/>
      <w:lang w:val="fr-FR" w:eastAsia="fr-FR"/>
    </w:rPr>
  </w:style>
  <w:style w:type="paragraph" w:customStyle="1" w:styleId="xl70">
    <w:name w:val="xl70"/>
    <w:basedOn w:val="Normal"/>
    <w:rsid w:val="00CB6A1B"/>
    <w:pPr>
      <w:widowControl/>
      <w:pBdr>
        <w:top w:val="single" w:sz="4" w:space="0" w:color="000000"/>
        <w:left w:val="single" w:sz="4" w:space="0" w:color="000000"/>
        <w:bottom w:val="single" w:sz="4" w:space="0" w:color="000000"/>
        <w:right w:val="single" w:sz="4" w:space="0" w:color="000000"/>
      </w:pBdr>
      <w:shd w:val="clear" w:color="FFFFFF" w:fill="F8FBFC"/>
      <w:spacing w:before="100" w:beforeAutospacing="1" w:after="100" w:afterAutospacing="1" w:line="240" w:lineRule="auto"/>
      <w:jc w:val="right"/>
      <w:textAlignment w:val="center"/>
    </w:pPr>
    <w:rPr>
      <w:rFonts w:ascii="Arial" w:eastAsia="Times New Roman" w:hAnsi="Arial" w:cs="Arial"/>
      <w:color w:val="333333"/>
      <w:sz w:val="16"/>
      <w:szCs w:val="16"/>
      <w:lang w:val="fr-FR" w:eastAsia="fr-FR"/>
    </w:rPr>
  </w:style>
  <w:style w:type="paragraph" w:customStyle="1" w:styleId="xl71">
    <w:name w:val="xl71"/>
    <w:basedOn w:val="Normal"/>
    <w:rsid w:val="00CB6A1B"/>
    <w:pPr>
      <w:widowControl/>
      <w:pBdr>
        <w:top w:val="single" w:sz="4" w:space="0" w:color="000000"/>
        <w:left w:val="single" w:sz="4" w:space="0" w:color="000000"/>
        <w:bottom w:val="single" w:sz="4" w:space="0" w:color="000000"/>
        <w:right w:val="single" w:sz="4" w:space="0" w:color="000000"/>
      </w:pBdr>
      <w:shd w:val="clear" w:color="FFFFFF" w:fill="F8FBFC"/>
      <w:spacing w:before="100" w:beforeAutospacing="1" w:after="100" w:afterAutospacing="1" w:line="240" w:lineRule="auto"/>
      <w:jc w:val="center"/>
      <w:textAlignment w:val="center"/>
    </w:pPr>
    <w:rPr>
      <w:rFonts w:ascii="Arial" w:eastAsia="Times New Roman" w:hAnsi="Arial" w:cs="Arial"/>
      <w:color w:val="333333"/>
      <w:sz w:val="16"/>
      <w:szCs w:val="16"/>
      <w:lang w:val="fr-FR" w:eastAsia="fr-FR"/>
    </w:rPr>
  </w:style>
  <w:style w:type="paragraph" w:customStyle="1" w:styleId="xl72">
    <w:name w:val="xl72"/>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333333"/>
      <w:sz w:val="16"/>
      <w:szCs w:val="16"/>
      <w:lang w:val="fr-FR" w:eastAsia="fr-FR"/>
    </w:rPr>
  </w:style>
  <w:style w:type="paragraph" w:customStyle="1" w:styleId="xl73">
    <w:name w:val="xl73"/>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333333"/>
      <w:sz w:val="16"/>
      <w:szCs w:val="16"/>
      <w:lang w:val="fr-FR" w:eastAsia="fr-FR"/>
    </w:rPr>
  </w:style>
  <w:style w:type="paragraph" w:customStyle="1" w:styleId="xl74">
    <w:name w:val="xl74"/>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ascii="Arial" w:eastAsia="Times New Roman" w:hAnsi="Arial" w:cs="Arial"/>
      <w:color w:val="333333"/>
      <w:sz w:val="16"/>
      <w:szCs w:val="16"/>
      <w:lang w:val="fr-FR" w:eastAsia="fr-FR"/>
    </w:rPr>
  </w:style>
  <w:style w:type="paragraph" w:customStyle="1" w:styleId="xl75">
    <w:name w:val="xl75"/>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color w:val="333333"/>
      <w:sz w:val="16"/>
      <w:szCs w:val="16"/>
      <w:lang w:val="fr-FR" w:eastAsia="fr-FR"/>
    </w:rPr>
  </w:style>
  <w:style w:type="paragraph" w:customStyle="1" w:styleId="xl76">
    <w:name w:val="xl76"/>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ascii="Arial" w:eastAsia="Times New Roman" w:hAnsi="Arial" w:cs="Arial"/>
      <w:color w:val="333333"/>
      <w:sz w:val="16"/>
      <w:szCs w:val="16"/>
      <w:lang w:val="fr-FR" w:eastAsia="fr-FR"/>
    </w:rPr>
  </w:style>
  <w:style w:type="paragraph" w:customStyle="1" w:styleId="xl77">
    <w:name w:val="xl77"/>
    <w:basedOn w:val="Normal"/>
    <w:rsid w:val="00CB6A1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color w:val="333333"/>
      <w:sz w:val="16"/>
      <w:szCs w:val="16"/>
      <w:lang w:val="fr-FR" w:eastAsia="fr-FR"/>
    </w:rPr>
  </w:style>
  <w:style w:type="character" w:styleId="UnresolvedMention">
    <w:name w:val="Unresolved Mention"/>
    <w:basedOn w:val="DefaultParagraphFont"/>
    <w:uiPriority w:val="99"/>
    <w:semiHidden/>
    <w:unhideWhenUsed/>
    <w:rsid w:val="00803309"/>
    <w:rPr>
      <w:color w:val="605E5C"/>
      <w:shd w:val="clear" w:color="auto" w:fill="E1DFDD"/>
    </w:rPr>
  </w:style>
  <w:style w:type="paragraph" w:styleId="NormalWeb">
    <w:name w:val="Normal (Web)"/>
    <w:basedOn w:val="Normal"/>
    <w:uiPriority w:val="99"/>
    <w:unhideWhenUsed/>
    <w:rsid w:val="00803309"/>
    <w:pPr>
      <w:widowControl/>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1B42C8"/>
    <w:rPr>
      <w:b/>
      <w:bCs/>
    </w:rPr>
  </w:style>
  <w:style w:type="paragraph" w:styleId="Revision">
    <w:name w:val="Revision"/>
    <w:hidden/>
    <w:uiPriority w:val="99"/>
    <w:semiHidden/>
    <w:rsid w:val="00D448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65751">
      <w:bodyDiv w:val="1"/>
      <w:marLeft w:val="0"/>
      <w:marRight w:val="0"/>
      <w:marTop w:val="0"/>
      <w:marBottom w:val="0"/>
      <w:divBdr>
        <w:top w:val="none" w:sz="0" w:space="0" w:color="auto"/>
        <w:left w:val="none" w:sz="0" w:space="0" w:color="auto"/>
        <w:bottom w:val="none" w:sz="0" w:space="0" w:color="auto"/>
        <w:right w:val="none" w:sz="0" w:space="0" w:color="auto"/>
      </w:divBdr>
    </w:div>
    <w:div w:id="802773872">
      <w:bodyDiv w:val="1"/>
      <w:marLeft w:val="0"/>
      <w:marRight w:val="0"/>
      <w:marTop w:val="0"/>
      <w:marBottom w:val="0"/>
      <w:divBdr>
        <w:top w:val="none" w:sz="0" w:space="0" w:color="auto"/>
        <w:left w:val="none" w:sz="0" w:space="0" w:color="auto"/>
        <w:bottom w:val="none" w:sz="0" w:space="0" w:color="auto"/>
        <w:right w:val="none" w:sz="0" w:space="0" w:color="auto"/>
      </w:divBdr>
    </w:div>
    <w:div w:id="922907786">
      <w:bodyDiv w:val="1"/>
      <w:marLeft w:val="0"/>
      <w:marRight w:val="0"/>
      <w:marTop w:val="0"/>
      <w:marBottom w:val="0"/>
      <w:divBdr>
        <w:top w:val="none" w:sz="0" w:space="0" w:color="auto"/>
        <w:left w:val="none" w:sz="0" w:space="0" w:color="auto"/>
        <w:bottom w:val="none" w:sz="0" w:space="0" w:color="auto"/>
        <w:right w:val="none" w:sz="0" w:space="0" w:color="auto"/>
      </w:divBdr>
    </w:div>
    <w:div w:id="1066687058">
      <w:bodyDiv w:val="1"/>
      <w:marLeft w:val="0"/>
      <w:marRight w:val="0"/>
      <w:marTop w:val="0"/>
      <w:marBottom w:val="0"/>
      <w:divBdr>
        <w:top w:val="none" w:sz="0" w:space="0" w:color="auto"/>
        <w:left w:val="none" w:sz="0" w:space="0" w:color="auto"/>
        <w:bottom w:val="none" w:sz="0" w:space="0" w:color="auto"/>
        <w:right w:val="none" w:sz="0" w:space="0" w:color="auto"/>
      </w:divBdr>
    </w:div>
    <w:div w:id="1122919339">
      <w:bodyDiv w:val="1"/>
      <w:marLeft w:val="0"/>
      <w:marRight w:val="0"/>
      <w:marTop w:val="0"/>
      <w:marBottom w:val="0"/>
      <w:divBdr>
        <w:top w:val="none" w:sz="0" w:space="0" w:color="auto"/>
        <w:left w:val="none" w:sz="0" w:space="0" w:color="auto"/>
        <w:bottom w:val="none" w:sz="0" w:space="0" w:color="auto"/>
        <w:right w:val="none" w:sz="0" w:space="0" w:color="auto"/>
      </w:divBdr>
    </w:div>
    <w:div w:id="1142575742">
      <w:bodyDiv w:val="1"/>
      <w:marLeft w:val="0"/>
      <w:marRight w:val="0"/>
      <w:marTop w:val="0"/>
      <w:marBottom w:val="0"/>
      <w:divBdr>
        <w:top w:val="none" w:sz="0" w:space="0" w:color="auto"/>
        <w:left w:val="none" w:sz="0" w:space="0" w:color="auto"/>
        <w:bottom w:val="none" w:sz="0" w:space="0" w:color="auto"/>
        <w:right w:val="none" w:sz="0" w:space="0" w:color="auto"/>
      </w:divBdr>
    </w:div>
    <w:div w:id="1190605846">
      <w:bodyDiv w:val="1"/>
      <w:marLeft w:val="0"/>
      <w:marRight w:val="0"/>
      <w:marTop w:val="0"/>
      <w:marBottom w:val="0"/>
      <w:divBdr>
        <w:top w:val="none" w:sz="0" w:space="0" w:color="auto"/>
        <w:left w:val="none" w:sz="0" w:space="0" w:color="auto"/>
        <w:bottom w:val="none" w:sz="0" w:space="0" w:color="auto"/>
        <w:right w:val="none" w:sz="0" w:space="0" w:color="auto"/>
      </w:divBdr>
    </w:div>
    <w:div w:id="1223517232">
      <w:bodyDiv w:val="1"/>
      <w:marLeft w:val="0"/>
      <w:marRight w:val="0"/>
      <w:marTop w:val="0"/>
      <w:marBottom w:val="0"/>
      <w:divBdr>
        <w:top w:val="none" w:sz="0" w:space="0" w:color="auto"/>
        <w:left w:val="none" w:sz="0" w:space="0" w:color="auto"/>
        <w:bottom w:val="none" w:sz="0" w:space="0" w:color="auto"/>
        <w:right w:val="none" w:sz="0" w:space="0" w:color="auto"/>
      </w:divBdr>
    </w:div>
    <w:div w:id="1294991818">
      <w:bodyDiv w:val="1"/>
      <w:marLeft w:val="0"/>
      <w:marRight w:val="0"/>
      <w:marTop w:val="0"/>
      <w:marBottom w:val="0"/>
      <w:divBdr>
        <w:top w:val="none" w:sz="0" w:space="0" w:color="auto"/>
        <w:left w:val="none" w:sz="0" w:space="0" w:color="auto"/>
        <w:bottom w:val="none" w:sz="0" w:space="0" w:color="auto"/>
        <w:right w:val="none" w:sz="0" w:space="0" w:color="auto"/>
      </w:divBdr>
    </w:div>
    <w:div w:id="1568145861">
      <w:bodyDiv w:val="1"/>
      <w:marLeft w:val="0"/>
      <w:marRight w:val="0"/>
      <w:marTop w:val="0"/>
      <w:marBottom w:val="0"/>
      <w:divBdr>
        <w:top w:val="none" w:sz="0" w:space="0" w:color="auto"/>
        <w:left w:val="none" w:sz="0" w:space="0" w:color="auto"/>
        <w:bottom w:val="none" w:sz="0" w:space="0" w:color="auto"/>
        <w:right w:val="none" w:sz="0" w:space="0" w:color="auto"/>
      </w:divBdr>
    </w:div>
    <w:div w:id="1706981773">
      <w:bodyDiv w:val="1"/>
      <w:marLeft w:val="0"/>
      <w:marRight w:val="0"/>
      <w:marTop w:val="0"/>
      <w:marBottom w:val="0"/>
      <w:divBdr>
        <w:top w:val="none" w:sz="0" w:space="0" w:color="auto"/>
        <w:left w:val="none" w:sz="0" w:space="0" w:color="auto"/>
        <w:bottom w:val="none" w:sz="0" w:space="0" w:color="auto"/>
        <w:right w:val="none" w:sz="0" w:space="0" w:color="auto"/>
      </w:divBdr>
      <w:divsChild>
        <w:div w:id="1016738365">
          <w:marLeft w:val="0"/>
          <w:marRight w:val="0"/>
          <w:marTop w:val="0"/>
          <w:marBottom w:val="0"/>
          <w:divBdr>
            <w:top w:val="none" w:sz="0" w:space="0" w:color="auto"/>
            <w:left w:val="none" w:sz="0" w:space="0" w:color="auto"/>
            <w:bottom w:val="none" w:sz="0" w:space="0" w:color="auto"/>
            <w:right w:val="none" w:sz="0" w:space="0" w:color="auto"/>
          </w:divBdr>
          <w:divsChild>
            <w:div w:id="1737319893">
              <w:marLeft w:val="0"/>
              <w:marRight w:val="0"/>
              <w:marTop w:val="0"/>
              <w:marBottom w:val="0"/>
              <w:divBdr>
                <w:top w:val="none" w:sz="0" w:space="0" w:color="auto"/>
                <w:left w:val="none" w:sz="0" w:space="0" w:color="auto"/>
                <w:bottom w:val="none" w:sz="0" w:space="0" w:color="auto"/>
                <w:right w:val="none" w:sz="0" w:space="0" w:color="auto"/>
              </w:divBdr>
              <w:divsChild>
                <w:div w:id="18117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_@technipenergi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_@technipenergi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or.relations@technipenergie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echnipenergie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8AD7D8658A9478763DB75A18BDEE5" ma:contentTypeVersion="16" ma:contentTypeDescription="Create a new document." ma:contentTypeScope="" ma:versionID="8bd876a58b8dc1c569def8bc3357c696">
  <xsd:schema xmlns:xsd="http://www.w3.org/2001/XMLSchema" xmlns:xs="http://www.w3.org/2001/XMLSchema" xmlns:p="http://schemas.microsoft.com/office/2006/metadata/properties" xmlns:ns2="038fb873-5111-4091-bcd2-f619dd260f5b" xmlns:ns3="5d5796d7-f7d0-4e8a-a1ae-75a84b5d11d7" targetNamespace="http://schemas.microsoft.com/office/2006/metadata/properties" ma:root="true" ma:fieldsID="a5e8b201229dd0274987cdf3872dc6da" ns2:_="" ns3:_="">
    <xsd:import namespace="038fb873-5111-4091-bcd2-f619dd260f5b"/>
    <xsd:import namespace="5d5796d7-f7d0-4e8a-a1ae-75a84b5d11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fb873-5111-4091-bcd2-f619dd260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a705f5-bda6-441a-9f50-af094dc5e3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Group" ma:index="23" nillable="true" ma:displayName="Group" ma:list="UserInfo" ma:SearchPeopleOnly="false" ma:SharePointGroup="13"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796d7-f7d0-4e8a-a1ae-75a84b5d11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1533c7-da2d-44b6-a1c2-2163f593f237}" ma:internalName="TaxCatchAll" ma:showField="CatchAllData" ma:web="5d5796d7-f7d0-4e8a-a1ae-75a84b5d1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8fb873-5111-4091-bcd2-f619dd260f5b">
      <Terms xmlns="http://schemas.microsoft.com/office/infopath/2007/PartnerControls"/>
    </lcf76f155ced4ddcb4097134ff3c332f>
    <TaxCatchAll xmlns="5d5796d7-f7d0-4e8a-a1ae-75a84b5d11d7" xsi:nil="true"/>
    <Group xmlns="038fb873-5111-4091-bcd2-f619dd260f5b">
      <UserInfo>
        <DisplayName/>
        <AccountId xsi:nil="true"/>
        <AccountType/>
      </UserInfo>
    </Group>
  </documentManagement>
</p:properties>
</file>

<file path=customXml/itemProps1.xml><?xml version="1.0" encoding="utf-8"?>
<ds:datastoreItem xmlns:ds="http://schemas.openxmlformats.org/officeDocument/2006/customXml" ds:itemID="{C5C8E2A6-F369-40CB-8300-350A8B4C0473}">
  <ds:schemaRefs>
    <ds:schemaRef ds:uri="http://schemas.microsoft.com/sharepoint/v3/contenttype/forms"/>
  </ds:schemaRefs>
</ds:datastoreItem>
</file>

<file path=customXml/itemProps2.xml><?xml version="1.0" encoding="utf-8"?>
<ds:datastoreItem xmlns:ds="http://schemas.openxmlformats.org/officeDocument/2006/customXml" ds:itemID="{04878429-81D9-4428-B161-639B120E6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fb873-5111-4091-bcd2-f619dd260f5b"/>
    <ds:schemaRef ds:uri="5d5796d7-f7d0-4e8a-a1ae-75a84b5d1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28B86-631C-4A7A-999D-0663F735D71B}">
  <ds:schemaRefs>
    <ds:schemaRef ds:uri="http://schemas.openxmlformats.org/officeDocument/2006/bibliography"/>
  </ds:schemaRefs>
</ds:datastoreItem>
</file>

<file path=customXml/itemProps4.xml><?xml version="1.0" encoding="utf-8"?>
<ds:datastoreItem xmlns:ds="http://schemas.openxmlformats.org/officeDocument/2006/customXml" ds:itemID="{6F8699CD-4CDB-4ECD-8B2C-40EDA26644FF}">
  <ds:schemaRefs>
    <ds:schemaRef ds:uri="http://schemas.microsoft.com/office/2006/metadata/properties"/>
    <ds:schemaRef ds:uri="http://schemas.microsoft.com/office/infopath/2007/PartnerControls"/>
    <ds:schemaRef ds:uri="038fb873-5111-4091-bcd2-f619dd260f5b"/>
    <ds:schemaRef ds:uri="5d5796d7-f7d0-4e8a-a1ae-75a84b5d11d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444</Words>
  <Characters>2443</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Henri-Frederic Hibon</dc:creator>
  <cp:keywords/>
  <dc:description/>
  <cp:lastModifiedBy>Clément De Barbeyrac Saint-Maurice</cp:lastModifiedBy>
  <cp:revision>187</cp:revision>
  <cp:lastPrinted>2022-07-25T08:29:00Z</cp:lastPrinted>
  <dcterms:created xsi:type="dcterms:W3CDTF">2022-03-31T15:35:00Z</dcterms:created>
  <dcterms:modified xsi:type="dcterms:W3CDTF">2022-08-01T13:26:00Z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0x010100B9F8AD7D8658A9478763DB75A18BDEE5</vt:lpwstr>
  </property>
  <property fmtid="{D5CDD505-2E9C-101B-9397-08002B2CF9AE}" pid="3" name="MediaServiceImageTags">
    <vt:lpwstr/>
  </property>
  <property fmtid="{D5CDD505-2E9C-101B-9397-08002B2CF9AE}" pid="4" name="MSIP_Label_b29603fb-7fab-4bf6-8ed3-004985bb9d91_Enabled">
    <vt:lpwstr>true</vt:lpwstr>
  </property>
  <property fmtid="{D5CDD505-2E9C-101B-9397-08002B2CF9AE}" pid="5" name="MSIP_Label_b29603fb-7fab-4bf6-8ed3-004985bb9d91_SetDate">
    <vt:lpwstr>2022-07-25T08:29:00Z</vt:lpwstr>
  </property>
  <property fmtid="{D5CDD505-2E9C-101B-9397-08002B2CF9AE}" pid="6" name="MSIP_Label_b29603fb-7fab-4bf6-8ed3-004985bb9d91_Method">
    <vt:lpwstr>Standard</vt:lpwstr>
  </property>
  <property fmtid="{D5CDD505-2E9C-101B-9397-08002B2CF9AE}" pid="7" name="MSIP_Label_b29603fb-7fab-4bf6-8ed3-004985bb9d91_Name">
    <vt:lpwstr>Anyone - No Protection</vt:lpwstr>
  </property>
  <property fmtid="{D5CDD505-2E9C-101B-9397-08002B2CF9AE}" pid="8" name="MSIP_Label_b29603fb-7fab-4bf6-8ed3-004985bb9d91_SiteId">
    <vt:lpwstr>9179d01a-e94c-4488-b5f0-4554bc474f8c</vt:lpwstr>
  </property>
  <property fmtid="{D5CDD505-2E9C-101B-9397-08002B2CF9AE}" pid="9" name="MSIP_Label_b29603fb-7fab-4bf6-8ed3-004985bb9d91_ContentBits">
    <vt:lpwstr>0</vt:lpwstr>
  </property>
</Properties>
</file>