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4A396" w14:textId="77777777" w:rsidR="00D35540" w:rsidRPr="00D35540" w:rsidRDefault="00D35540" w:rsidP="00D35540">
      <w:pPr>
        <w:spacing w:before="100" w:beforeAutospacing="1" w:after="100" w:afterAutospacing="1" w:line="240" w:lineRule="auto"/>
        <w:outlineLvl w:val="0"/>
        <w:rPr>
          <w:rFonts w:ascii="Arial" w:eastAsia="Times New Roman" w:hAnsi="Arial" w:cs="Arial"/>
          <w:kern w:val="36"/>
          <w:sz w:val="36"/>
          <w:szCs w:val="36"/>
          <w14:ligatures w14:val="none"/>
        </w:rPr>
      </w:pPr>
      <w:r w:rsidRPr="00D35540">
        <w:rPr>
          <w:rFonts w:ascii="Arial" w:eastAsia="Times New Roman" w:hAnsi="Arial" w:cs="Arial"/>
          <w:kern w:val="36"/>
          <w:sz w:val="36"/>
          <w:szCs w:val="36"/>
          <w14:ligatures w14:val="none"/>
        </w:rPr>
        <w:t>Atlantic Petroleum – Condensed Consolidated Interim Report – 3rd Quarter 2025</w:t>
      </w:r>
    </w:p>
    <w:p w14:paraId="04C47A2D"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Tórshavn, Faroe Islands, 2025-11-28 (GLOBE NEWSWIRE) -- P/F Atlantic Petroleum (NASDAQ Copenhagen: ATLA DKK) today posts its 3</w:t>
      </w:r>
      <w:r w:rsidRPr="00D35540">
        <w:rPr>
          <w:rFonts w:ascii="Arial" w:eastAsia="Times New Roman" w:hAnsi="Arial" w:cs="Arial"/>
          <w:color w:val="000000"/>
          <w:kern w:val="0"/>
          <w:sz w:val="23"/>
          <w:szCs w:val="23"/>
          <w:shd w:val="clear" w:color="auto" w:fill="FFFFFF"/>
          <w:vertAlign w:val="superscript"/>
          <w14:ligatures w14:val="none"/>
        </w:rPr>
        <w:t>rd</w:t>
      </w:r>
      <w:r w:rsidRPr="00D35540">
        <w:rPr>
          <w:rFonts w:ascii="Arial" w:eastAsia="Times New Roman" w:hAnsi="Arial" w:cs="Arial"/>
          <w:color w:val="000000"/>
          <w:kern w:val="0"/>
          <w:sz w:val="23"/>
          <w:szCs w:val="23"/>
          <w:shd w:val="clear" w:color="auto" w:fill="FFFFFF"/>
          <w14:ligatures w14:val="none"/>
        </w:rPr>
        <w:t> quarter results for 2025. This announcement should be read in conjunction with Atlantic Petroleum’s Condensed Consolidated Interim Report, which is released separately and posted on the Company’s website.</w:t>
      </w:r>
    </w:p>
    <w:p w14:paraId="008FCB2C"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b/>
          <w:bCs/>
          <w:color w:val="000000"/>
          <w:kern w:val="0"/>
          <w:sz w:val="23"/>
          <w:szCs w:val="23"/>
          <w:shd w:val="clear" w:color="auto" w:fill="FFFFFF"/>
          <w14:ligatures w14:val="none"/>
        </w:rPr>
        <w:t>Highlights for Q3 2025:</w:t>
      </w:r>
    </w:p>
    <w:p w14:paraId="2771FAA7"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G&amp;A cost was DKK 0.6MM</w:t>
      </w:r>
      <w:r w:rsidRPr="00D35540">
        <w:rPr>
          <w:rFonts w:ascii="Arial" w:eastAsia="Times New Roman" w:hAnsi="Arial" w:cs="Arial"/>
          <w:color w:val="000000"/>
          <w:kern w:val="0"/>
          <w:sz w:val="23"/>
          <w:szCs w:val="23"/>
          <w:shd w:val="clear" w:color="auto" w:fill="FFFFFF"/>
          <w14:ligatures w14:val="none"/>
        </w:rPr>
        <w:br/>
        <w:t>Operating loss was DKK 3.3MM</w:t>
      </w:r>
      <w:r w:rsidRPr="00D35540">
        <w:rPr>
          <w:rFonts w:ascii="Arial" w:eastAsia="Times New Roman" w:hAnsi="Arial" w:cs="Arial"/>
          <w:color w:val="000000"/>
          <w:kern w:val="0"/>
          <w:sz w:val="23"/>
          <w:szCs w:val="23"/>
          <w:shd w:val="clear" w:color="auto" w:fill="FFFFFF"/>
          <w14:ligatures w14:val="none"/>
        </w:rPr>
        <w:br/>
        <w:t>Net loss was DKK 2.1MM</w:t>
      </w:r>
      <w:r w:rsidRPr="00D35540">
        <w:rPr>
          <w:rFonts w:ascii="Arial" w:eastAsia="Times New Roman" w:hAnsi="Arial" w:cs="Arial"/>
          <w:color w:val="000000"/>
          <w:kern w:val="0"/>
          <w:sz w:val="23"/>
          <w:szCs w:val="23"/>
          <w:shd w:val="clear" w:color="auto" w:fill="FFFFFF"/>
          <w14:ligatures w14:val="none"/>
        </w:rPr>
        <w:br/>
        <w:t>Net assets/share-holders equity was DKK -114.5M</w:t>
      </w:r>
      <w:r w:rsidRPr="00D35540">
        <w:rPr>
          <w:rFonts w:ascii="Arial" w:eastAsia="Times New Roman" w:hAnsi="Arial" w:cs="Arial"/>
          <w:color w:val="000000"/>
          <w:kern w:val="0"/>
          <w:sz w:val="23"/>
          <w:szCs w:val="23"/>
          <w:shd w:val="clear" w:color="auto" w:fill="FFFFFF"/>
          <w14:ligatures w14:val="none"/>
        </w:rPr>
        <w:br/>
        <w:t>Bank debt was DKK 59.4MM</w:t>
      </w:r>
    </w:p>
    <w:p w14:paraId="5AA99DD4"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b/>
          <w:bCs/>
          <w:color w:val="000000"/>
          <w:kern w:val="0"/>
          <w:sz w:val="23"/>
          <w:szCs w:val="23"/>
          <w:shd w:val="clear" w:color="auto" w:fill="FFFFFF"/>
          <w14:ligatures w14:val="none"/>
        </w:rPr>
        <w:t>Mark T. Højgaard, CEO commented:</w:t>
      </w:r>
    </w:p>
    <w:p w14:paraId="3818A618"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On 4 April 2025, Atlantic Petroleum reached an agreement with its main creditors to reduce the Company’s debt by at least DKK 90MM. While the debt restructuring is not yet finalized, work toward completing the agreed framework is actively progressing.</w:t>
      </w:r>
    </w:p>
    <w:p w14:paraId="24A8C13C"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 xml:space="preserve">The Group’s ability to continue as a going concern remains dependent on the successful completion of the restructuring and the cash </w:t>
      </w:r>
      <w:proofErr w:type="gramStart"/>
      <w:r w:rsidRPr="00D35540">
        <w:rPr>
          <w:rFonts w:ascii="Arial" w:eastAsia="Times New Roman" w:hAnsi="Arial" w:cs="Arial"/>
          <w:color w:val="000000"/>
          <w:kern w:val="0"/>
          <w:sz w:val="23"/>
          <w:szCs w:val="23"/>
          <w:shd w:val="clear" w:color="auto" w:fill="FFFFFF"/>
          <w14:ligatures w14:val="none"/>
        </w:rPr>
        <w:t>flows</w:t>
      </w:r>
      <w:proofErr w:type="gramEnd"/>
      <w:r w:rsidRPr="00D35540">
        <w:rPr>
          <w:rFonts w:ascii="Arial" w:eastAsia="Times New Roman" w:hAnsi="Arial" w:cs="Arial"/>
          <w:color w:val="000000"/>
          <w:kern w:val="0"/>
          <w:sz w:val="23"/>
          <w:szCs w:val="23"/>
          <w:shd w:val="clear" w:color="auto" w:fill="FFFFFF"/>
          <w14:ligatures w14:val="none"/>
        </w:rPr>
        <w:t xml:space="preserve"> generated from its interest in the Orlando field.</w:t>
      </w:r>
    </w:p>
    <w:p w14:paraId="7909DE74"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b/>
          <w:bCs/>
          <w:color w:val="000000"/>
          <w:kern w:val="0"/>
          <w:sz w:val="23"/>
          <w:szCs w:val="23"/>
          <w:shd w:val="clear" w:color="auto" w:fill="FFFFFF"/>
          <w14:ligatures w14:val="none"/>
        </w:rPr>
        <w:t>Atlantic Petroleum in brief:</w:t>
      </w:r>
    </w:p>
    <w:p w14:paraId="0AA8092C"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Atlantic Petroleum participates in oil and gas joint ventures with reputable, international partners. Atlantic Petroleum P/F is based in Tórshavn, Faroe Islands, and the Company currently has subsidiaries and offices in the UK. Atlantic Petroleum’s shares are listed on NASDAQ OMX Copenhagen.</w:t>
      </w:r>
    </w:p>
    <w:p w14:paraId="6B74885E"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b/>
          <w:bCs/>
          <w:color w:val="000000"/>
          <w:kern w:val="0"/>
          <w:sz w:val="23"/>
          <w:szCs w:val="23"/>
          <w:shd w:val="clear" w:color="auto" w:fill="FFFFFF"/>
          <w14:ligatures w14:val="none"/>
        </w:rPr>
        <w:t>Further Details:</w:t>
      </w:r>
    </w:p>
    <w:p w14:paraId="70A05E81"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Further details can be obtained from Mark T. Højgaard, (</w:t>
      </w:r>
      <w:hyperlink r:id="rId5" w:tgtFrame="_blank" w:history="1">
        <w:r w:rsidRPr="00D35540">
          <w:rPr>
            <w:rFonts w:ascii="Arial" w:eastAsia="Times New Roman" w:hAnsi="Arial" w:cs="Arial"/>
            <w:color w:val="0000FF"/>
            <w:kern w:val="0"/>
            <w:sz w:val="23"/>
            <w:szCs w:val="23"/>
            <w:u w:val="single"/>
            <w:shd w:val="clear" w:color="auto" w:fill="FFFFFF"/>
            <w14:ligatures w14:val="none"/>
          </w:rPr>
          <w:t>markh@petroleum.fo</w:t>
        </w:r>
      </w:hyperlink>
      <w:r w:rsidRPr="00D35540">
        <w:rPr>
          <w:rFonts w:ascii="Arial" w:eastAsia="Times New Roman" w:hAnsi="Arial" w:cs="Arial"/>
          <w:color w:val="000000"/>
          <w:kern w:val="0"/>
          <w:sz w:val="23"/>
          <w:szCs w:val="23"/>
          <w:shd w:val="clear" w:color="auto" w:fill="FFFFFF"/>
          <w14:ligatures w14:val="none"/>
        </w:rPr>
        <w:t>). This announcement will be available, together with other information about Atlantic Petroleum, on the Company's website: </w:t>
      </w:r>
      <w:hyperlink r:id="rId6" w:tgtFrame="_blank" w:history="1">
        <w:r w:rsidRPr="00D35540">
          <w:rPr>
            <w:rFonts w:ascii="Arial" w:eastAsia="Times New Roman" w:hAnsi="Arial" w:cs="Arial"/>
            <w:color w:val="0000FF"/>
            <w:kern w:val="0"/>
            <w:sz w:val="23"/>
            <w:szCs w:val="23"/>
            <w:u w:val="single"/>
            <w:shd w:val="clear" w:color="auto" w:fill="FFFFFF"/>
            <w14:ligatures w14:val="none"/>
          </w:rPr>
          <w:t>www.petroleum.fo.</w:t>
        </w:r>
      </w:hyperlink>
    </w:p>
    <w:p w14:paraId="53566B7B"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Announcement no.: 10/2025</w:t>
      </w:r>
    </w:p>
    <w:p w14:paraId="356627D3"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Issued: 28-11-2025</w:t>
      </w:r>
    </w:p>
    <w:p w14:paraId="2B1290D6"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P/F Atlantic Petroleum</w:t>
      </w:r>
      <w:r w:rsidRPr="00D35540">
        <w:rPr>
          <w:rFonts w:ascii="Arial" w:eastAsia="Times New Roman" w:hAnsi="Arial" w:cs="Arial"/>
          <w:color w:val="000000"/>
          <w:kern w:val="0"/>
          <w:sz w:val="23"/>
          <w:szCs w:val="23"/>
          <w:shd w:val="clear" w:color="auto" w:fill="FFFFFF"/>
          <w14:ligatures w14:val="none"/>
        </w:rPr>
        <w:br/>
        <w:t xml:space="preserve">Lucas </w:t>
      </w:r>
      <w:proofErr w:type="spellStart"/>
      <w:r w:rsidRPr="00D35540">
        <w:rPr>
          <w:rFonts w:ascii="Arial" w:eastAsia="Times New Roman" w:hAnsi="Arial" w:cs="Arial"/>
          <w:color w:val="000000"/>
          <w:kern w:val="0"/>
          <w:sz w:val="23"/>
          <w:szCs w:val="23"/>
          <w:shd w:val="clear" w:color="auto" w:fill="FFFFFF"/>
          <w14:ligatures w14:val="none"/>
        </w:rPr>
        <w:t>Debesargøta</w:t>
      </w:r>
      <w:proofErr w:type="spellEnd"/>
      <w:r w:rsidRPr="00D35540">
        <w:rPr>
          <w:rFonts w:ascii="Arial" w:eastAsia="Times New Roman" w:hAnsi="Arial" w:cs="Arial"/>
          <w:color w:val="000000"/>
          <w:kern w:val="0"/>
          <w:sz w:val="23"/>
          <w:szCs w:val="23"/>
          <w:shd w:val="clear" w:color="auto" w:fill="FFFFFF"/>
          <w14:ligatures w14:val="none"/>
        </w:rPr>
        <w:t xml:space="preserve"> 8</w:t>
      </w:r>
      <w:r w:rsidRPr="00D35540">
        <w:rPr>
          <w:rFonts w:ascii="Arial" w:eastAsia="Times New Roman" w:hAnsi="Arial" w:cs="Arial"/>
          <w:color w:val="000000"/>
          <w:kern w:val="0"/>
          <w:sz w:val="23"/>
          <w:szCs w:val="23"/>
          <w:shd w:val="clear" w:color="auto" w:fill="FFFFFF"/>
          <w14:ligatures w14:val="none"/>
        </w:rPr>
        <w:br/>
      </w:r>
      <w:proofErr w:type="spellStart"/>
      <w:r w:rsidRPr="00D35540">
        <w:rPr>
          <w:rFonts w:ascii="Arial" w:eastAsia="Times New Roman" w:hAnsi="Arial" w:cs="Arial"/>
          <w:color w:val="000000"/>
          <w:kern w:val="0"/>
          <w:sz w:val="23"/>
          <w:szCs w:val="23"/>
          <w:shd w:val="clear" w:color="auto" w:fill="FFFFFF"/>
          <w14:ligatures w14:val="none"/>
        </w:rPr>
        <w:t>P.O.Box</w:t>
      </w:r>
      <w:proofErr w:type="spellEnd"/>
      <w:r w:rsidRPr="00D35540">
        <w:rPr>
          <w:rFonts w:ascii="Arial" w:eastAsia="Times New Roman" w:hAnsi="Arial" w:cs="Arial"/>
          <w:color w:val="000000"/>
          <w:kern w:val="0"/>
          <w:sz w:val="23"/>
          <w:szCs w:val="23"/>
          <w:shd w:val="clear" w:color="auto" w:fill="FFFFFF"/>
          <w14:ligatures w14:val="none"/>
        </w:rPr>
        <w:t xml:space="preserve"> 1228</w:t>
      </w:r>
      <w:r w:rsidRPr="00D35540">
        <w:rPr>
          <w:rFonts w:ascii="Arial" w:eastAsia="Times New Roman" w:hAnsi="Arial" w:cs="Arial"/>
          <w:color w:val="000000"/>
          <w:kern w:val="0"/>
          <w:sz w:val="23"/>
          <w:szCs w:val="23"/>
          <w:shd w:val="clear" w:color="auto" w:fill="FFFFFF"/>
          <w14:ligatures w14:val="none"/>
        </w:rPr>
        <w:br/>
      </w:r>
      <w:r w:rsidRPr="00D35540">
        <w:rPr>
          <w:rFonts w:ascii="Arial" w:eastAsia="Times New Roman" w:hAnsi="Arial" w:cs="Arial"/>
          <w:color w:val="000000"/>
          <w:kern w:val="0"/>
          <w:sz w:val="23"/>
          <w:szCs w:val="23"/>
          <w:shd w:val="clear" w:color="auto" w:fill="FFFFFF"/>
          <w14:ligatures w14:val="none"/>
        </w:rPr>
        <w:lastRenderedPageBreak/>
        <w:t>FO-110 Torshavn</w:t>
      </w:r>
      <w:r w:rsidRPr="00D35540">
        <w:rPr>
          <w:rFonts w:ascii="Arial" w:eastAsia="Times New Roman" w:hAnsi="Arial" w:cs="Arial"/>
          <w:color w:val="000000"/>
          <w:kern w:val="0"/>
          <w:sz w:val="23"/>
          <w:szCs w:val="23"/>
          <w:shd w:val="clear" w:color="auto" w:fill="FFFFFF"/>
          <w14:ligatures w14:val="none"/>
        </w:rPr>
        <w:br/>
        <w:t>Faroe Islands</w:t>
      </w:r>
    </w:p>
    <w:p w14:paraId="024B2AA7"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color w:val="000000"/>
          <w:kern w:val="0"/>
          <w:sz w:val="23"/>
          <w:szCs w:val="23"/>
          <w:shd w:val="clear" w:color="auto" w:fill="FFFFFF"/>
          <w14:ligatures w14:val="none"/>
        </w:rPr>
        <w:t>Website: </w:t>
      </w:r>
      <w:hyperlink r:id="rId7" w:tgtFrame="_blank" w:history="1">
        <w:r w:rsidRPr="00D35540">
          <w:rPr>
            <w:rFonts w:ascii="Arial" w:eastAsia="Times New Roman" w:hAnsi="Arial" w:cs="Arial"/>
            <w:color w:val="0000FF"/>
            <w:kern w:val="0"/>
            <w:sz w:val="23"/>
            <w:szCs w:val="23"/>
            <w:u w:val="single"/>
            <w:shd w:val="clear" w:color="auto" w:fill="FFFFFF"/>
            <w14:ligatures w14:val="none"/>
          </w:rPr>
          <w:t>www.petroleum.fo</w:t>
        </w:r>
      </w:hyperlink>
    </w:p>
    <w:p w14:paraId="18AFF208" w14:textId="77777777" w:rsidR="00D35540" w:rsidRPr="00D35540" w:rsidRDefault="00D35540" w:rsidP="00D35540">
      <w:p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r w:rsidRPr="00D35540">
        <w:rPr>
          <w:rFonts w:ascii="Arial" w:eastAsia="Times New Roman" w:hAnsi="Arial" w:cs="Arial"/>
          <w:b/>
          <w:bCs/>
          <w:color w:val="000000"/>
          <w:kern w:val="0"/>
          <w:sz w:val="23"/>
          <w:szCs w:val="23"/>
          <w:shd w:val="clear" w:color="auto" w:fill="FFFFFF"/>
          <w14:ligatures w14:val="none"/>
        </w:rPr>
        <w:t>Attachment</w:t>
      </w:r>
    </w:p>
    <w:p w14:paraId="30E4DA93" w14:textId="77777777" w:rsidR="00D35540" w:rsidRPr="00D35540" w:rsidRDefault="00D35540" w:rsidP="00D35540">
      <w:pPr>
        <w:numPr>
          <w:ilvl w:val="0"/>
          <w:numId w:val="2"/>
        </w:numPr>
        <w:spacing w:before="100" w:beforeAutospacing="1" w:after="100" w:afterAutospacing="1" w:line="240" w:lineRule="auto"/>
        <w:rPr>
          <w:rFonts w:ascii="Arial" w:eastAsia="Times New Roman" w:hAnsi="Arial" w:cs="Arial"/>
          <w:color w:val="000000"/>
          <w:kern w:val="0"/>
          <w:sz w:val="23"/>
          <w:szCs w:val="23"/>
          <w:shd w:val="clear" w:color="auto" w:fill="FFFFFF"/>
          <w14:ligatures w14:val="none"/>
        </w:rPr>
      </w:pPr>
      <w:hyperlink r:id="rId8" w:tgtFrame="_blank" w:history="1">
        <w:r w:rsidRPr="00D35540">
          <w:rPr>
            <w:rFonts w:ascii="Arial" w:eastAsia="Times New Roman" w:hAnsi="Arial" w:cs="Arial"/>
            <w:color w:val="0000FF"/>
            <w:kern w:val="0"/>
            <w:sz w:val="23"/>
            <w:szCs w:val="23"/>
            <w:u w:val="single"/>
            <w:shd w:val="clear" w:color="auto" w:fill="FFFFFF"/>
            <w14:ligatures w14:val="none"/>
          </w:rPr>
          <w:t>3Q 2025 Cond Cons Interim Report 28-11-2025</w:t>
        </w:r>
      </w:hyperlink>
    </w:p>
    <w:p w14:paraId="506A537E" w14:textId="77777777" w:rsidR="002E5ABC" w:rsidRDefault="002E5ABC"/>
    <w:sectPr w:rsidR="002E5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A5630"/>
    <w:multiLevelType w:val="multilevel"/>
    <w:tmpl w:val="5788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41CFB"/>
    <w:multiLevelType w:val="multilevel"/>
    <w:tmpl w:val="F214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795985">
    <w:abstractNumId w:val="1"/>
  </w:num>
  <w:num w:numId="2" w16cid:durableId="35156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40"/>
    <w:rsid w:val="002E5ABC"/>
    <w:rsid w:val="00821751"/>
    <w:rsid w:val="00CF2854"/>
    <w:rsid w:val="00D35540"/>
    <w:rsid w:val="00F438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A2A92"/>
  <w15:chartTrackingRefBased/>
  <w15:docId w15:val="{5CE04079-71B9-44DE-B644-18435FBD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5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5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5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5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5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5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5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5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5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5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5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5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5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5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5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540"/>
    <w:rPr>
      <w:rFonts w:eastAsiaTheme="majorEastAsia" w:cstheme="majorBidi"/>
      <w:color w:val="272727" w:themeColor="text1" w:themeTint="D8"/>
    </w:rPr>
  </w:style>
  <w:style w:type="paragraph" w:styleId="Title">
    <w:name w:val="Title"/>
    <w:basedOn w:val="Normal"/>
    <w:next w:val="Normal"/>
    <w:link w:val="TitleChar"/>
    <w:uiPriority w:val="10"/>
    <w:qFormat/>
    <w:rsid w:val="00D35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5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5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5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540"/>
    <w:pPr>
      <w:spacing w:before="160"/>
      <w:jc w:val="center"/>
    </w:pPr>
    <w:rPr>
      <w:i/>
      <w:iCs/>
      <w:color w:val="404040" w:themeColor="text1" w:themeTint="BF"/>
    </w:rPr>
  </w:style>
  <w:style w:type="character" w:customStyle="1" w:styleId="QuoteChar">
    <w:name w:val="Quote Char"/>
    <w:basedOn w:val="DefaultParagraphFont"/>
    <w:link w:val="Quote"/>
    <w:uiPriority w:val="29"/>
    <w:rsid w:val="00D35540"/>
    <w:rPr>
      <w:i/>
      <w:iCs/>
      <w:color w:val="404040" w:themeColor="text1" w:themeTint="BF"/>
    </w:rPr>
  </w:style>
  <w:style w:type="paragraph" w:styleId="ListParagraph">
    <w:name w:val="List Paragraph"/>
    <w:basedOn w:val="Normal"/>
    <w:uiPriority w:val="34"/>
    <w:qFormat/>
    <w:rsid w:val="00D35540"/>
    <w:pPr>
      <w:ind w:left="720"/>
      <w:contextualSpacing/>
    </w:pPr>
  </w:style>
  <w:style w:type="character" w:styleId="IntenseEmphasis">
    <w:name w:val="Intense Emphasis"/>
    <w:basedOn w:val="DefaultParagraphFont"/>
    <w:uiPriority w:val="21"/>
    <w:qFormat/>
    <w:rsid w:val="00D35540"/>
    <w:rPr>
      <w:i/>
      <w:iCs/>
      <w:color w:val="0F4761" w:themeColor="accent1" w:themeShade="BF"/>
    </w:rPr>
  </w:style>
  <w:style w:type="paragraph" w:styleId="IntenseQuote">
    <w:name w:val="Intense Quote"/>
    <w:basedOn w:val="Normal"/>
    <w:next w:val="Normal"/>
    <w:link w:val="IntenseQuoteChar"/>
    <w:uiPriority w:val="30"/>
    <w:qFormat/>
    <w:rsid w:val="00D35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540"/>
    <w:rPr>
      <w:i/>
      <w:iCs/>
      <w:color w:val="0F4761" w:themeColor="accent1" w:themeShade="BF"/>
    </w:rPr>
  </w:style>
  <w:style w:type="character" w:styleId="IntenseReference">
    <w:name w:val="Intense Reference"/>
    <w:basedOn w:val="DefaultParagraphFont"/>
    <w:uiPriority w:val="32"/>
    <w:qFormat/>
    <w:rsid w:val="00D35540"/>
    <w:rPr>
      <w:b/>
      <w:bCs/>
      <w:smallCaps/>
      <w:color w:val="0F4761" w:themeColor="accent1" w:themeShade="BF"/>
      <w:spacing w:val="5"/>
    </w:rPr>
  </w:style>
  <w:style w:type="character" w:styleId="Hyperlink">
    <w:name w:val="Hyperlink"/>
    <w:basedOn w:val="DefaultParagraphFont"/>
    <w:uiPriority w:val="99"/>
    <w:unhideWhenUsed/>
    <w:rsid w:val="00D35540"/>
    <w:rPr>
      <w:color w:val="467886" w:themeColor="hyperlink"/>
      <w:u w:val="single"/>
    </w:rPr>
  </w:style>
  <w:style w:type="character" w:styleId="UnresolvedMention">
    <w:name w:val="Unresolved Mention"/>
    <w:basedOn w:val="DefaultParagraphFont"/>
    <w:uiPriority w:val="99"/>
    <w:semiHidden/>
    <w:unhideWhenUsed/>
    <w:rsid w:val="00D35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eu.globenewswire.com/Resource/Download/308fa60c-dcdb-4763-af10-8f29cf9d6062" TargetMode="External"/><Relationship Id="rId3" Type="http://schemas.openxmlformats.org/officeDocument/2006/relationships/settings" Target="settings.xml"/><Relationship Id="rId7" Type="http://schemas.openxmlformats.org/officeDocument/2006/relationships/hyperlink" Target="http://www.petroleum.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troleum.fo./" TargetMode="External"/><Relationship Id="rId5" Type="http://schemas.openxmlformats.org/officeDocument/2006/relationships/hyperlink" Target="mailto:markh@petroleum.f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Gracheva, Polina</dc:creator>
  <cp:keywords/>
  <dc:description/>
  <cp:lastModifiedBy>Gracheva, Polina</cp:lastModifiedBy>
  <cp:revision>1</cp:revision>
  <dcterms:created xsi:type="dcterms:W3CDTF">2025-12-01T17:04:00Z</dcterms:created>
  <dcterms:modified xsi:type="dcterms:W3CDTF">2025-12-01T17:04:00Z</dcterms:modified>
</cp:coreProperties>
</file>