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C5" w:rsidRPr="000418C5" w:rsidRDefault="000418C5" w:rsidP="000418C5">
      <w:pPr>
        <w:spacing w:before="270" w:after="100" w:afterAutospacing="1"/>
        <w:outlineLvl w:val="2"/>
        <w:rPr>
          <w:b/>
          <w:color w:val="auto"/>
          <w:sz w:val="28"/>
        </w:rPr>
      </w:pPr>
      <w:bookmarkStart w:id="0" w:name="_GoBack"/>
      <w:proofErr w:type="spellStart"/>
      <w:r w:rsidRPr="000418C5">
        <w:rPr>
          <w:b/>
          <w:color w:val="auto"/>
          <w:sz w:val="28"/>
        </w:rPr>
        <w:t>BankNordik</w:t>
      </w:r>
      <w:proofErr w:type="spellEnd"/>
      <w:r w:rsidRPr="000418C5">
        <w:rPr>
          <w:b/>
          <w:color w:val="auto"/>
          <w:sz w:val="28"/>
        </w:rPr>
        <w:t xml:space="preserve"> share buy-back </w:t>
      </w:r>
      <w:proofErr w:type="spellStart"/>
      <w:r w:rsidRPr="000418C5">
        <w:rPr>
          <w:b/>
          <w:color w:val="auto"/>
          <w:sz w:val="28"/>
        </w:rPr>
        <w:t>programme</w:t>
      </w:r>
      <w:proofErr w:type="spellEnd"/>
      <w:r w:rsidRPr="000418C5">
        <w:rPr>
          <w:b/>
          <w:color w:val="auto"/>
          <w:sz w:val="28"/>
        </w:rPr>
        <w:t>: Transactions week 11</w:t>
      </w:r>
    </w:p>
    <w:bookmarkEnd w:id="0"/>
    <w:p w:rsidR="000418C5" w:rsidRPr="000418C5" w:rsidRDefault="000418C5" w:rsidP="000418C5">
      <w:pPr>
        <w:spacing w:before="100" w:beforeAutospacing="1" w:after="100" w:afterAutospacing="1"/>
        <w:rPr>
          <w:bCs w:val="0"/>
          <w:color w:val="auto"/>
          <w:sz w:val="22"/>
          <w:szCs w:val="22"/>
        </w:rPr>
      </w:pPr>
      <w:r w:rsidRPr="000418C5">
        <w:rPr>
          <w:b/>
          <w:color w:val="auto"/>
          <w:sz w:val="22"/>
          <w:szCs w:val="22"/>
        </w:rPr>
        <w:t>Company announcement</w:t>
      </w:r>
    </w:p>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   </w:t>
      </w:r>
    </w:p>
    <w:p w:rsidR="000418C5" w:rsidRPr="000418C5" w:rsidRDefault="000418C5" w:rsidP="000418C5">
      <w:pPr>
        <w:spacing w:before="100" w:beforeAutospacing="1" w:after="100" w:afterAutospacing="1"/>
        <w:rPr>
          <w:bCs w:val="0"/>
          <w:color w:val="auto"/>
          <w:sz w:val="22"/>
          <w:szCs w:val="22"/>
        </w:rPr>
      </w:pPr>
    </w:p>
    <w:p w:rsidR="000418C5" w:rsidRPr="000418C5" w:rsidRDefault="000418C5" w:rsidP="000418C5">
      <w:pPr>
        <w:spacing w:before="100" w:beforeAutospacing="1" w:after="100" w:afterAutospacing="1"/>
        <w:rPr>
          <w:bCs w:val="0"/>
          <w:color w:val="auto"/>
          <w:sz w:val="22"/>
          <w:szCs w:val="22"/>
        </w:rPr>
      </w:pPr>
      <w:r w:rsidRPr="000418C5">
        <w:rPr>
          <w:b/>
          <w:color w:val="auto"/>
          <w:sz w:val="22"/>
          <w:szCs w:val="22"/>
        </w:rPr>
        <w:t>Announcement no. 9/2018</w:t>
      </w:r>
      <w:r w:rsidRPr="000418C5">
        <w:rPr>
          <w:bCs w:val="0"/>
          <w:color w:val="auto"/>
          <w:sz w:val="22"/>
          <w:szCs w:val="22"/>
        </w:rPr>
        <w:br/>
        <w:t>                                                                                                                                              16 March 2018</w:t>
      </w:r>
    </w:p>
    <w:p w:rsidR="000418C5" w:rsidRPr="000418C5" w:rsidRDefault="000418C5" w:rsidP="000418C5">
      <w:pPr>
        <w:spacing w:before="100" w:beforeAutospacing="1" w:after="100" w:afterAutospacing="1"/>
        <w:rPr>
          <w:bCs w:val="0"/>
          <w:color w:val="auto"/>
          <w:sz w:val="22"/>
          <w:szCs w:val="22"/>
        </w:rPr>
      </w:pPr>
      <w:proofErr w:type="spellStart"/>
      <w:r w:rsidRPr="000418C5">
        <w:rPr>
          <w:b/>
          <w:color w:val="auto"/>
          <w:sz w:val="22"/>
          <w:szCs w:val="22"/>
        </w:rPr>
        <w:t>BankNordik</w:t>
      </w:r>
      <w:proofErr w:type="spellEnd"/>
      <w:r w:rsidRPr="000418C5">
        <w:rPr>
          <w:b/>
          <w:color w:val="auto"/>
          <w:sz w:val="22"/>
          <w:szCs w:val="22"/>
        </w:rPr>
        <w:t xml:space="preserve"> share buy-back </w:t>
      </w:r>
      <w:proofErr w:type="spellStart"/>
      <w:r w:rsidRPr="000418C5">
        <w:rPr>
          <w:b/>
          <w:color w:val="auto"/>
          <w:sz w:val="22"/>
          <w:szCs w:val="22"/>
        </w:rPr>
        <w:t>programme</w:t>
      </w:r>
      <w:proofErr w:type="spellEnd"/>
      <w:r w:rsidRPr="000418C5">
        <w:rPr>
          <w:b/>
          <w:color w:val="auto"/>
          <w:sz w:val="22"/>
          <w:szCs w:val="22"/>
        </w:rPr>
        <w:t>: Transactions week 11</w:t>
      </w:r>
    </w:p>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 xml:space="preserve">On February 27, 2018 </w:t>
      </w:r>
      <w:proofErr w:type="spellStart"/>
      <w:r w:rsidRPr="000418C5">
        <w:rPr>
          <w:bCs w:val="0"/>
          <w:color w:val="auto"/>
          <w:sz w:val="22"/>
          <w:szCs w:val="22"/>
        </w:rPr>
        <w:t>BankNordik</w:t>
      </w:r>
      <w:proofErr w:type="spellEnd"/>
      <w:r w:rsidRPr="000418C5">
        <w:rPr>
          <w:bCs w:val="0"/>
          <w:color w:val="auto"/>
          <w:sz w:val="22"/>
          <w:szCs w:val="22"/>
        </w:rPr>
        <w:t xml:space="preserve"> announced a share buy-back </w:t>
      </w:r>
      <w:proofErr w:type="spellStart"/>
      <w:r w:rsidRPr="000418C5">
        <w:rPr>
          <w:bCs w:val="0"/>
          <w:color w:val="auto"/>
          <w:sz w:val="22"/>
          <w:szCs w:val="22"/>
        </w:rPr>
        <w:t>programme</w:t>
      </w:r>
      <w:proofErr w:type="spellEnd"/>
      <w:r w:rsidRPr="000418C5">
        <w:rPr>
          <w:bCs w:val="0"/>
          <w:color w:val="auto"/>
          <w:sz w:val="22"/>
          <w:szCs w:val="22"/>
        </w:rPr>
        <w:t xml:space="preserve">. The </w:t>
      </w:r>
      <w:proofErr w:type="spellStart"/>
      <w:r w:rsidRPr="000418C5">
        <w:rPr>
          <w:bCs w:val="0"/>
          <w:color w:val="auto"/>
          <w:sz w:val="22"/>
          <w:szCs w:val="22"/>
        </w:rPr>
        <w:t>programme</w:t>
      </w:r>
      <w:proofErr w:type="spellEnd"/>
      <w:r w:rsidRPr="000418C5">
        <w:rPr>
          <w:bCs w:val="0"/>
          <w:color w:val="auto"/>
          <w:sz w:val="22"/>
          <w:szCs w:val="22"/>
        </w:rPr>
        <w:t xml:space="preserve"> is being carried out under Regulation (EU) No. 596/2014 of the European Parliament and of the Council of 16 April 2014 and the Commission’s delegated regulation (EU) 2016/1052 of 8 March 2016 (also referred to as the Safe </w:t>
      </w:r>
      <w:proofErr w:type="spellStart"/>
      <w:r w:rsidRPr="000418C5">
        <w:rPr>
          <w:bCs w:val="0"/>
          <w:color w:val="auto"/>
          <w:sz w:val="22"/>
          <w:szCs w:val="22"/>
        </w:rPr>
        <w:t>Harbour</w:t>
      </w:r>
      <w:proofErr w:type="spellEnd"/>
      <w:r w:rsidRPr="000418C5">
        <w:rPr>
          <w:bCs w:val="0"/>
          <w:color w:val="auto"/>
          <w:sz w:val="22"/>
          <w:szCs w:val="22"/>
        </w:rPr>
        <w:t xml:space="preserve"> rules), which ensures that </w:t>
      </w:r>
      <w:proofErr w:type="spellStart"/>
      <w:r w:rsidRPr="000418C5">
        <w:rPr>
          <w:bCs w:val="0"/>
          <w:color w:val="auto"/>
          <w:sz w:val="22"/>
          <w:szCs w:val="22"/>
        </w:rPr>
        <w:t>BankNordik</w:t>
      </w:r>
      <w:proofErr w:type="spellEnd"/>
      <w:r w:rsidRPr="000418C5">
        <w:rPr>
          <w:bCs w:val="0"/>
          <w:color w:val="auto"/>
          <w:sz w:val="22"/>
          <w:szCs w:val="22"/>
        </w:rPr>
        <w:t xml:space="preserve"> is protected against violation of insider legislation in relation to the share buyback </w:t>
      </w:r>
      <w:proofErr w:type="spellStart"/>
      <w:r w:rsidRPr="000418C5">
        <w:rPr>
          <w:bCs w:val="0"/>
          <w:color w:val="auto"/>
          <w:sz w:val="22"/>
          <w:szCs w:val="22"/>
        </w:rPr>
        <w:t>programme</w:t>
      </w:r>
      <w:proofErr w:type="spellEnd"/>
      <w:r w:rsidRPr="000418C5">
        <w:rPr>
          <w:bCs w:val="0"/>
          <w:color w:val="auto"/>
          <w:sz w:val="22"/>
          <w:szCs w:val="22"/>
        </w:rPr>
        <w:t xml:space="preserve">. </w:t>
      </w:r>
    </w:p>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 xml:space="preserve">The share buyback </w:t>
      </w:r>
      <w:proofErr w:type="spellStart"/>
      <w:r w:rsidRPr="000418C5">
        <w:rPr>
          <w:bCs w:val="0"/>
          <w:color w:val="auto"/>
          <w:sz w:val="22"/>
          <w:szCs w:val="22"/>
        </w:rPr>
        <w:t>programme</w:t>
      </w:r>
      <w:proofErr w:type="spellEnd"/>
      <w:r w:rsidRPr="000418C5">
        <w:rPr>
          <w:bCs w:val="0"/>
          <w:color w:val="auto"/>
          <w:sz w:val="22"/>
          <w:szCs w:val="22"/>
        </w:rPr>
        <w:t xml:space="preserve"> runs from 27 February 2018 to 31 May 2018. In this period </w:t>
      </w:r>
      <w:proofErr w:type="spellStart"/>
      <w:r w:rsidRPr="000418C5">
        <w:rPr>
          <w:bCs w:val="0"/>
          <w:color w:val="auto"/>
          <w:sz w:val="22"/>
          <w:szCs w:val="22"/>
        </w:rPr>
        <w:t>BankNordik</w:t>
      </w:r>
      <w:proofErr w:type="spellEnd"/>
      <w:r w:rsidRPr="000418C5">
        <w:rPr>
          <w:bCs w:val="0"/>
          <w:color w:val="auto"/>
          <w:sz w:val="22"/>
          <w:szCs w:val="22"/>
        </w:rPr>
        <w:t xml:space="preserve"> will acquire shares with a value of up to DKK 7.0 million, with a maximum of 720.000 shares. </w:t>
      </w:r>
    </w:p>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Since the announcement as of 27 February 2018, the following transactions have been made under the program:</w:t>
      </w:r>
    </w:p>
    <w:tbl>
      <w:tblPr>
        <w:tblW w:w="5000" w:type="pct"/>
        <w:tblCellMar>
          <w:top w:w="15" w:type="dxa"/>
          <w:left w:w="15" w:type="dxa"/>
          <w:bottom w:w="15" w:type="dxa"/>
          <w:right w:w="15" w:type="dxa"/>
        </w:tblCellMar>
        <w:tblLook w:val="04A0" w:firstRow="1" w:lastRow="0" w:firstColumn="1" w:lastColumn="0" w:noHBand="0" w:noVBand="1"/>
      </w:tblPr>
      <w:tblGrid>
        <w:gridCol w:w="3536"/>
        <w:gridCol w:w="1798"/>
        <w:gridCol w:w="1510"/>
        <w:gridCol w:w="2546"/>
      </w:tblGrid>
      <w:tr w:rsidR="000418C5" w:rsidRPr="000418C5" w:rsidTr="000418C5">
        <w:tc>
          <w:tcPr>
            <w:tcW w:w="0" w:type="auto"/>
            <w:tcBorders>
              <w:top w:val="single" w:sz="8" w:space="0" w:color="000000"/>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 </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jc w:val="center"/>
              <w:rPr>
                <w:bCs w:val="0"/>
                <w:color w:val="auto"/>
                <w:sz w:val="18"/>
                <w:szCs w:val="18"/>
              </w:rPr>
            </w:pPr>
            <w:r w:rsidRPr="000418C5">
              <w:rPr>
                <w:b/>
                <w:color w:val="auto"/>
                <w:sz w:val="18"/>
                <w:szCs w:val="18"/>
              </w:rPr>
              <w:t>Number of shares</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jc w:val="center"/>
              <w:rPr>
                <w:bCs w:val="0"/>
                <w:color w:val="auto"/>
                <w:sz w:val="18"/>
                <w:szCs w:val="18"/>
              </w:rPr>
            </w:pPr>
            <w:r w:rsidRPr="000418C5">
              <w:rPr>
                <w:b/>
                <w:color w:val="auto"/>
                <w:sz w:val="18"/>
                <w:szCs w:val="18"/>
              </w:rPr>
              <w:t xml:space="preserve">Average </w:t>
            </w:r>
            <w:r w:rsidRPr="000418C5">
              <w:rPr>
                <w:bCs w:val="0"/>
                <w:color w:val="auto"/>
                <w:sz w:val="18"/>
                <w:szCs w:val="18"/>
              </w:rPr>
              <w:br/>
            </w:r>
            <w:r w:rsidRPr="000418C5">
              <w:rPr>
                <w:b/>
                <w:color w:val="auto"/>
                <w:sz w:val="18"/>
                <w:szCs w:val="18"/>
              </w:rPr>
              <w:t>purchase price</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jc w:val="center"/>
              <w:rPr>
                <w:bCs w:val="0"/>
                <w:color w:val="auto"/>
                <w:sz w:val="18"/>
                <w:szCs w:val="18"/>
              </w:rPr>
            </w:pPr>
            <w:r w:rsidRPr="000418C5">
              <w:rPr>
                <w:b/>
                <w:color w:val="auto"/>
                <w:sz w:val="18"/>
                <w:szCs w:val="18"/>
              </w:rPr>
              <w:t>Transaction value in DKK</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Accumulated, last announcement</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8,000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111.57</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892,591</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09 March 2018</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955</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112.00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106,960</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12 March 2018</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940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107,160</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13 March 2018</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14</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112.50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1,575</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14 March 2018</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1,015</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115,710</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15 March 2018</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1,025</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114.46</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Cs w:val="0"/>
                <w:color w:val="auto"/>
                <w:sz w:val="18"/>
                <w:szCs w:val="18"/>
              </w:rPr>
              <w:t>117,319</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 xml:space="preserve">Accumulated under the </w:t>
            </w:r>
            <w:proofErr w:type="spellStart"/>
            <w:r w:rsidRPr="000418C5">
              <w:rPr>
                <w:b/>
                <w:color w:val="auto"/>
                <w:sz w:val="18"/>
                <w:szCs w:val="18"/>
              </w:rPr>
              <w:t>programme</w:t>
            </w:r>
            <w:proofErr w:type="spellEnd"/>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11,949</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112.25</w:t>
            </w:r>
          </w:p>
        </w:tc>
        <w:tc>
          <w:tcPr>
            <w:tcW w:w="0" w:type="auto"/>
            <w:tcBorders>
              <w:bottom w:val="single" w:sz="8" w:space="0" w:color="000000"/>
              <w:right w:val="single" w:sz="8" w:space="0" w:color="000000"/>
            </w:tcBorders>
            <w:vAlign w:val="bottom"/>
            <w:hideMark/>
          </w:tcPr>
          <w:p w:rsidR="000418C5" w:rsidRPr="000418C5" w:rsidRDefault="000418C5" w:rsidP="000418C5">
            <w:pPr>
              <w:jc w:val="right"/>
              <w:rPr>
                <w:bCs w:val="0"/>
                <w:color w:val="auto"/>
                <w:sz w:val="18"/>
                <w:szCs w:val="18"/>
              </w:rPr>
            </w:pPr>
            <w:r w:rsidRPr="000418C5">
              <w:rPr>
                <w:b/>
                <w:color w:val="auto"/>
                <w:sz w:val="18"/>
                <w:szCs w:val="18"/>
              </w:rPr>
              <w:t>1,341,315</w:t>
            </w:r>
          </w:p>
        </w:tc>
      </w:tr>
    </w:tbl>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 xml:space="preserve">With the transactions stated above, </w:t>
      </w:r>
      <w:proofErr w:type="spellStart"/>
      <w:r w:rsidRPr="000418C5">
        <w:rPr>
          <w:bCs w:val="0"/>
          <w:color w:val="auto"/>
          <w:sz w:val="22"/>
          <w:szCs w:val="22"/>
        </w:rPr>
        <w:t>BankNordik</w:t>
      </w:r>
      <w:proofErr w:type="spellEnd"/>
      <w:r w:rsidRPr="000418C5">
        <w:rPr>
          <w:bCs w:val="0"/>
          <w:color w:val="auto"/>
          <w:sz w:val="22"/>
          <w:szCs w:val="22"/>
        </w:rPr>
        <w:t xml:space="preserve"> holds a total of 290,890 of treasury shares, excluding investments made on behalf of customers and shares held for trading purposes, corresponding to 2.91% of the share capital.</w:t>
      </w:r>
    </w:p>
    <w:p w:rsidR="000418C5" w:rsidRPr="000418C5" w:rsidRDefault="000418C5" w:rsidP="000418C5">
      <w:pPr>
        <w:spacing w:before="100" w:beforeAutospacing="1" w:after="100" w:afterAutospacing="1"/>
        <w:rPr>
          <w:bCs w:val="0"/>
          <w:color w:val="auto"/>
          <w:sz w:val="22"/>
          <w:szCs w:val="22"/>
        </w:rPr>
      </w:pPr>
      <w:r w:rsidRPr="000418C5">
        <w:rPr>
          <w:bCs w:val="0"/>
          <w:color w:val="auto"/>
          <w:sz w:val="22"/>
          <w:szCs w:val="22"/>
        </w:rPr>
        <w:t>In accordance with the Commission’s delegated regulation (EU) 2016/1052 of 8 March 2016 the share buy-back transactions data is presented in detail form here:</w:t>
      </w:r>
    </w:p>
    <w:tbl>
      <w:tblPr>
        <w:tblW w:w="5000" w:type="pct"/>
        <w:tblCellMar>
          <w:top w:w="15" w:type="dxa"/>
          <w:left w:w="15" w:type="dxa"/>
          <w:bottom w:w="15" w:type="dxa"/>
          <w:right w:w="15" w:type="dxa"/>
        </w:tblCellMar>
        <w:tblLook w:val="04A0" w:firstRow="1" w:lastRow="0" w:firstColumn="1" w:lastColumn="0" w:noHBand="0" w:noVBand="1"/>
      </w:tblPr>
      <w:tblGrid>
        <w:gridCol w:w="884"/>
        <w:gridCol w:w="2822"/>
        <w:gridCol w:w="1024"/>
        <w:gridCol w:w="3936"/>
        <w:gridCol w:w="724"/>
      </w:tblGrid>
      <w:tr w:rsidR="000418C5" w:rsidRPr="000418C5" w:rsidTr="000418C5">
        <w:tc>
          <w:tcPr>
            <w:tcW w:w="0" w:type="auto"/>
            <w:tcBorders>
              <w:top w:val="single" w:sz="8" w:space="0" w:color="000000"/>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Filled</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Instrument</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Price</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Traded on</w:t>
            </w:r>
          </w:p>
        </w:tc>
        <w:tc>
          <w:tcPr>
            <w:tcW w:w="0" w:type="auto"/>
            <w:tcBorders>
              <w:top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Ex.</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955</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112.00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20180309 13:29:20.778287</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gridSpan w:val="5"/>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 </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Filled</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Instrument</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Price</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Traded on</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Ex.</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59</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20180312 16:26:07.203688</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lastRenderedPageBreak/>
              <w:t>881</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20180312 16:26:07.203688</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gridSpan w:val="5"/>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 </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Filled</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Instrument</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Price</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Traded on</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Ex.</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14</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112.50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20180313 14:04:14.855070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gridSpan w:val="5"/>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 </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Filled</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Instrument</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Price</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Traded on</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Ex.</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28</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20180314 16:04:34.828299</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933</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20180314 16:39:27.692184</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54</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20180314 16:46:13.252252</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Cs w:val="0"/>
                <w:color w:val="auto"/>
                <w:sz w:val="18"/>
                <w:szCs w:val="18"/>
              </w:rPr>
              <w:t>CPH</w:t>
            </w:r>
          </w:p>
        </w:tc>
      </w:tr>
      <w:tr w:rsidR="000418C5" w:rsidRPr="000418C5" w:rsidTr="000418C5">
        <w:tc>
          <w:tcPr>
            <w:tcW w:w="0" w:type="auto"/>
            <w:gridSpan w:val="5"/>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 </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Filled</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Instrument</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Price</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Traded on</w:t>
            </w:r>
          </w:p>
        </w:tc>
        <w:tc>
          <w:tcPr>
            <w:tcW w:w="0" w:type="auto"/>
            <w:tcBorders>
              <w:bottom w:val="single" w:sz="8" w:space="0" w:color="000000"/>
              <w:right w:val="single" w:sz="8" w:space="0" w:color="000000"/>
            </w:tcBorders>
            <w:vAlign w:val="bottom"/>
            <w:hideMark/>
          </w:tcPr>
          <w:p w:rsidR="000418C5" w:rsidRPr="000418C5" w:rsidRDefault="000418C5" w:rsidP="000418C5">
            <w:pPr>
              <w:rPr>
                <w:bCs w:val="0"/>
                <w:color w:val="auto"/>
                <w:sz w:val="18"/>
                <w:szCs w:val="18"/>
              </w:rPr>
            </w:pPr>
            <w:r w:rsidRPr="000418C5">
              <w:rPr>
                <w:b/>
                <w:color w:val="auto"/>
                <w:sz w:val="18"/>
                <w:szCs w:val="18"/>
              </w:rPr>
              <w:t>Ex.</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87</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114.00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20180315 09:13:41.883907</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r w:rsidR="000418C5" w:rsidRPr="000418C5" w:rsidTr="000418C5">
        <w:tc>
          <w:tcPr>
            <w:tcW w:w="0" w:type="auto"/>
            <w:tcBorders>
              <w:left w:val="single" w:sz="8" w:space="0" w:color="000000"/>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938</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BNORDIK-CSE.CO</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114.50</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20180315 11:26:10.008612</w:t>
            </w:r>
          </w:p>
        </w:tc>
        <w:tc>
          <w:tcPr>
            <w:tcW w:w="0" w:type="auto"/>
            <w:tcBorders>
              <w:bottom w:val="single" w:sz="8" w:space="0" w:color="000000"/>
              <w:right w:val="single" w:sz="8" w:space="0" w:color="000000"/>
            </w:tcBorders>
            <w:vAlign w:val="bottom"/>
            <w:hideMark/>
          </w:tcPr>
          <w:p w:rsidR="000418C5" w:rsidRPr="000418C5" w:rsidRDefault="000418C5" w:rsidP="000418C5">
            <w:pPr>
              <w:jc w:val="both"/>
              <w:rPr>
                <w:bCs w:val="0"/>
                <w:color w:val="auto"/>
                <w:sz w:val="18"/>
                <w:szCs w:val="18"/>
              </w:rPr>
            </w:pPr>
            <w:r w:rsidRPr="000418C5">
              <w:rPr>
                <w:bCs w:val="0"/>
                <w:color w:val="auto"/>
                <w:sz w:val="18"/>
                <w:szCs w:val="18"/>
              </w:rPr>
              <w:t>CPH</w:t>
            </w:r>
          </w:p>
        </w:tc>
      </w:tr>
    </w:tbl>
    <w:p w:rsidR="000418C5" w:rsidRPr="000418C5" w:rsidRDefault="000418C5" w:rsidP="000418C5">
      <w:pPr>
        <w:spacing w:before="100" w:beforeAutospacing="1" w:after="100" w:afterAutospacing="1"/>
        <w:rPr>
          <w:bCs w:val="0"/>
          <w:color w:val="auto"/>
          <w:sz w:val="22"/>
          <w:szCs w:val="22"/>
        </w:rPr>
      </w:pPr>
    </w:p>
    <w:p w:rsidR="000418C5" w:rsidRPr="000418C5" w:rsidRDefault="000418C5" w:rsidP="000418C5">
      <w:pPr>
        <w:spacing w:before="100" w:beforeAutospacing="1" w:after="100" w:afterAutospacing="1"/>
        <w:rPr>
          <w:bCs w:val="0"/>
          <w:color w:val="auto"/>
          <w:sz w:val="22"/>
          <w:szCs w:val="22"/>
        </w:rPr>
      </w:pPr>
      <w:r w:rsidRPr="000418C5">
        <w:rPr>
          <w:b/>
          <w:color w:val="auto"/>
          <w:sz w:val="22"/>
          <w:szCs w:val="22"/>
        </w:rPr>
        <w:t>Further information</w:t>
      </w:r>
      <w:proofErr w:type="gramStart"/>
      <w:r w:rsidRPr="000418C5">
        <w:rPr>
          <w:b/>
          <w:color w:val="auto"/>
          <w:sz w:val="22"/>
          <w:szCs w:val="22"/>
        </w:rPr>
        <w:t>:</w:t>
      </w:r>
      <w:proofErr w:type="gramEnd"/>
      <w:r w:rsidRPr="000418C5">
        <w:rPr>
          <w:bCs w:val="0"/>
          <w:color w:val="auto"/>
          <w:sz w:val="22"/>
          <w:szCs w:val="22"/>
        </w:rPr>
        <w:br/>
      </w:r>
      <w:proofErr w:type="spellStart"/>
      <w:r w:rsidRPr="000418C5">
        <w:rPr>
          <w:bCs w:val="0"/>
          <w:color w:val="auto"/>
          <w:sz w:val="22"/>
          <w:szCs w:val="22"/>
        </w:rPr>
        <w:t>Árni</w:t>
      </w:r>
      <w:proofErr w:type="spellEnd"/>
      <w:r w:rsidRPr="000418C5">
        <w:rPr>
          <w:bCs w:val="0"/>
          <w:color w:val="auto"/>
          <w:sz w:val="22"/>
          <w:szCs w:val="22"/>
        </w:rPr>
        <w:t xml:space="preserve"> </w:t>
      </w:r>
      <w:proofErr w:type="spellStart"/>
      <w:r w:rsidRPr="000418C5">
        <w:rPr>
          <w:bCs w:val="0"/>
          <w:color w:val="auto"/>
          <w:sz w:val="22"/>
          <w:szCs w:val="22"/>
        </w:rPr>
        <w:t>Ellefsen</w:t>
      </w:r>
      <w:proofErr w:type="spellEnd"/>
      <w:r w:rsidRPr="000418C5">
        <w:rPr>
          <w:bCs w:val="0"/>
          <w:color w:val="auto"/>
          <w:sz w:val="22"/>
          <w:szCs w:val="22"/>
        </w:rPr>
        <w:t>, CEO, tel</w:t>
      </w:r>
      <w:r w:rsidRPr="000418C5">
        <w:rPr>
          <w:bCs w:val="0"/>
          <w:i/>
          <w:iCs/>
          <w:color w:val="auto"/>
          <w:sz w:val="22"/>
          <w:szCs w:val="22"/>
        </w:rPr>
        <w:t>.</w:t>
      </w:r>
      <w:r w:rsidRPr="000418C5">
        <w:rPr>
          <w:bCs w:val="0"/>
          <w:color w:val="auto"/>
          <w:sz w:val="22"/>
          <w:szCs w:val="22"/>
        </w:rPr>
        <w:t> (+298) 230 348</w:t>
      </w:r>
      <w:r w:rsidRPr="000418C5">
        <w:rPr>
          <w:bCs w:val="0"/>
          <w:color w:val="auto"/>
          <w:sz w:val="22"/>
          <w:szCs w:val="22"/>
        </w:rPr>
        <w:br/>
      </w:r>
      <w:proofErr w:type="spellStart"/>
      <w:r w:rsidRPr="000418C5">
        <w:rPr>
          <w:b/>
          <w:color w:val="auto"/>
          <w:sz w:val="22"/>
          <w:szCs w:val="22"/>
        </w:rPr>
        <w:t>BankNordik</w:t>
      </w:r>
      <w:proofErr w:type="spellEnd"/>
      <w:r w:rsidRPr="000418C5">
        <w:rPr>
          <w:bCs w:val="0"/>
          <w:color w:val="auto"/>
          <w:sz w:val="22"/>
          <w:szCs w:val="22"/>
        </w:rPr>
        <w:t xml:space="preserve"> has banking activities in Denmark, Greenland and the Faroe Islands and insurance activities in the Faroe Islands. Founded in the Faroe Islands more than a century ago, the Group has total assets of DKK 15.8bn and 400 employees. The Bank is subject to the supervision of the Danish Financial Supervisory Authority and is listed on Nasdaq Copenhagen. </w:t>
      </w:r>
    </w:p>
    <w:p w:rsidR="000418C5" w:rsidRPr="000418C5" w:rsidRDefault="000418C5" w:rsidP="000418C5">
      <w:pPr>
        <w:spacing w:before="100" w:beforeAutospacing="1" w:after="100" w:afterAutospacing="1"/>
        <w:rPr>
          <w:bCs w:val="0"/>
          <w:color w:val="auto"/>
          <w:sz w:val="22"/>
          <w:szCs w:val="22"/>
        </w:rPr>
      </w:pPr>
      <w:r>
        <w:rPr>
          <w:bCs w:val="0"/>
          <w:noProof/>
          <w:color w:val="auto"/>
          <w:sz w:val="22"/>
          <w:szCs w:val="22"/>
        </w:rPr>
        <mc:AlternateContent>
          <mc:Choice Requires="wps">
            <w:drawing>
              <wp:inline distT="0" distB="0" distL="0" distR="0">
                <wp:extent cx="7620" cy="7620"/>
                <wp:effectExtent l="0" t="0" r="0" b="0"/>
                <wp:docPr id="1" name="Rectangle 1" descr="https://www.globenewswire.com/newsroom/ti?nf=MTAwMDA4MTEyNCM0MDAxMzA1OTEjMjAwMDExN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www.globenewswire.com/newsroom/ti?nf=MTAwMDA4MTEyNCM0MDAxMzA1OTEjMjAwMDExNw=="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" filled="f" stroked="f">
                <o:lock v:ext="edit" aspectratio="t"/>
                <w10:anchorlock/>
              </v:rect>
            </w:pict>
          </mc:Fallback>
        </mc:AlternateContent>
      </w:r>
    </w:p>
    <w:p w:rsidR="004823A8" w:rsidRDefault="004823A8"/>
    <w:sectPr w:rsidR="00482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C5"/>
    <w:rsid w:val="000418C5"/>
    <w:rsid w:val="004823A8"/>
    <w:rsid w:val="00C3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31"/>
    <w:rPr>
      <w:bCs/>
      <w:color w:val="000000"/>
      <w:szCs w:val="28"/>
    </w:rPr>
  </w:style>
  <w:style w:type="paragraph" w:styleId="Heading1">
    <w:name w:val="heading 1"/>
    <w:basedOn w:val="Normal"/>
    <w:next w:val="Normal"/>
    <w:link w:val="Heading1Char"/>
    <w:uiPriority w:val="99"/>
    <w:qFormat/>
    <w:rsid w:val="00C30531"/>
    <w:pPr>
      <w:keepNext/>
      <w:jc w:val="center"/>
      <w:outlineLvl w:val="0"/>
    </w:pPr>
    <w:rPr>
      <w:rFonts w:ascii="Cambria" w:hAnsi="Cambria" w:cs="Cambria"/>
      <w:b/>
      <w:color w:val="auto"/>
      <w:kern w:val="32"/>
      <w:sz w:val="32"/>
      <w:szCs w:val="32"/>
    </w:rPr>
  </w:style>
  <w:style w:type="paragraph" w:styleId="Heading2">
    <w:name w:val="heading 2"/>
    <w:basedOn w:val="Normal"/>
    <w:next w:val="Normal"/>
    <w:link w:val="Heading2Char"/>
    <w:uiPriority w:val="99"/>
    <w:qFormat/>
    <w:rsid w:val="00C30531"/>
    <w:pPr>
      <w:keepNext/>
      <w:outlineLvl w:val="1"/>
    </w:pPr>
    <w:rPr>
      <w:rFonts w:ascii="Cambria" w:hAnsi="Cambria" w:cs="Cambria"/>
      <w:b/>
      <w:i/>
      <w:iCs/>
      <w:color w:val="auto"/>
      <w:sz w:val="28"/>
    </w:rPr>
  </w:style>
  <w:style w:type="paragraph" w:styleId="Heading3">
    <w:name w:val="heading 3"/>
    <w:basedOn w:val="Normal"/>
    <w:next w:val="Normal"/>
    <w:link w:val="Heading3Char"/>
    <w:uiPriority w:val="9"/>
    <w:qFormat/>
    <w:rsid w:val="00C30531"/>
    <w:pPr>
      <w:keepNext/>
      <w:spacing w:before="240" w:after="60"/>
      <w:outlineLvl w:val="2"/>
    </w:pPr>
    <w:rPr>
      <w:rFonts w:ascii="Cambria" w:hAnsi="Cambria" w:cs="Cambria"/>
      <w:b/>
      <w:color w:val="auto"/>
      <w:sz w:val="26"/>
      <w:szCs w:val="26"/>
    </w:rPr>
  </w:style>
  <w:style w:type="paragraph" w:styleId="Heading4">
    <w:name w:val="heading 4"/>
    <w:basedOn w:val="Normal"/>
    <w:next w:val="Normal"/>
    <w:link w:val="Heading4Char"/>
    <w:uiPriority w:val="99"/>
    <w:qFormat/>
    <w:rsid w:val="00C30531"/>
    <w:pPr>
      <w:keepNext/>
      <w:spacing w:before="240" w:after="60"/>
      <w:outlineLvl w:val="3"/>
    </w:pPr>
    <w:rPr>
      <w:rFonts w:ascii="Calibri" w:hAnsi="Calibri" w:cs="Calibri"/>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HeaderMediaRelease">
    <w:name w:val="PR Header Media Release"/>
    <w:basedOn w:val="Normal"/>
    <w:qFormat/>
    <w:rsid w:val="00C30531"/>
    <w:pPr>
      <w:tabs>
        <w:tab w:val="left" w:pos="0"/>
        <w:tab w:val="center" w:pos="3828"/>
        <w:tab w:val="right" w:pos="8505"/>
      </w:tabs>
    </w:pPr>
    <w:rPr>
      <w:lang w:val="fr-FR"/>
    </w:rPr>
  </w:style>
  <w:style w:type="paragraph" w:customStyle="1" w:styleId="PRSubhead">
    <w:name w:val="PR Subhead"/>
    <w:basedOn w:val="Normal"/>
    <w:autoRedefine/>
    <w:uiPriority w:val="99"/>
    <w:qFormat/>
    <w:rsid w:val="00C30531"/>
    <w:pPr>
      <w:tabs>
        <w:tab w:val="left" w:pos="360"/>
      </w:tabs>
      <w:autoSpaceDE w:val="0"/>
      <w:autoSpaceDN w:val="0"/>
      <w:adjustRightInd w:val="0"/>
      <w:spacing w:after="60"/>
      <w:ind w:left="360" w:hanging="360"/>
      <w:jc w:val="both"/>
    </w:pPr>
    <w:rPr>
      <w:i/>
      <w:iCs/>
      <w:color w:val="000000" w:themeColor="text1"/>
      <w:szCs w:val="20"/>
    </w:rPr>
  </w:style>
  <w:style w:type="paragraph" w:customStyle="1" w:styleId="PRHeadline">
    <w:name w:val="PR Headline"/>
    <w:basedOn w:val="Normal"/>
    <w:qFormat/>
    <w:rsid w:val="00C30531"/>
    <w:pPr>
      <w:autoSpaceDE w:val="0"/>
      <w:autoSpaceDN w:val="0"/>
      <w:adjustRightInd w:val="0"/>
    </w:pPr>
    <w:rPr>
      <w:b/>
      <w:bCs w:val="0"/>
      <w:sz w:val="28"/>
    </w:rPr>
  </w:style>
  <w:style w:type="paragraph" w:customStyle="1" w:styleId="PRBodyText">
    <w:name w:val="PR Body Text"/>
    <w:basedOn w:val="Normal"/>
    <w:qFormat/>
    <w:rsid w:val="00C30531"/>
    <w:pPr>
      <w:spacing w:after="240"/>
    </w:pPr>
    <w:rPr>
      <w:szCs w:val="20"/>
    </w:rPr>
  </w:style>
  <w:style w:type="paragraph" w:customStyle="1" w:styleId="PRBodySubhead">
    <w:name w:val="PR Body Subhead"/>
    <w:basedOn w:val="PRBodyText"/>
    <w:qFormat/>
    <w:rsid w:val="00C30531"/>
    <w:pPr>
      <w:spacing w:before="360" w:after="60"/>
    </w:pPr>
    <w:rPr>
      <w:b/>
    </w:rPr>
  </w:style>
  <w:style w:type="paragraph" w:customStyle="1" w:styleId="PRSubheadBullet">
    <w:name w:val="PR Subhead Bullet"/>
    <w:basedOn w:val="PRSubhead"/>
    <w:qFormat/>
    <w:rsid w:val="00C30531"/>
  </w:style>
  <w:style w:type="paragraph" w:customStyle="1" w:styleId="PRHeaderAddress">
    <w:name w:val="PR Header Address"/>
    <w:basedOn w:val="Normal"/>
    <w:qFormat/>
    <w:rsid w:val="00C30531"/>
    <w:pPr>
      <w:tabs>
        <w:tab w:val="left" w:pos="-1701"/>
        <w:tab w:val="left" w:pos="5812"/>
        <w:tab w:val="right" w:pos="9072"/>
      </w:tabs>
      <w:spacing w:line="170" w:lineRule="atLeast"/>
    </w:pPr>
    <w:rPr>
      <w:sz w:val="16"/>
      <w:szCs w:val="16"/>
      <w:lang w:val="de-DE"/>
    </w:rPr>
  </w:style>
  <w:style w:type="paragraph" w:customStyle="1" w:styleId="PRReferenceText">
    <w:name w:val="PR Reference Text"/>
    <w:basedOn w:val="Normal"/>
    <w:qFormat/>
    <w:rsid w:val="00C30531"/>
    <w:pPr>
      <w:ind w:left="360" w:hanging="360"/>
    </w:pPr>
    <w:rPr>
      <w:snapToGrid w:val="0"/>
      <w:sz w:val="16"/>
      <w:szCs w:val="18"/>
      <w:lang w:eastAsia="de-DE"/>
    </w:rPr>
  </w:style>
  <w:style w:type="paragraph" w:customStyle="1" w:styleId="PRContactInfo-Details">
    <w:name w:val="PR Contact Info - Details"/>
    <w:basedOn w:val="Normal"/>
    <w:qFormat/>
    <w:rsid w:val="00C30531"/>
    <w:rPr>
      <w:rFonts w:eastAsia="MS Mincho"/>
    </w:rPr>
  </w:style>
  <w:style w:type="paragraph" w:customStyle="1" w:styleId="PRContactInfo-Name">
    <w:name w:val="PR Contact Info - Name"/>
    <w:basedOn w:val="PRContactInfo-Details"/>
    <w:qFormat/>
    <w:rsid w:val="00C30531"/>
    <w:rPr>
      <w:b/>
    </w:rPr>
  </w:style>
  <w:style w:type="paragraph" w:customStyle="1" w:styleId="PRLocation-Date">
    <w:name w:val="PR Location - Date"/>
    <w:basedOn w:val="PRBodyText"/>
    <w:qFormat/>
    <w:rsid w:val="00C30531"/>
    <w:rPr>
      <w:b/>
    </w:rPr>
  </w:style>
  <w:style w:type="paragraph" w:customStyle="1" w:styleId="Subhead">
    <w:name w:val="Subhead"/>
    <w:basedOn w:val="Normal"/>
    <w:next w:val="Normal"/>
    <w:uiPriority w:val="9"/>
    <w:qFormat/>
    <w:rsid w:val="00C30531"/>
    <w:pPr>
      <w:keepNext/>
      <w:keepLines/>
      <w:spacing w:line="240" w:lineRule="atLeast"/>
    </w:pPr>
    <w:rPr>
      <w:rFonts w:asciiTheme="minorHAnsi" w:hAnsiTheme="minorHAnsi" w:cs="Times New Roman"/>
      <w:b/>
      <w:bCs w:val="0"/>
      <w:color w:val="auto"/>
      <w:szCs w:val="20"/>
    </w:rPr>
  </w:style>
  <w:style w:type="character" w:customStyle="1" w:styleId="Heading1Char">
    <w:name w:val="Heading 1 Char"/>
    <w:link w:val="Heading1"/>
    <w:uiPriority w:val="99"/>
    <w:rsid w:val="00C30531"/>
    <w:rPr>
      <w:rFonts w:ascii="Cambria" w:hAnsi="Cambria" w:cs="Cambria"/>
      <w:b/>
      <w:bCs/>
      <w:kern w:val="32"/>
      <w:sz w:val="32"/>
      <w:szCs w:val="32"/>
    </w:rPr>
  </w:style>
  <w:style w:type="character" w:customStyle="1" w:styleId="Heading2Char">
    <w:name w:val="Heading 2 Char"/>
    <w:link w:val="Heading2"/>
    <w:uiPriority w:val="99"/>
    <w:rsid w:val="00C30531"/>
    <w:rPr>
      <w:rFonts w:ascii="Cambria" w:hAnsi="Cambria" w:cs="Cambria"/>
      <w:b/>
      <w:bCs/>
      <w:i/>
      <w:iCs/>
      <w:sz w:val="28"/>
      <w:szCs w:val="28"/>
    </w:rPr>
  </w:style>
  <w:style w:type="character" w:customStyle="1" w:styleId="Heading3Char">
    <w:name w:val="Heading 3 Char"/>
    <w:link w:val="Heading3"/>
    <w:uiPriority w:val="9"/>
    <w:rsid w:val="00C30531"/>
    <w:rPr>
      <w:rFonts w:ascii="Cambria" w:hAnsi="Cambria" w:cs="Cambria"/>
      <w:b/>
      <w:bCs/>
      <w:sz w:val="26"/>
      <w:szCs w:val="26"/>
    </w:rPr>
  </w:style>
  <w:style w:type="character" w:customStyle="1" w:styleId="Heading4Char">
    <w:name w:val="Heading 4 Char"/>
    <w:link w:val="Heading4"/>
    <w:uiPriority w:val="99"/>
    <w:rsid w:val="00C30531"/>
    <w:rPr>
      <w:rFonts w:ascii="Calibri" w:hAnsi="Calibri" w:cs="Calibri"/>
      <w:b/>
      <w:bCs/>
      <w:sz w:val="28"/>
      <w:szCs w:val="28"/>
    </w:rPr>
  </w:style>
  <w:style w:type="character" w:styleId="Strong">
    <w:name w:val="Strong"/>
    <w:basedOn w:val="DefaultParagraphFont"/>
    <w:uiPriority w:val="22"/>
    <w:qFormat/>
    <w:rsid w:val="00C30531"/>
    <w:rPr>
      <w:b/>
      <w:bCs/>
    </w:rPr>
  </w:style>
  <w:style w:type="character" w:styleId="Emphasis">
    <w:name w:val="Emphasis"/>
    <w:basedOn w:val="DefaultParagraphFont"/>
    <w:uiPriority w:val="20"/>
    <w:qFormat/>
    <w:rsid w:val="00C30531"/>
    <w:rPr>
      <w:b/>
      <w:bCs/>
      <w:i w:val="0"/>
      <w:iCs w:val="0"/>
    </w:rPr>
  </w:style>
  <w:style w:type="paragraph" w:styleId="ListParagraph">
    <w:name w:val="List Paragraph"/>
    <w:basedOn w:val="Normal"/>
    <w:link w:val="ListParagraphChar"/>
    <w:uiPriority w:val="34"/>
    <w:qFormat/>
    <w:rsid w:val="00C30531"/>
    <w:pPr>
      <w:ind w:left="720"/>
      <w:contextualSpacing/>
    </w:pPr>
  </w:style>
  <w:style w:type="character" w:customStyle="1" w:styleId="ListParagraphChar">
    <w:name w:val="List Paragraph Char"/>
    <w:basedOn w:val="DefaultParagraphFont"/>
    <w:link w:val="ListParagraph"/>
    <w:uiPriority w:val="34"/>
    <w:locked/>
    <w:rsid w:val="00C30531"/>
    <w:rPr>
      <w:bCs/>
      <w:color w:val="000000"/>
      <w:szCs w:val="28"/>
    </w:rPr>
  </w:style>
  <w:style w:type="paragraph" w:styleId="NormalWeb">
    <w:name w:val="Normal (Web)"/>
    <w:basedOn w:val="Normal"/>
    <w:uiPriority w:val="99"/>
    <w:semiHidden/>
    <w:unhideWhenUsed/>
    <w:rsid w:val="000418C5"/>
    <w:pPr>
      <w:spacing w:before="100" w:beforeAutospacing="1" w:after="100" w:afterAutospacing="1"/>
    </w:pPr>
    <w:rPr>
      <w:rFonts w:ascii="Times New Roman" w:hAnsi="Times New Roman" w:cs="Times New Roman"/>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31"/>
    <w:rPr>
      <w:bCs/>
      <w:color w:val="000000"/>
      <w:szCs w:val="28"/>
    </w:rPr>
  </w:style>
  <w:style w:type="paragraph" w:styleId="Heading1">
    <w:name w:val="heading 1"/>
    <w:basedOn w:val="Normal"/>
    <w:next w:val="Normal"/>
    <w:link w:val="Heading1Char"/>
    <w:uiPriority w:val="99"/>
    <w:qFormat/>
    <w:rsid w:val="00C30531"/>
    <w:pPr>
      <w:keepNext/>
      <w:jc w:val="center"/>
      <w:outlineLvl w:val="0"/>
    </w:pPr>
    <w:rPr>
      <w:rFonts w:ascii="Cambria" w:hAnsi="Cambria" w:cs="Cambria"/>
      <w:b/>
      <w:color w:val="auto"/>
      <w:kern w:val="32"/>
      <w:sz w:val="32"/>
      <w:szCs w:val="32"/>
    </w:rPr>
  </w:style>
  <w:style w:type="paragraph" w:styleId="Heading2">
    <w:name w:val="heading 2"/>
    <w:basedOn w:val="Normal"/>
    <w:next w:val="Normal"/>
    <w:link w:val="Heading2Char"/>
    <w:uiPriority w:val="99"/>
    <w:qFormat/>
    <w:rsid w:val="00C30531"/>
    <w:pPr>
      <w:keepNext/>
      <w:outlineLvl w:val="1"/>
    </w:pPr>
    <w:rPr>
      <w:rFonts w:ascii="Cambria" w:hAnsi="Cambria" w:cs="Cambria"/>
      <w:b/>
      <w:i/>
      <w:iCs/>
      <w:color w:val="auto"/>
      <w:sz w:val="28"/>
    </w:rPr>
  </w:style>
  <w:style w:type="paragraph" w:styleId="Heading3">
    <w:name w:val="heading 3"/>
    <w:basedOn w:val="Normal"/>
    <w:next w:val="Normal"/>
    <w:link w:val="Heading3Char"/>
    <w:uiPriority w:val="9"/>
    <w:qFormat/>
    <w:rsid w:val="00C30531"/>
    <w:pPr>
      <w:keepNext/>
      <w:spacing w:before="240" w:after="60"/>
      <w:outlineLvl w:val="2"/>
    </w:pPr>
    <w:rPr>
      <w:rFonts w:ascii="Cambria" w:hAnsi="Cambria" w:cs="Cambria"/>
      <w:b/>
      <w:color w:val="auto"/>
      <w:sz w:val="26"/>
      <w:szCs w:val="26"/>
    </w:rPr>
  </w:style>
  <w:style w:type="paragraph" w:styleId="Heading4">
    <w:name w:val="heading 4"/>
    <w:basedOn w:val="Normal"/>
    <w:next w:val="Normal"/>
    <w:link w:val="Heading4Char"/>
    <w:uiPriority w:val="99"/>
    <w:qFormat/>
    <w:rsid w:val="00C30531"/>
    <w:pPr>
      <w:keepNext/>
      <w:spacing w:before="240" w:after="60"/>
      <w:outlineLvl w:val="3"/>
    </w:pPr>
    <w:rPr>
      <w:rFonts w:ascii="Calibri" w:hAnsi="Calibri" w:cs="Calibri"/>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HeaderMediaRelease">
    <w:name w:val="PR Header Media Release"/>
    <w:basedOn w:val="Normal"/>
    <w:qFormat/>
    <w:rsid w:val="00C30531"/>
    <w:pPr>
      <w:tabs>
        <w:tab w:val="left" w:pos="0"/>
        <w:tab w:val="center" w:pos="3828"/>
        <w:tab w:val="right" w:pos="8505"/>
      </w:tabs>
    </w:pPr>
    <w:rPr>
      <w:lang w:val="fr-FR"/>
    </w:rPr>
  </w:style>
  <w:style w:type="paragraph" w:customStyle="1" w:styleId="PRSubhead">
    <w:name w:val="PR Subhead"/>
    <w:basedOn w:val="Normal"/>
    <w:autoRedefine/>
    <w:uiPriority w:val="99"/>
    <w:qFormat/>
    <w:rsid w:val="00C30531"/>
    <w:pPr>
      <w:tabs>
        <w:tab w:val="left" w:pos="360"/>
      </w:tabs>
      <w:autoSpaceDE w:val="0"/>
      <w:autoSpaceDN w:val="0"/>
      <w:adjustRightInd w:val="0"/>
      <w:spacing w:after="60"/>
      <w:ind w:left="360" w:hanging="360"/>
      <w:jc w:val="both"/>
    </w:pPr>
    <w:rPr>
      <w:i/>
      <w:iCs/>
      <w:color w:val="000000" w:themeColor="text1"/>
      <w:szCs w:val="20"/>
    </w:rPr>
  </w:style>
  <w:style w:type="paragraph" w:customStyle="1" w:styleId="PRHeadline">
    <w:name w:val="PR Headline"/>
    <w:basedOn w:val="Normal"/>
    <w:qFormat/>
    <w:rsid w:val="00C30531"/>
    <w:pPr>
      <w:autoSpaceDE w:val="0"/>
      <w:autoSpaceDN w:val="0"/>
      <w:adjustRightInd w:val="0"/>
    </w:pPr>
    <w:rPr>
      <w:b/>
      <w:bCs w:val="0"/>
      <w:sz w:val="28"/>
    </w:rPr>
  </w:style>
  <w:style w:type="paragraph" w:customStyle="1" w:styleId="PRBodyText">
    <w:name w:val="PR Body Text"/>
    <w:basedOn w:val="Normal"/>
    <w:qFormat/>
    <w:rsid w:val="00C30531"/>
    <w:pPr>
      <w:spacing w:after="240"/>
    </w:pPr>
    <w:rPr>
      <w:szCs w:val="20"/>
    </w:rPr>
  </w:style>
  <w:style w:type="paragraph" w:customStyle="1" w:styleId="PRBodySubhead">
    <w:name w:val="PR Body Subhead"/>
    <w:basedOn w:val="PRBodyText"/>
    <w:qFormat/>
    <w:rsid w:val="00C30531"/>
    <w:pPr>
      <w:spacing w:before="360" w:after="60"/>
    </w:pPr>
    <w:rPr>
      <w:b/>
    </w:rPr>
  </w:style>
  <w:style w:type="paragraph" w:customStyle="1" w:styleId="PRSubheadBullet">
    <w:name w:val="PR Subhead Bullet"/>
    <w:basedOn w:val="PRSubhead"/>
    <w:qFormat/>
    <w:rsid w:val="00C30531"/>
  </w:style>
  <w:style w:type="paragraph" w:customStyle="1" w:styleId="PRHeaderAddress">
    <w:name w:val="PR Header Address"/>
    <w:basedOn w:val="Normal"/>
    <w:qFormat/>
    <w:rsid w:val="00C30531"/>
    <w:pPr>
      <w:tabs>
        <w:tab w:val="left" w:pos="-1701"/>
        <w:tab w:val="left" w:pos="5812"/>
        <w:tab w:val="right" w:pos="9072"/>
      </w:tabs>
      <w:spacing w:line="170" w:lineRule="atLeast"/>
    </w:pPr>
    <w:rPr>
      <w:sz w:val="16"/>
      <w:szCs w:val="16"/>
      <w:lang w:val="de-DE"/>
    </w:rPr>
  </w:style>
  <w:style w:type="paragraph" w:customStyle="1" w:styleId="PRReferenceText">
    <w:name w:val="PR Reference Text"/>
    <w:basedOn w:val="Normal"/>
    <w:qFormat/>
    <w:rsid w:val="00C30531"/>
    <w:pPr>
      <w:ind w:left="360" w:hanging="360"/>
    </w:pPr>
    <w:rPr>
      <w:snapToGrid w:val="0"/>
      <w:sz w:val="16"/>
      <w:szCs w:val="18"/>
      <w:lang w:eastAsia="de-DE"/>
    </w:rPr>
  </w:style>
  <w:style w:type="paragraph" w:customStyle="1" w:styleId="PRContactInfo-Details">
    <w:name w:val="PR Contact Info - Details"/>
    <w:basedOn w:val="Normal"/>
    <w:qFormat/>
    <w:rsid w:val="00C30531"/>
    <w:rPr>
      <w:rFonts w:eastAsia="MS Mincho"/>
    </w:rPr>
  </w:style>
  <w:style w:type="paragraph" w:customStyle="1" w:styleId="PRContactInfo-Name">
    <w:name w:val="PR Contact Info - Name"/>
    <w:basedOn w:val="PRContactInfo-Details"/>
    <w:qFormat/>
    <w:rsid w:val="00C30531"/>
    <w:rPr>
      <w:b/>
    </w:rPr>
  </w:style>
  <w:style w:type="paragraph" w:customStyle="1" w:styleId="PRLocation-Date">
    <w:name w:val="PR Location - Date"/>
    <w:basedOn w:val="PRBodyText"/>
    <w:qFormat/>
    <w:rsid w:val="00C30531"/>
    <w:rPr>
      <w:b/>
    </w:rPr>
  </w:style>
  <w:style w:type="paragraph" w:customStyle="1" w:styleId="Subhead">
    <w:name w:val="Subhead"/>
    <w:basedOn w:val="Normal"/>
    <w:next w:val="Normal"/>
    <w:uiPriority w:val="9"/>
    <w:qFormat/>
    <w:rsid w:val="00C30531"/>
    <w:pPr>
      <w:keepNext/>
      <w:keepLines/>
      <w:spacing w:line="240" w:lineRule="atLeast"/>
    </w:pPr>
    <w:rPr>
      <w:rFonts w:asciiTheme="minorHAnsi" w:hAnsiTheme="minorHAnsi" w:cs="Times New Roman"/>
      <w:b/>
      <w:bCs w:val="0"/>
      <w:color w:val="auto"/>
      <w:szCs w:val="20"/>
    </w:rPr>
  </w:style>
  <w:style w:type="character" w:customStyle="1" w:styleId="Heading1Char">
    <w:name w:val="Heading 1 Char"/>
    <w:link w:val="Heading1"/>
    <w:uiPriority w:val="99"/>
    <w:rsid w:val="00C30531"/>
    <w:rPr>
      <w:rFonts w:ascii="Cambria" w:hAnsi="Cambria" w:cs="Cambria"/>
      <w:b/>
      <w:bCs/>
      <w:kern w:val="32"/>
      <w:sz w:val="32"/>
      <w:szCs w:val="32"/>
    </w:rPr>
  </w:style>
  <w:style w:type="character" w:customStyle="1" w:styleId="Heading2Char">
    <w:name w:val="Heading 2 Char"/>
    <w:link w:val="Heading2"/>
    <w:uiPriority w:val="99"/>
    <w:rsid w:val="00C30531"/>
    <w:rPr>
      <w:rFonts w:ascii="Cambria" w:hAnsi="Cambria" w:cs="Cambria"/>
      <w:b/>
      <w:bCs/>
      <w:i/>
      <w:iCs/>
      <w:sz w:val="28"/>
      <w:szCs w:val="28"/>
    </w:rPr>
  </w:style>
  <w:style w:type="character" w:customStyle="1" w:styleId="Heading3Char">
    <w:name w:val="Heading 3 Char"/>
    <w:link w:val="Heading3"/>
    <w:uiPriority w:val="9"/>
    <w:rsid w:val="00C30531"/>
    <w:rPr>
      <w:rFonts w:ascii="Cambria" w:hAnsi="Cambria" w:cs="Cambria"/>
      <w:b/>
      <w:bCs/>
      <w:sz w:val="26"/>
      <w:szCs w:val="26"/>
    </w:rPr>
  </w:style>
  <w:style w:type="character" w:customStyle="1" w:styleId="Heading4Char">
    <w:name w:val="Heading 4 Char"/>
    <w:link w:val="Heading4"/>
    <w:uiPriority w:val="99"/>
    <w:rsid w:val="00C30531"/>
    <w:rPr>
      <w:rFonts w:ascii="Calibri" w:hAnsi="Calibri" w:cs="Calibri"/>
      <w:b/>
      <w:bCs/>
      <w:sz w:val="28"/>
      <w:szCs w:val="28"/>
    </w:rPr>
  </w:style>
  <w:style w:type="character" w:styleId="Strong">
    <w:name w:val="Strong"/>
    <w:basedOn w:val="DefaultParagraphFont"/>
    <w:uiPriority w:val="22"/>
    <w:qFormat/>
    <w:rsid w:val="00C30531"/>
    <w:rPr>
      <w:b/>
      <w:bCs/>
    </w:rPr>
  </w:style>
  <w:style w:type="character" w:styleId="Emphasis">
    <w:name w:val="Emphasis"/>
    <w:basedOn w:val="DefaultParagraphFont"/>
    <w:uiPriority w:val="20"/>
    <w:qFormat/>
    <w:rsid w:val="00C30531"/>
    <w:rPr>
      <w:b/>
      <w:bCs/>
      <w:i w:val="0"/>
      <w:iCs w:val="0"/>
    </w:rPr>
  </w:style>
  <w:style w:type="paragraph" w:styleId="ListParagraph">
    <w:name w:val="List Paragraph"/>
    <w:basedOn w:val="Normal"/>
    <w:link w:val="ListParagraphChar"/>
    <w:uiPriority w:val="34"/>
    <w:qFormat/>
    <w:rsid w:val="00C30531"/>
    <w:pPr>
      <w:ind w:left="720"/>
      <w:contextualSpacing/>
    </w:pPr>
  </w:style>
  <w:style w:type="character" w:customStyle="1" w:styleId="ListParagraphChar">
    <w:name w:val="List Paragraph Char"/>
    <w:basedOn w:val="DefaultParagraphFont"/>
    <w:link w:val="ListParagraph"/>
    <w:uiPriority w:val="34"/>
    <w:locked/>
    <w:rsid w:val="00C30531"/>
    <w:rPr>
      <w:bCs/>
      <w:color w:val="000000"/>
      <w:szCs w:val="28"/>
    </w:rPr>
  </w:style>
  <w:style w:type="paragraph" w:styleId="NormalWeb">
    <w:name w:val="Normal (Web)"/>
    <w:basedOn w:val="Normal"/>
    <w:uiPriority w:val="99"/>
    <w:semiHidden/>
    <w:unhideWhenUsed/>
    <w:rsid w:val="000418C5"/>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89106">
      <w:bodyDiv w:val="1"/>
      <w:marLeft w:val="0"/>
      <w:marRight w:val="0"/>
      <w:marTop w:val="0"/>
      <w:marBottom w:val="0"/>
      <w:divBdr>
        <w:top w:val="none" w:sz="0" w:space="0" w:color="auto"/>
        <w:left w:val="none" w:sz="0" w:space="0" w:color="auto"/>
        <w:bottom w:val="none" w:sz="0" w:space="0" w:color="auto"/>
        <w:right w:val="none" w:sz="0" w:space="0" w:color="auto"/>
      </w:divBdr>
      <w:divsChild>
        <w:div w:id="1139886637">
          <w:marLeft w:val="0"/>
          <w:marRight w:val="0"/>
          <w:marTop w:val="0"/>
          <w:marBottom w:val="0"/>
          <w:divBdr>
            <w:top w:val="none" w:sz="0" w:space="0" w:color="auto"/>
            <w:left w:val="none" w:sz="0" w:space="0" w:color="auto"/>
            <w:bottom w:val="none" w:sz="0" w:space="0" w:color="auto"/>
            <w:right w:val="none" w:sz="0" w:space="0" w:color="auto"/>
          </w:divBdr>
          <w:divsChild>
            <w:div w:id="330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Montrimaite</dc:creator>
  <cp:lastModifiedBy>Ieva Montrimaite</cp:lastModifiedBy>
  <cp:revision>1</cp:revision>
  <dcterms:created xsi:type="dcterms:W3CDTF">2018-03-21T12:05:00Z</dcterms:created>
  <dcterms:modified xsi:type="dcterms:W3CDTF">2018-03-21T12:06:00Z</dcterms:modified>
</cp:coreProperties>
</file>