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52" w:rsidRPr="00115B52" w:rsidRDefault="00115B52" w:rsidP="00115B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TORM </w:t>
      </w:r>
      <w:proofErr w:type="spell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etablerer</w:t>
      </w:r>
      <w:proofErr w:type="spellEnd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joint venture med Guangzhou Shipyard International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og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ME Production med </w:t>
      </w:r>
      <w:proofErr w:type="spell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henblik</w:t>
      </w:r>
      <w:proofErr w:type="spellEnd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at </w:t>
      </w:r>
      <w:proofErr w:type="spell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fremstille</w:t>
      </w:r>
      <w:proofErr w:type="spellEnd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scrubbere</w:t>
      </w:r>
      <w:proofErr w:type="spellEnd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reduktion</w:t>
      </w:r>
      <w:proofErr w:type="spellEnd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kern w:val="36"/>
          <w:sz w:val="36"/>
          <w:szCs w:val="36"/>
        </w:rPr>
        <w:t>svovludledning</w:t>
      </w:r>
      <w:proofErr w:type="spellEnd"/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TORM plc (“TORM” symbol: TRMD)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har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etableret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et</w:t>
      </w:r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joint venture med ME Production, der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førende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producent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Guangzhou Shipyard International (GSI),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indgår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China State Shipbuilding Corporation-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koncernen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nye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joint venture, ME Production China,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skal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fremstille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installere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Kina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levere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række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kunder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den maritime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industri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montering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nybygninger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eftermontering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eksisterende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TORM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har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ejerandel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27</w:t>
      </w:r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,5</w:t>
      </w:r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%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nye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joint venture.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“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Vores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langvarige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samarbejde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med GSI </w:t>
      </w:r>
      <w:proofErr w:type="spellStart"/>
      <w:proofErr w:type="gram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og</w:t>
      </w:r>
      <w:proofErr w:type="spellEnd"/>
      <w:proofErr w:type="gram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ME Production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har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medvirket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få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dette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unikke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joint venture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etableret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tid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hvor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efterspørgslen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efter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forventes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stige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markant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Dette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strategiske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tiltag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betyder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, at </w:t>
      </w:r>
      <w:proofErr w:type="gram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vi</w:t>
      </w:r>
      <w:proofErr w:type="gram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får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væsentlig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økonomisk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interesse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virksomhed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har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potentiale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blive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stor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, international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scrubberproducent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betyder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ligeledes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, at TORM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vil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kunne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opnå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lavere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priser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vores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investering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forvejen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hurtigt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tjener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sig </w:t>
      </w:r>
      <w:proofErr w:type="spellStart"/>
      <w:proofErr w:type="gram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ind</w:t>
      </w:r>
      <w:proofErr w:type="spellEnd"/>
      <w:proofErr w:type="gram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,” 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udtaler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Executive Director of TORM Jacob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Meldgaard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. 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TORM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har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bestilt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alt 16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hos ME Production China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underskrevet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hensigtserklæring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om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købe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endnu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18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hos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nye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joint venture. Med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disse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ordrer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TORM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installere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mindst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21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potentielt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op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39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svarende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ca.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halvdelen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TORMs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flåde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Investeringen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skønnes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gennemsnit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beløbe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sig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under USD 2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mio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per</w:t>
      </w:r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scrubber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inklusive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installationsomkostninger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TORM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forventer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kunne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opnå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finansiering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væsentlig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del</w:t>
      </w:r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denne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investering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“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glæder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os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meget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indgå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gram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et</w:t>
      </w:r>
      <w:proofErr w:type="gram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joint venture,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kan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udnytte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synergierne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mellem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førende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scrubberproducent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, et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verdens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største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skibsværfter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TORM,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et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verdens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største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produkttankrederier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Ud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over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økonomiske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potentiale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sikrer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dette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joint venture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os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adgang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af</w:t>
      </w:r>
      <w:proofErr w:type="spellEnd"/>
      <w:proofErr w:type="gram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høj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kvalitet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hvilket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kan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blive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udfordring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for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nogle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rederier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tiden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frem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2020,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fristen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for at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overholde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IMO's </w:t>
      </w:r>
      <w:proofErr w:type="spellStart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svovlkrav</w:t>
      </w:r>
      <w:proofErr w:type="spellEnd"/>
      <w:r w:rsidRPr="00115B52">
        <w:rPr>
          <w:rFonts w:ascii="Arial" w:eastAsia="Times New Roman" w:hAnsi="Arial" w:cs="Arial"/>
          <w:i/>
          <w:iCs/>
          <w:color w:val="000000"/>
          <w:sz w:val="23"/>
          <w:szCs w:val="23"/>
        </w:rPr>
        <w:t>,”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udtaler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Jesper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S. Jensen,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teknisk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direktør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TORM.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IMO 2020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  <w:u w:val="single"/>
        </w:rPr>
        <w:t>svovlregulering</w:t>
      </w:r>
      <w:proofErr w:type="spellEnd"/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Fra 1.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januar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2020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sænkes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grænsen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for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svovludledning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fra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brændstof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anvendes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for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særligt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udpegede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emissionskontrolområder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0,50%.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reducere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udledningen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svovloxider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fra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væsentligt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hvilket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forventes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at give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stor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sundheds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-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miljøgevinst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for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kloden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Luftforureningen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begrænses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ved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montere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systemer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renser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udstødningsgasserne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såkaldte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vasker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svovloxider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udstødningsgasserne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fra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motor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kedel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Et</w:t>
      </w:r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har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scrubber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monteret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fortsat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anvende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billigere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fuelolie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fordi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scrubberen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reducerer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svovloxidudledningen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lastRenderedPageBreak/>
        <w:t>Baseret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nuværende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forventninger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fremtidige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prisforskelle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brændstof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med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højt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lavt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svovlindhold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forventer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TORM,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montering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scrubbere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være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miljømæssigt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økonomisk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fordelagtigt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tiltag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hurtigt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tjene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sig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ind.</w:t>
      </w:r>
      <w:bookmarkStart w:id="0" w:name="_GoBack"/>
      <w:bookmarkEnd w:id="0"/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3680"/>
      </w:tblGrid>
      <w:tr w:rsidR="00115B52" w:rsidRPr="00115B52" w:rsidTr="00115B52">
        <w:tc>
          <w:tcPr>
            <w:tcW w:w="5670" w:type="dxa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115B52" w:rsidRPr="00115B52" w:rsidRDefault="00115B52" w:rsidP="00115B5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115B52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Kontakt</w:t>
            </w:r>
            <w:proofErr w:type="spellEnd"/>
            <w:r w:rsidRPr="00115B52">
              <w:rPr>
                <w:rFonts w:ascii="Arial" w:eastAsia="Times New Roman" w:hAnsi="Arial" w:cs="Arial"/>
                <w:sz w:val="23"/>
                <w:szCs w:val="23"/>
              </w:rPr>
              <w:br/>
              <w:t xml:space="preserve">Jacob Melgaard, Executive Director, </w:t>
            </w:r>
            <w:proofErr w:type="spellStart"/>
            <w:r w:rsidRPr="00115B52">
              <w:rPr>
                <w:rFonts w:ascii="Arial" w:eastAsia="Times New Roman" w:hAnsi="Arial" w:cs="Arial"/>
                <w:sz w:val="23"/>
                <w:szCs w:val="23"/>
              </w:rPr>
              <w:t>tlf</w:t>
            </w:r>
            <w:proofErr w:type="spellEnd"/>
            <w:r w:rsidRPr="00115B52">
              <w:rPr>
                <w:rFonts w:ascii="Arial" w:eastAsia="Times New Roman" w:hAnsi="Arial" w:cs="Arial"/>
                <w:sz w:val="23"/>
                <w:szCs w:val="23"/>
              </w:rPr>
              <w:t>.:  +45 3917 9200</w:t>
            </w:r>
            <w:r w:rsidRPr="00115B52">
              <w:rPr>
                <w:rFonts w:ascii="Arial" w:eastAsia="Times New Roman" w:hAnsi="Arial" w:cs="Arial"/>
                <w:sz w:val="23"/>
                <w:szCs w:val="23"/>
              </w:rPr>
              <w:br/>
            </w:r>
            <w:proofErr w:type="spellStart"/>
            <w:r w:rsidRPr="00115B52">
              <w:rPr>
                <w:rFonts w:ascii="Arial" w:eastAsia="Times New Roman" w:hAnsi="Arial" w:cs="Arial"/>
                <w:sz w:val="23"/>
                <w:szCs w:val="23"/>
              </w:rPr>
              <w:t>Jesper</w:t>
            </w:r>
            <w:proofErr w:type="spellEnd"/>
            <w:r w:rsidRPr="00115B52">
              <w:rPr>
                <w:rFonts w:ascii="Arial" w:eastAsia="Times New Roman" w:hAnsi="Arial" w:cs="Arial"/>
                <w:sz w:val="23"/>
                <w:szCs w:val="23"/>
              </w:rPr>
              <w:t xml:space="preserve"> S. Jensen, Head of Technical Division, </w:t>
            </w:r>
            <w:proofErr w:type="spellStart"/>
            <w:r w:rsidRPr="00115B52">
              <w:rPr>
                <w:rFonts w:ascii="Arial" w:eastAsia="Times New Roman" w:hAnsi="Arial" w:cs="Arial"/>
                <w:sz w:val="23"/>
                <w:szCs w:val="23"/>
              </w:rPr>
              <w:t>tlf</w:t>
            </w:r>
            <w:proofErr w:type="spellEnd"/>
            <w:r w:rsidRPr="00115B52">
              <w:rPr>
                <w:rFonts w:ascii="Arial" w:eastAsia="Times New Roman" w:hAnsi="Arial" w:cs="Arial"/>
                <w:sz w:val="23"/>
                <w:szCs w:val="23"/>
              </w:rPr>
              <w:t>.:  +45 3917 9200</w:t>
            </w:r>
            <w:r w:rsidRPr="00115B52">
              <w:rPr>
                <w:rFonts w:ascii="Arial" w:eastAsia="Times New Roman" w:hAnsi="Arial" w:cs="Arial"/>
                <w:sz w:val="23"/>
                <w:szCs w:val="23"/>
              </w:rPr>
              <w:br/>
            </w:r>
          </w:p>
        </w:tc>
        <w:tc>
          <w:tcPr>
            <w:tcW w:w="3680" w:type="dxa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115B52" w:rsidRPr="00115B52" w:rsidRDefault="00115B52" w:rsidP="00115B5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115B52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TORM plc</w:t>
            </w:r>
            <w:r w:rsidRPr="00115B52">
              <w:rPr>
                <w:rFonts w:ascii="Arial" w:eastAsia="Times New Roman" w:hAnsi="Arial" w:cs="Arial"/>
                <w:sz w:val="23"/>
                <w:szCs w:val="23"/>
              </w:rPr>
              <w:br/>
              <w:t>Birchin Court, 20 Birchin Lane</w:t>
            </w:r>
            <w:r w:rsidRPr="00115B52">
              <w:rPr>
                <w:rFonts w:ascii="Arial" w:eastAsia="Times New Roman" w:hAnsi="Arial" w:cs="Arial"/>
                <w:sz w:val="23"/>
                <w:szCs w:val="23"/>
              </w:rPr>
              <w:br/>
              <w:t>London EC3V 9DU, United Kingdom</w:t>
            </w:r>
            <w:r w:rsidRPr="00115B52">
              <w:rPr>
                <w:rFonts w:ascii="Arial" w:eastAsia="Times New Roman" w:hAnsi="Arial" w:cs="Arial"/>
                <w:sz w:val="23"/>
                <w:szCs w:val="23"/>
              </w:rPr>
              <w:br/>
              <w:t>Tel.: +45 3917 9200 / Fax: +45 3917 9393</w:t>
            </w:r>
            <w:r w:rsidRPr="00115B52">
              <w:rPr>
                <w:rFonts w:ascii="Arial" w:eastAsia="Times New Roman" w:hAnsi="Arial" w:cs="Arial"/>
                <w:sz w:val="23"/>
                <w:szCs w:val="23"/>
              </w:rPr>
              <w:br/>
              <w:t>www.torm-plc.com</w:t>
            </w:r>
          </w:p>
        </w:tc>
      </w:tr>
    </w:tbl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b/>
          <w:bCs/>
          <w:color w:val="000000"/>
          <w:sz w:val="23"/>
          <w:szCs w:val="23"/>
        </w:rPr>
        <w:t>OM TORM </w:t>
      </w:r>
      <w:r w:rsidRPr="00115B5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TORM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verdens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førende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transportører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raffinerede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olieprodukter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Rederiet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driver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samlet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flåde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ca. 80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moderne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med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høje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krav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sikkerhed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miljøansvar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kundeservice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TORM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blev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grundlagt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1889.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Selskabet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har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aktiviteter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hele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verden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TORM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børsnoteret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NASDAQ Copenhagen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NASDAQ New York (symbol: TRMD A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TRMD). For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yderligere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oplysninger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se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venligst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www.torm.com.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b/>
          <w:bCs/>
          <w:color w:val="000000"/>
          <w:sz w:val="23"/>
          <w:szCs w:val="23"/>
        </w:rPr>
        <w:t>SAFE HARBOR FREMADRETTEDE UDSAGN</w:t>
      </w:r>
      <w:r w:rsidRPr="00115B5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Emner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behandlet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denne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meddelelse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indeholde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fremadrettede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Fremadrettede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denne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pressemeddelelse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afspejler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vores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nuværende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syn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fremtidige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begivenheder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finansiel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præstationsevne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omfatte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udtalelser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vedrørende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planer,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mål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strategier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fremtidige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begivenheder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eller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præstationsevne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underliggende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forudsætninger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andre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end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om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historiske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fakta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Ord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vendinger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mener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",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forventer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",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har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hensigt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",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skønner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",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forudser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",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planlægger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",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mulig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",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",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kunne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", "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afventer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"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lignende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angiver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generelt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at der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tale om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fremadrettede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De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fremadrettede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denne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meddelelse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baseret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række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forudsætninger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hvoraf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mange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igen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baseret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yderligere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forudsætninger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herunder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men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ikke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begrænset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ledelsens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behandling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historiske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driftsdata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data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indeholdt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vores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databaser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samt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data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fra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tredjeparter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Selv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om</w:t>
      </w:r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Selskabet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mener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disse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forudsætninger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var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rimelige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da de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blev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udformet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Selskabet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ikke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garantere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opnå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disse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forventninger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forudsætningerne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genstand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for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væsentlige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usikkerhedsmomenter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umulige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forudsige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for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vores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kontrol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Vigtige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faktorer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efter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vores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mening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medføre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resultaterne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afviger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væsentligt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fra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omtalt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fremadrettede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omfatter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verdensøkonomiens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enkeltvalutaers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styrke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udsving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charterrater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skibsværdier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ændringer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efterspørgslen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efter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”ton-mil”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olie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fragtet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med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olietankere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effekten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ændringer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OPECs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produktionsniveau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globale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forbrug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oplagring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olie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ændringer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efterspørgslen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der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påvirke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timecharterers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holdning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planlagt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ikke-planlagt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dokning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ændringer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TORMs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driftsomkostninger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herunder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bunkerpriser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doknings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-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forsikringsomkostninger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ændringer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reguleringen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skibsdriften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herunder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krav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om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dobbeltskrogede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tankskibe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eller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handlinger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foretaget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regulerende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myndigheder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muligt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ansvar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fra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verserende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eller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fremtidige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søgsmål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generelle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politiske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forhold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såvel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nationalt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internationalt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potentielle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trafik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-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driftsforstyrrelser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shippingruter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grundet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ulykker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politiske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begivenheder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eller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terrorhandlinger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15B52">
        <w:rPr>
          <w:rFonts w:ascii="Arial" w:eastAsia="Times New Roman" w:hAnsi="Arial" w:cs="Arial"/>
          <w:color w:val="000000"/>
          <w:sz w:val="23"/>
          <w:szCs w:val="23"/>
        </w:rPr>
        <w:lastRenderedPageBreak/>
        <w:t xml:space="preserve">I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lyset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disse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risici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usikkerheder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bør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man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ikke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lægge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for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stor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vægt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fremadrettede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denne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meddelelse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fordi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om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begivenheder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ikke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med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sikkerhed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vides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forekomme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beskrevet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eller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overhovedet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Disse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fremadrettede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ikke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garantier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for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vores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fremtidige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indtjening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vores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resultater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fremtidige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udvikling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kan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variere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væsentligt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fra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forventningerne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fremadrettede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Selskabet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påtager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sig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ingen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forpligtelse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offentliggøre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eventuelle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ændringer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til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disse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fremadrettede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udsagn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som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afspejler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begivenheder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eller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omstændigheder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efter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datoen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for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offentliggørelsen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eller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at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afspejle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forekomsten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proofErr w:type="gram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uventede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begivenheder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undtaget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i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omfang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det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kræves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af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gældende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lov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eller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115B52">
        <w:rPr>
          <w:rFonts w:ascii="Arial" w:eastAsia="Times New Roman" w:hAnsi="Arial" w:cs="Arial"/>
          <w:color w:val="000000"/>
          <w:sz w:val="23"/>
          <w:szCs w:val="23"/>
        </w:rPr>
        <w:t>bestemmelse</w:t>
      </w:r>
      <w:proofErr w:type="spellEnd"/>
      <w:r w:rsidRPr="00115B52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115B52" w:rsidRPr="00115B52" w:rsidRDefault="00115B52" w:rsidP="00115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115B52">
        <w:rPr>
          <w:rFonts w:ascii="Arial" w:eastAsia="Times New Roman" w:hAnsi="Arial" w:cs="Arial"/>
          <w:b/>
          <w:bCs/>
          <w:color w:val="000000"/>
          <w:sz w:val="23"/>
          <w:szCs w:val="23"/>
        </w:rPr>
        <w:t>Vedhæftet</w:t>
      </w:r>
      <w:proofErr w:type="spellEnd"/>
      <w:r w:rsidRPr="00115B5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fil</w:t>
      </w:r>
    </w:p>
    <w:p w:rsidR="00115B52" w:rsidRPr="00115B52" w:rsidRDefault="00115B52" w:rsidP="0011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5" w:tgtFrame="_blank" w:history="1">
        <w:r w:rsidRPr="00115B5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 xml:space="preserve">16-2018 - TORM </w:t>
        </w:r>
        <w:proofErr w:type="spellStart"/>
        <w:r w:rsidRPr="00115B5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etablerer</w:t>
        </w:r>
        <w:proofErr w:type="spellEnd"/>
        <w:r w:rsidRPr="00115B5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 xml:space="preserve"> JV med GSI </w:t>
        </w:r>
        <w:proofErr w:type="spellStart"/>
        <w:r w:rsidRPr="00115B5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og</w:t>
        </w:r>
        <w:proofErr w:type="spellEnd"/>
        <w:r w:rsidRPr="00115B5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 xml:space="preserve"> ME - DK</w:t>
        </w:r>
      </w:hyperlink>
    </w:p>
    <w:p w:rsidR="003641E1" w:rsidRDefault="00115B52"/>
    <w:sectPr w:rsidR="00364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981"/>
    <w:multiLevelType w:val="multilevel"/>
    <w:tmpl w:val="1E9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52"/>
    <w:rsid w:val="00115B52"/>
    <w:rsid w:val="00264228"/>
    <w:rsid w:val="00426A7F"/>
    <w:rsid w:val="00F4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1499"/>
  <w15:chartTrackingRefBased/>
  <w15:docId w15:val="{FE8164BA-410D-496A-98AE-DAB4F2E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5B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B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B52"/>
    <w:rPr>
      <w:i/>
      <w:iCs/>
    </w:rPr>
  </w:style>
  <w:style w:type="character" w:styleId="Strong">
    <w:name w:val="Strong"/>
    <w:basedOn w:val="DefaultParagraphFont"/>
    <w:uiPriority w:val="22"/>
    <w:qFormat/>
    <w:rsid w:val="00115B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5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library-eu.nasdaq.com/Resource/Download/800cde91-8c2b-4e5a-aacf-4870021bc2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Nasdaq Inc.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Urinovič</dc:creator>
  <cp:keywords/>
  <dc:description/>
  <cp:lastModifiedBy>Aleksandra Urinovič</cp:lastModifiedBy>
  <cp:revision>1</cp:revision>
  <dcterms:created xsi:type="dcterms:W3CDTF">2018-11-12T13:04:00Z</dcterms:created>
  <dcterms:modified xsi:type="dcterms:W3CDTF">2018-11-12T13:04:00Z</dcterms:modified>
</cp:coreProperties>
</file>