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AD4A" w14:textId="4FE636B2" w:rsidR="00610A4F" w:rsidRPr="00D65EB2" w:rsidRDefault="000D5151" w:rsidP="00156E3E">
      <w:pPr>
        <w:spacing w:after="0" w:line="240" w:lineRule="auto"/>
        <w:rPr>
          <w:rFonts w:ascii="Arial Narrow" w:hAnsi="Arial Narrow"/>
          <w:b/>
          <w:bCs/>
          <w:lang w:val="en-GB"/>
        </w:rPr>
      </w:pPr>
      <w:proofErr w:type="spellStart"/>
      <w:r w:rsidRPr="00D65EB2">
        <w:rPr>
          <w:rFonts w:ascii="Arial Narrow" w:hAnsi="Arial Narrow"/>
          <w:b/>
          <w:bCs/>
          <w:lang w:val="en-GB"/>
        </w:rPr>
        <w:t>ad</w:t>
      </w:r>
      <w:proofErr w:type="spellEnd"/>
      <w:r w:rsidRPr="00D65EB2">
        <w:rPr>
          <w:rFonts w:ascii="Arial Narrow" w:hAnsi="Arial Narrow"/>
          <w:b/>
          <w:bCs/>
          <w:lang w:val="en-GB"/>
        </w:rPr>
        <w:t xml:space="preserve"> pepper media International N.V.: Tripled revenue and </w:t>
      </w:r>
      <w:r w:rsidR="00C530DD" w:rsidRPr="00D65EB2">
        <w:rPr>
          <w:rFonts w:ascii="Arial Narrow" w:hAnsi="Arial Narrow"/>
          <w:b/>
          <w:bCs/>
          <w:lang w:val="en-GB"/>
        </w:rPr>
        <w:t xml:space="preserve">record-high EBITDA </w:t>
      </w:r>
      <w:r w:rsidRPr="00D65EB2">
        <w:rPr>
          <w:rFonts w:ascii="Arial Narrow" w:hAnsi="Arial Narrow"/>
          <w:b/>
          <w:bCs/>
          <w:lang w:val="en-GB"/>
        </w:rPr>
        <w:t>in the third quarter of 2025</w:t>
      </w:r>
    </w:p>
    <w:p w14:paraId="01D66D2F" w14:textId="77777777" w:rsidR="00156E3E" w:rsidRPr="00D65EB2" w:rsidRDefault="00156E3E" w:rsidP="00156E3E">
      <w:pPr>
        <w:spacing w:after="0" w:line="240" w:lineRule="auto"/>
        <w:rPr>
          <w:rFonts w:ascii="Arial Narrow" w:hAnsi="Arial Narrow"/>
          <w:lang w:val="en-GB"/>
        </w:rPr>
      </w:pPr>
    </w:p>
    <w:p w14:paraId="14B90B21" w14:textId="17BD04A0" w:rsidR="00610A4F" w:rsidRPr="00D65EB2" w:rsidRDefault="000D5151" w:rsidP="00156E3E">
      <w:pPr>
        <w:spacing w:after="0" w:line="240" w:lineRule="auto"/>
        <w:rPr>
          <w:rFonts w:ascii="Arial Narrow" w:hAnsi="Arial Narrow"/>
          <w:lang w:val="en-GB"/>
        </w:rPr>
      </w:pPr>
      <w:r w:rsidRPr="00D65EB2">
        <w:rPr>
          <w:rFonts w:ascii="Arial Narrow" w:hAnsi="Arial Narrow"/>
          <w:lang w:val="en-GB"/>
        </w:rPr>
        <w:t xml:space="preserve">Nuremberg, Amsterdam, </w:t>
      </w:r>
      <w:r w:rsidR="3ACA49CD" w:rsidRPr="44385C67">
        <w:rPr>
          <w:rFonts w:ascii="Arial Narrow" w:hAnsi="Arial Narrow"/>
          <w:lang w:val="en-GB"/>
        </w:rPr>
        <w:t>20</w:t>
      </w:r>
      <w:r w:rsidRPr="00D65EB2">
        <w:rPr>
          <w:rFonts w:ascii="Arial Narrow" w:hAnsi="Arial Narrow"/>
          <w:lang w:val="en-GB"/>
        </w:rPr>
        <w:t xml:space="preserve"> October 2025</w:t>
      </w:r>
    </w:p>
    <w:p w14:paraId="2A961F92" w14:textId="77777777" w:rsidR="00156E3E" w:rsidRPr="00D65EB2" w:rsidRDefault="00156E3E" w:rsidP="00156E3E">
      <w:pPr>
        <w:spacing w:after="0" w:line="240" w:lineRule="auto"/>
        <w:rPr>
          <w:rFonts w:ascii="Arial Narrow" w:hAnsi="Arial Narrow"/>
          <w:lang w:val="en-GB"/>
        </w:rPr>
      </w:pPr>
    </w:p>
    <w:p w14:paraId="7B41374C" w14:textId="77777777" w:rsidR="00E74E65" w:rsidRPr="00D65EB2" w:rsidRDefault="00E74E65" w:rsidP="00156E3E">
      <w:pPr>
        <w:spacing w:after="0" w:line="240" w:lineRule="auto"/>
        <w:rPr>
          <w:rFonts w:ascii="Arial Narrow" w:hAnsi="Arial Narrow"/>
          <w:lang w:val="en-GB"/>
        </w:rPr>
      </w:pPr>
    </w:p>
    <w:p w14:paraId="5E03D743" w14:textId="184C76E8" w:rsidR="00610A4F" w:rsidRPr="00D65EB2" w:rsidRDefault="00511D6F" w:rsidP="00156E3E">
      <w:pPr>
        <w:spacing w:after="0" w:line="240" w:lineRule="auto"/>
        <w:jc w:val="both"/>
        <w:rPr>
          <w:rFonts w:ascii="Arial Narrow" w:hAnsi="Arial Narrow"/>
          <w:lang w:val="en-GB"/>
        </w:rPr>
      </w:pPr>
      <w:proofErr w:type="spellStart"/>
      <w:r w:rsidRPr="00D65EB2">
        <w:rPr>
          <w:rFonts w:ascii="Arial Narrow" w:hAnsi="Arial Narrow"/>
          <w:lang w:val="en-GB"/>
        </w:rPr>
        <w:t>ad</w:t>
      </w:r>
      <w:proofErr w:type="spellEnd"/>
      <w:r w:rsidRPr="00D65EB2">
        <w:rPr>
          <w:rFonts w:ascii="Arial Narrow" w:hAnsi="Arial Narrow"/>
          <w:lang w:val="en-GB"/>
        </w:rPr>
        <w:t xml:space="preserve"> pepper Group, one of the leading performance marketing companies in Europe, </w:t>
      </w:r>
      <w:r w:rsidR="000D5151" w:rsidRPr="00D65EB2">
        <w:rPr>
          <w:rFonts w:ascii="Arial Narrow" w:hAnsi="Arial Narrow"/>
          <w:lang w:val="en-GB"/>
        </w:rPr>
        <w:t xml:space="preserve">generated revenue of EUR 16,969k in the third quarter (Q3 2024: EUR 5,224k), representing </w:t>
      </w:r>
      <w:r w:rsidR="00B91D9C" w:rsidRPr="00657AEC">
        <w:rPr>
          <w:rFonts w:ascii="Arial Narrow" w:hAnsi="Arial Narrow"/>
          <w:lang w:val="en-GB"/>
        </w:rPr>
        <w:t>approximately a t</w:t>
      </w:r>
      <w:r w:rsidR="00B91D9C" w:rsidRPr="00D65EB2">
        <w:rPr>
          <w:rFonts w:ascii="Arial Narrow" w:hAnsi="Arial Narrow"/>
          <w:lang w:val="en-GB"/>
        </w:rPr>
        <w:t>hreefold increase</w:t>
      </w:r>
      <w:r w:rsidR="000D5151" w:rsidRPr="00D65EB2">
        <w:rPr>
          <w:rFonts w:ascii="Arial Narrow" w:hAnsi="Arial Narrow"/>
          <w:lang w:val="en-GB"/>
        </w:rPr>
        <w:t xml:space="preserve">. For the first time, </w:t>
      </w:r>
      <w:r w:rsidR="006B2D42">
        <w:rPr>
          <w:rFonts w:ascii="Arial Narrow" w:hAnsi="Arial Narrow"/>
          <w:lang w:val="en-GB"/>
        </w:rPr>
        <w:t>rev</w:t>
      </w:r>
      <w:r w:rsidR="009D4259">
        <w:rPr>
          <w:rFonts w:ascii="Arial Narrow" w:hAnsi="Arial Narrow"/>
          <w:lang w:val="en-GB"/>
        </w:rPr>
        <w:t>enue</w:t>
      </w:r>
      <w:r w:rsidR="000D5151" w:rsidRPr="00D65EB2">
        <w:rPr>
          <w:rFonts w:ascii="Arial Narrow" w:hAnsi="Arial Narrow"/>
          <w:lang w:val="en-GB"/>
        </w:rPr>
        <w:t xml:space="preserve"> includes the full three-month contribution from the solute segment, amounting to EUR 11,582k (Q3 2024: n/a).</w:t>
      </w:r>
    </w:p>
    <w:p w14:paraId="48AE7048" w14:textId="77777777" w:rsidR="00156E3E" w:rsidRPr="00D65EB2" w:rsidRDefault="00156E3E" w:rsidP="00156E3E">
      <w:pPr>
        <w:spacing w:after="0" w:line="240" w:lineRule="auto"/>
        <w:jc w:val="both"/>
        <w:rPr>
          <w:rFonts w:ascii="Arial Narrow" w:hAnsi="Arial Narrow"/>
          <w:lang w:val="en-GB"/>
        </w:rPr>
      </w:pPr>
    </w:p>
    <w:p w14:paraId="1CE146B7" w14:textId="487A6FD5" w:rsidR="00610A4F" w:rsidRPr="00D65EB2" w:rsidRDefault="000D5151" w:rsidP="00156E3E">
      <w:pPr>
        <w:spacing w:after="0" w:line="240" w:lineRule="auto"/>
        <w:jc w:val="both"/>
        <w:rPr>
          <w:rFonts w:ascii="Arial Narrow" w:hAnsi="Arial Narrow"/>
          <w:lang w:val="en-GB"/>
        </w:rPr>
      </w:pPr>
      <w:r w:rsidRPr="00D65EB2">
        <w:rPr>
          <w:rFonts w:ascii="Arial Narrow" w:hAnsi="Arial Narrow"/>
          <w:lang w:val="en-GB"/>
        </w:rPr>
        <w:t>Group EBITDA for the third quarter also nearly tripled to EUR 1,2</w:t>
      </w:r>
      <w:r w:rsidR="00AB660C">
        <w:rPr>
          <w:rFonts w:ascii="Arial Narrow" w:hAnsi="Arial Narrow"/>
          <w:lang w:val="en-GB"/>
        </w:rPr>
        <w:t>84</w:t>
      </w:r>
      <w:r w:rsidRPr="00D65EB2">
        <w:rPr>
          <w:rFonts w:ascii="Arial Narrow" w:hAnsi="Arial Narrow"/>
          <w:lang w:val="en-GB"/>
        </w:rPr>
        <w:t>k (Q3 2024: EUR 485k), mainly due to the acquisition of solute. The segment EBITDAs for this period were as follows: solute generated EUR 9</w:t>
      </w:r>
      <w:r w:rsidR="003C304A">
        <w:rPr>
          <w:rFonts w:ascii="Arial Narrow" w:hAnsi="Arial Narrow"/>
          <w:lang w:val="en-GB"/>
        </w:rPr>
        <w:t>71</w:t>
      </w:r>
      <w:r w:rsidRPr="00D65EB2">
        <w:rPr>
          <w:rFonts w:ascii="Arial Narrow" w:hAnsi="Arial Narrow"/>
          <w:lang w:val="en-GB"/>
        </w:rPr>
        <w:t>k (Q3 2024: n/a), Webgains achieved EUR 4</w:t>
      </w:r>
      <w:r w:rsidR="003C304A">
        <w:rPr>
          <w:rFonts w:ascii="Arial Narrow" w:hAnsi="Arial Narrow"/>
          <w:lang w:val="en-GB"/>
        </w:rPr>
        <w:t>94</w:t>
      </w:r>
      <w:r w:rsidRPr="00D65EB2">
        <w:rPr>
          <w:rFonts w:ascii="Arial Narrow" w:hAnsi="Arial Narrow"/>
          <w:lang w:val="en-GB"/>
        </w:rPr>
        <w:t xml:space="preserve">k (Q3 2024: EUR 642k), and the ad agents and ad pepper segments </w:t>
      </w:r>
      <w:r w:rsidR="00980D67">
        <w:rPr>
          <w:rFonts w:ascii="Arial Narrow" w:hAnsi="Arial Narrow"/>
          <w:lang w:val="en-GB"/>
        </w:rPr>
        <w:t xml:space="preserve">generated </w:t>
      </w:r>
      <w:r w:rsidR="0024778F">
        <w:rPr>
          <w:rFonts w:ascii="Arial Narrow" w:hAnsi="Arial Narrow"/>
          <w:lang w:val="en-GB"/>
        </w:rPr>
        <w:t>a combined EBITDA of</w:t>
      </w:r>
      <w:r w:rsidRPr="00D65EB2">
        <w:rPr>
          <w:rFonts w:ascii="Arial Narrow" w:hAnsi="Arial Narrow"/>
          <w:lang w:val="en-GB"/>
        </w:rPr>
        <w:t xml:space="preserve"> EUR 4</w:t>
      </w:r>
      <w:r w:rsidR="00861CFF">
        <w:rPr>
          <w:rFonts w:ascii="Arial Narrow" w:hAnsi="Arial Narrow"/>
          <w:lang w:val="en-GB"/>
        </w:rPr>
        <w:t>77</w:t>
      </w:r>
      <w:r w:rsidRPr="00D65EB2">
        <w:rPr>
          <w:rFonts w:ascii="Arial Narrow" w:hAnsi="Arial Narrow"/>
          <w:lang w:val="en-GB"/>
        </w:rPr>
        <w:t>k (Q3 2024: EUR 197k).</w:t>
      </w:r>
    </w:p>
    <w:p w14:paraId="766D73F6" w14:textId="77777777" w:rsidR="00156E3E" w:rsidRPr="00D65EB2" w:rsidRDefault="00156E3E" w:rsidP="00156E3E">
      <w:pPr>
        <w:spacing w:after="0" w:line="240" w:lineRule="auto"/>
        <w:jc w:val="both"/>
        <w:rPr>
          <w:rFonts w:ascii="Arial Narrow" w:hAnsi="Arial Narrow"/>
          <w:lang w:val="en-GB"/>
        </w:rPr>
      </w:pPr>
    </w:p>
    <w:p w14:paraId="026ED1CA" w14:textId="2E05DFEF" w:rsidR="00610A4F" w:rsidRPr="00D65EB2" w:rsidRDefault="000D5151" w:rsidP="00156E3E">
      <w:pPr>
        <w:spacing w:after="0" w:line="240" w:lineRule="auto"/>
        <w:jc w:val="both"/>
        <w:rPr>
          <w:rFonts w:ascii="Arial Narrow" w:hAnsi="Arial Narrow"/>
          <w:lang w:val="en-GB"/>
        </w:rPr>
      </w:pPr>
      <w:r w:rsidRPr="00D65EB2">
        <w:rPr>
          <w:rFonts w:ascii="Arial Narrow" w:hAnsi="Arial Narrow"/>
          <w:lang w:val="en-GB"/>
        </w:rPr>
        <w:t xml:space="preserve">For the entire nine-month period, Group revenue amounted to EUR </w:t>
      </w:r>
      <w:r w:rsidR="003C304A">
        <w:rPr>
          <w:rFonts w:ascii="Arial Narrow" w:hAnsi="Arial Narrow"/>
          <w:lang w:val="en-GB"/>
        </w:rPr>
        <w:t>35,060</w:t>
      </w:r>
      <w:r w:rsidRPr="00D65EB2">
        <w:rPr>
          <w:rFonts w:ascii="Arial Narrow" w:hAnsi="Arial Narrow"/>
          <w:lang w:val="en-GB"/>
        </w:rPr>
        <w:t xml:space="preserve">k (Q1–Q3 2024: EUR 15,624k) and EBITDA to EUR </w:t>
      </w:r>
      <w:r w:rsidR="009C07ED">
        <w:rPr>
          <w:rFonts w:ascii="Arial Narrow" w:hAnsi="Arial Narrow"/>
          <w:lang w:val="en-GB"/>
        </w:rPr>
        <w:t>2,153</w:t>
      </w:r>
      <w:r w:rsidRPr="00D65EB2">
        <w:rPr>
          <w:rFonts w:ascii="Arial Narrow" w:hAnsi="Arial Narrow"/>
          <w:lang w:val="en-GB"/>
        </w:rPr>
        <w:t>k (Q1–Q3 2024: EUR 1,192k).</w:t>
      </w:r>
    </w:p>
    <w:p w14:paraId="641CC7DE" w14:textId="77777777" w:rsidR="00156E3E" w:rsidRPr="00D65EB2" w:rsidRDefault="00156E3E" w:rsidP="00156E3E">
      <w:pPr>
        <w:spacing w:after="0" w:line="240" w:lineRule="auto"/>
        <w:jc w:val="both"/>
        <w:rPr>
          <w:rFonts w:ascii="Arial Narrow" w:hAnsi="Arial Narrow"/>
          <w:lang w:val="en-GB"/>
        </w:rPr>
      </w:pPr>
    </w:p>
    <w:p w14:paraId="3560155E" w14:textId="1C211825" w:rsidR="00610A4F" w:rsidRPr="00D65EB2" w:rsidRDefault="000D5151" w:rsidP="00156E3E">
      <w:pPr>
        <w:spacing w:after="0" w:line="240" w:lineRule="auto"/>
        <w:jc w:val="both"/>
        <w:rPr>
          <w:rFonts w:ascii="Arial Narrow" w:hAnsi="Arial Narrow"/>
          <w:lang w:val="en-GB"/>
        </w:rPr>
      </w:pPr>
      <w:r w:rsidRPr="00D65EB2">
        <w:rPr>
          <w:rFonts w:ascii="Arial Narrow" w:hAnsi="Arial Narrow"/>
          <w:lang w:val="en-GB"/>
        </w:rPr>
        <w:t xml:space="preserve">Looking ahead to the traditionally strongest quarter of the year, the Group expects the dynamic upward trend in both revenue and profitability to continue, further </w:t>
      </w:r>
      <w:r w:rsidR="000D43AB">
        <w:rPr>
          <w:rFonts w:ascii="Arial Narrow" w:hAnsi="Arial Narrow"/>
          <w:lang w:val="en-GB"/>
        </w:rPr>
        <w:t>accelerated</w:t>
      </w:r>
      <w:r w:rsidR="000D43AB" w:rsidRPr="00D65EB2">
        <w:rPr>
          <w:rFonts w:ascii="Arial Narrow" w:hAnsi="Arial Narrow"/>
          <w:lang w:val="en-GB"/>
        </w:rPr>
        <w:t xml:space="preserve"> </w:t>
      </w:r>
      <w:r w:rsidRPr="00D65EB2">
        <w:rPr>
          <w:rFonts w:ascii="Arial Narrow" w:hAnsi="Arial Narrow"/>
          <w:lang w:val="en-GB"/>
        </w:rPr>
        <w:t>by the recent acquisition of Checkout Charlie.</w:t>
      </w:r>
    </w:p>
    <w:p w14:paraId="6DFB891B" w14:textId="19BE3B5E" w:rsidR="4896F03F" w:rsidRDefault="4896F03F" w:rsidP="4896F03F">
      <w:pPr>
        <w:spacing w:after="0" w:line="240" w:lineRule="auto"/>
        <w:jc w:val="both"/>
        <w:rPr>
          <w:rFonts w:ascii="Arial Narrow" w:hAnsi="Arial Narrow"/>
          <w:lang w:val="en-GB"/>
        </w:rPr>
      </w:pPr>
    </w:p>
    <w:p w14:paraId="01B30129" w14:textId="16337EF4" w:rsidR="00610A4F" w:rsidRPr="00D65EB2" w:rsidRDefault="000D5151" w:rsidP="00156E3E">
      <w:pPr>
        <w:spacing w:after="0" w:line="240" w:lineRule="auto"/>
        <w:jc w:val="both"/>
        <w:rPr>
          <w:rFonts w:ascii="Arial Narrow" w:hAnsi="Arial Narrow"/>
          <w:lang w:val="en-GB"/>
        </w:rPr>
      </w:pPr>
      <w:r w:rsidRPr="00D65EB2">
        <w:rPr>
          <w:rFonts w:ascii="Arial Narrow" w:hAnsi="Arial Narrow"/>
          <w:lang w:val="en-GB"/>
        </w:rPr>
        <w:t xml:space="preserve">The liquidity reserve remained at a very high level of </w:t>
      </w:r>
      <w:r w:rsidRPr="00192511">
        <w:rPr>
          <w:rFonts w:ascii="Arial Narrow" w:hAnsi="Arial Narrow"/>
          <w:lang w:val="en-GB"/>
        </w:rPr>
        <w:t xml:space="preserve">EUR </w:t>
      </w:r>
      <w:r w:rsidR="009C07ED" w:rsidRPr="00192511">
        <w:rPr>
          <w:rFonts w:ascii="Arial Narrow" w:hAnsi="Arial Narrow"/>
          <w:lang w:val="en-GB"/>
        </w:rPr>
        <w:t>27,</w:t>
      </w:r>
      <w:r w:rsidR="00192511" w:rsidRPr="00192511">
        <w:rPr>
          <w:rFonts w:ascii="Arial Narrow" w:hAnsi="Arial Narrow"/>
          <w:lang w:val="en-GB"/>
        </w:rPr>
        <w:t>26</w:t>
      </w:r>
      <w:r w:rsidR="00192511" w:rsidRPr="00994476">
        <w:rPr>
          <w:rFonts w:ascii="Arial Narrow" w:hAnsi="Arial Narrow"/>
          <w:lang w:val="en-GB"/>
        </w:rPr>
        <w:t>1</w:t>
      </w:r>
      <w:r w:rsidR="00192511" w:rsidRPr="00192511">
        <w:rPr>
          <w:rFonts w:ascii="Arial Narrow" w:hAnsi="Arial Narrow"/>
          <w:lang w:val="en-GB"/>
        </w:rPr>
        <w:t xml:space="preserve">k </w:t>
      </w:r>
      <w:r w:rsidRPr="00D65EB2">
        <w:rPr>
          <w:rFonts w:ascii="Arial Narrow" w:hAnsi="Arial Narrow"/>
          <w:lang w:val="en-GB"/>
        </w:rPr>
        <w:t>(Q3 2024: EUR 18,247k). There are still no liabilities to banks.</w:t>
      </w:r>
    </w:p>
    <w:p w14:paraId="2040AE51" w14:textId="77777777" w:rsidR="00156E3E" w:rsidRPr="00D65EB2" w:rsidRDefault="00156E3E" w:rsidP="00156E3E">
      <w:pPr>
        <w:spacing w:after="0" w:line="240" w:lineRule="auto"/>
        <w:jc w:val="both"/>
        <w:rPr>
          <w:rFonts w:ascii="Arial Narrow" w:hAnsi="Arial Narrow"/>
          <w:lang w:val="en-GB"/>
        </w:rPr>
      </w:pPr>
    </w:p>
    <w:p w14:paraId="3104C5C6" w14:textId="5080CCCA" w:rsidR="00610A4F" w:rsidRPr="00D65EB2" w:rsidRDefault="00075204" w:rsidP="00D65EB2">
      <w:pPr>
        <w:jc w:val="both"/>
        <w:rPr>
          <w:rFonts w:ascii="Arial Narrow" w:hAnsi="Arial Narrow"/>
          <w:lang w:val="en-GB"/>
        </w:rPr>
      </w:pPr>
      <w:r w:rsidRPr="00D65EB2">
        <w:rPr>
          <w:rFonts w:ascii="Arial Narrow" w:hAnsi="Arial Narrow"/>
          <w:lang w:val="en-GB"/>
        </w:rPr>
        <w:t>The report for the third quarter of 202</w:t>
      </w:r>
      <w:r w:rsidR="00D65EB2" w:rsidRPr="00D65EB2">
        <w:rPr>
          <w:rFonts w:ascii="Arial Narrow" w:hAnsi="Arial Narrow"/>
          <w:lang w:val="en-GB"/>
        </w:rPr>
        <w:t>5</w:t>
      </w:r>
      <w:r w:rsidRPr="00D65EB2">
        <w:rPr>
          <w:rFonts w:ascii="Arial Narrow" w:hAnsi="Arial Narrow"/>
          <w:lang w:val="en-GB"/>
        </w:rPr>
        <w:t xml:space="preserve"> will be published on </w:t>
      </w:r>
      <w:r w:rsidR="00D65EB2" w:rsidRPr="00D65EB2">
        <w:rPr>
          <w:rFonts w:ascii="Arial Narrow" w:hAnsi="Arial Narrow"/>
          <w:lang w:val="en-GB"/>
        </w:rPr>
        <w:t>18 November 2025.</w:t>
      </w:r>
    </w:p>
    <w:p w14:paraId="0D87761E" w14:textId="77777777" w:rsidR="002B6300" w:rsidRPr="00D65EB2" w:rsidRDefault="002B6300" w:rsidP="00156E3E">
      <w:pPr>
        <w:rPr>
          <w:rFonts w:ascii="Arial Narrow" w:hAnsi="Arial Narrow"/>
          <w:lang w:val="en-GB"/>
        </w:rPr>
      </w:pPr>
      <w:r w:rsidRPr="00D65EB2">
        <w:rPr>
          <w:rFonts w:ascii="Arial Narrow" w:hAnsi="Arial Narrow"/>
          <w:lang w:val="en-GB"/>
        </w:rPr>
        <w:br w:type="page"/>
      </w:r>
    </w:p>
    <w:p w14:paraId="7909066F" w14:textId="4873CBC6" w:rsidR="00D73FA6" w:rsidRPr="00D65EB2" w:rsidRDefault="000D5151" w:rsidP="00CF7156">
      <w:pPr>
        <w:rPr>
          <w:rFonts w:ascii="Arial Narrow" w:hAnsi="Arial Narrow"/>
          <w:b/>
          <w:bCs/>
          <w:lang w:val="en-GB"/>
        </w:rPr>
      </w:pPr>
      <w:r w:rsidRPr="00D65EB2">
        <w:rPr>
          <w:rFonts w:ascii="Arial Narrow" w:hAnsi="Arial Narrow"/>
          <w:b/>
          <w:bCs/>
          <w:lang w:val="en-GB"/>
        </w:rPr>
        <w:lastRenderedPageBreak/>
        <w:t xml:space="preserve">Key figures (unaudited) in </w:t>
      </w:r>
      <w:proofErr w:type="spellStart"/>
      <w:r w:rsidRPr="00D65EB2">
        <w:rPr>
          <w:rFonts w:ascii="Arial Narrow" w:hAnsi="Arial Narrow"/>
          <w:b/>
          <w:bCs/>
          <w:lang w:val="en-GB"/>
        </w:rPr>
        <w:t>EURk</w:t>
      </w:r>
      <w:proofErr w:type="spellEnd"/>
      <w:r w:rsidRPr="00D65EB2">
        <w:rPr>
          <w:rFonts w:ascii="Arial Narrow" w:hAnsi="Arial Narrow"/>
          <w:b/>
          <w:bCs/>
          <w:lang w:val="en-GB"/>
        </w:rPr>
        <w:t>:</w:t>
      </w: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300"/>
        <w:gridCol w:w="1300"/>
        <w:gridCol w:w="1300"/>
        <w:gridCol w:w="1300"/>
      </w:tblGrid>
      <w:tr w:rsidR="00D73FA6" w:rsidRPr="00D73FA6" w14:paraId="148C6EE6" w14:textId="77777777" w:rsidTr="00CF7156">
        <w:trPr>
          <w:trHeight w:val="63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CA61" w14:textId="091E618C" w:rsidR="00D73FA6" w:rsidRPr="00D73FA6" w:rsidRDefault="00D73FA6" w:rsidP="00CF71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GB" w:eastAsia="de-D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3133F" w14:textId="6D90DCF2" w:rsidR="00CF7156" w:rsidRPr="00D65EB2" w:rsidRDefault="00D73FA6" w:rsidP="00CF71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Q3</w:t>
            </w:r>
          </w:p>
          <w:p w14:paraId="0588E766" w14:textId="1B025DBE" w:rsidR="00D73FA6" w:rsidRPr="00D73FA6" w:rsidRDefault="00D73FA6" w:rsidP="00CF71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264BC" w14:textId="77777777" w:rsidR="00CF7156" w:rsidRPr="00D65EB2" w:rsidRDefault="00D73FA6" w:rsidP="00CF71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Q3</w:t>
            </w:r>
          </w:p>
          <w:p w14:paraId="7021E6B4" w14:textId="73D4ACB4" w:rsidR="00D73FA6" w:rsidRPr="00D73FA6" w:rsidRDefault="00D73FA6" w:rsidP="00CF71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03ED0" w14:textId="69792CBE" w:rsidR="00CF7156" w:rsidRPr="00D65EB2" w:rsidRDefault="00D73FA6" w:rsidP="00CF71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Q1–Q3</w:t>
            </w:r>
          </w:p>
          <w:p w14:paraId="5F9C7F80" w14:textId="0DE0497F" w:rsidR="00D73FA6" w:rsidRPr="00D73FA6" w:rsidRDefault="00D73FA6" w:rsidP="00CF71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43EA" w14:textId="68B6668A" w:rsidR="00CF7156" w:rsidRPr="00D65EB2" w:rsidRDefault="00D73FA6" w:rsidP="00CF71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Q1–Q3</w:t>
            </w:r>
          </w:p>
          <w:p w14:paraId="11D431F0" w14:textId="1D269BD0" w:rsidR="00D73FA6" w:rsidRPr="00D73FA6" w:rsidRDefault="00D73FA6" w:rsidP="00CF71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2024</w:t>
            </w:r>
          </w:p>
        </w:tc>
      </w:tr>
      <w:tr w:rsidR="00E13891" w:rsidRPr="00D73FA6" w14:paraId="79139249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810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Revenue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C811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16,969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0E3E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5,224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20BD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35,060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BFAF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15,624</w:t>
            </w:r>
          </w:p>
        </w:tc>
      </w:tr>
      <w:tr w:rsidR="00E13891" w:rsidRPr="00D73FA6" w14:paraId="66C2C66C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E224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% growth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875F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&gt;100.0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30F0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308B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&gt;100.0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17AA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</w:tr>
      <w:tr w:rsidR="00E13891" w:rsidRPr="00D73FA6" w14:paraId="4482EA16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0C21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of which solute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213B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11,582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CD12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F01A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19,231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D0A3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n/a</w:t>
            </w:r>
          </w:p>
        </w:tc>
      </w:tr>
      <w:tr w:rsidR="00E13891" w:rsidRPr="00D73FA6" w14:paraId="74985E3F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24FB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% growth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ACF7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5C45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830F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8E92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n/a</w:t>
            </w:r>
          </w:p>
        </w:tc>
      </w:tr>
      <w:tr w:rsidR="00E13891" w:rsidRPr="00D73FA6" w14:paraId="13DEB93E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9B70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of which Webgains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D799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2,830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0676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3,013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BCB4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8,587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0514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8,761</w:t>
            </w:r>
          </w:p>
        </w:tc>
      </w:tr>
      <w:tr w:rsidR="00E13891" w:rsidRPr="00D73FA6" w14:paraId="092E3416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455B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% growth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98FD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-6.1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EF16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FC48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-2.0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0F1A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</w:tr>
      <w:tr w:rsidR="00E13891" w:rsidRPr="00D73FA6" w14:paraId="70104514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916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of which ad agents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DA90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1,560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C3E4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1,738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EC27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5,028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6457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5,301</w:t>
            </w:r>
          </w:p>
        </w:tc>
      </w:tr>
      <w:tr w:rsidR="00E13891" w:rsidRPr="00D73FA6" w14:paraId="716FAE7D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0A8D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% growth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877B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-10.3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65BC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8DED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-5.2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9285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</w:tr>
      <w:tr w:rsidR="00E13891" w:rsidRPr="00D73FA6" w14:paraId="38804726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D7C3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of which ad pepper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3279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359B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59A4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2,213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DCB7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1,562</w:t>
            </w:r>
          </w:p>
        </w:tc>
      </w:tr>
      <w:tr w:rsidR="00E13891" w:rsidRPr="00D73FA6" w14:paraId="7E601D0F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6183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% growth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96DD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&gt;100.0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5F91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423A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41.7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6AFB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</w:tr>
      <w:tr w:rsidR="00E13891" w:rsidRPr="00D73FA6" w14:paraId="6E43327D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CEA5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EBITDA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7613" w14:textId="3FDCA6E0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1,2</w:t>
            </w:r>
            <w:r w:rsidR="00441FE3">
              <w:rPr>
                <w:rFonts w:ascii="Arial Narrow" w:hAnsi="Arial Narrow"/>
                <w:lang w:val="en-GB" w:eastAsia="de-DE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5A1F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18FA" w14:textId="4104D124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2,1</w:t>
            </w:r>
            <w:r w:rsidR="009A3DAB">
              <w:rPr>
                <w:rFonts w:ascii="Arial Narrow" w:hAnsi="Arial Narrow"/>
                <w:lang w:val="en-GB" w:eastAsia="de-DE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DC4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1,192</w:t>
            </w:r>
          </w:p>
        </w:tc>
      </w:tr>
      <w:tr w:rsidR="00E13891" w:rsidRPr="00D73FA6" w14:paraId="7271737F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E17E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of which solute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70D2" w14:textId="724B749B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9</w:t>
            </w:r>
            <w:r w:rsidR="00441FE3">
              <w:rPr>
                <w:rFonts w:ascii="Arial Narrow" w:hAnsi="Arial Narrow"/>
                <w:lang w:val="en-GB" w:eastAsia="de-DE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FE28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2484" w14:textId="5CED663A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1,</w:t>
            </w:r>
            <w:r w:rsidR="009A3DAB">
              <w:rPr>
                <w:rFonts w:ascii="Arial Narrow" w:hAnsi="Arial Narrow"/>
                <w:lang w:val="en-GB" w:eastAsia="de-DE"/>
              </w:rPr>
              <w:t>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A995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n/a</w:t>
            </w:r>
          </w:p>
        </w:tc>
      </w:tr>
      <w:tr w:rsidR="00E13891" w:rsidRPr="00D73FA6" w14:paraId="25C22871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BC16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of which Webgains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5DE7" w14:textId="7F04D648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4</w:t>
            </w:r>
            <w:r w:rsidR="00441FE3">
              <w:rPr>
                <w:rFonts w:ascii="Arial Narrow" w:hAnsi="Arial Narrow"/>
                <w:lang w:val="en-GB" w:eastAsia="de-DE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2C74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2732" w14:textId="5037404D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1,</w:t>
            </w:r>
            <w:r w:rsidR="009A3DAB">
              <w:rPr>
                <w:rFonts w:ascii="Arial Narrow" w:hAnsi="Arial Narrow"/>
                <w:lang w:val="en-GB" w:eastAsia="de-DE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86D3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1,706</w:t>
            </w:r>
          </w:p>
        </w:tc>
      </w:tr>
      <w:tr w:rsidR="00E13891" w:rsidRPr="00D73FA6" w14:paraId="02A0AE92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3E16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of which ad agents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8CF6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9155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4D29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EB38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613</w:t>
            </w:r>
          </w:p>
        </w:tc>
      </w:tr>
      <w:tr w:rsidR="00E13891" w:rsidRPr="00D73FA6" w14:paraId="09F5E3EC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C7BE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of which ad pepper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A06A" w14:textId="2E64C8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3</w:t>
            </w:r>
            <w:r w:rsidR="00441FE3">
              <w:rPr>
                <w:rFonts w:ascii="Arial Narrow" w:hAnsi="Arial Narrow"/>
                <w:lang w:val="en-GB" w:eastAsia="de-DE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CB91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30FA" w14:textId="616CCA75" w:rsidR="00D73FA6" w:rsidRPr="00D73FA6" w:rsidRDefault="009A3DAB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>
              <w:rPr>
                <w:rFonts w:ascii="Arial Narrow" w:hAnsi="Arial Narrow"/>
                <w:lang w:val="en-GB" w:eastAsia="de-DE"/>
              </w:rPr>
              <w:t>537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9C3E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111</w:t>
            </w:r>
          </w:p>
        </w:tc>
      </w:tr>
      <w:tr w:rsidR="00E13891" w:rsidRPr="00D73FA6" w14:paraId="3698D9A4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8FB4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of which admin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C45B" w14:textId="4B9EFA2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-6</w:t>
            </w:r>
            <w:r w:rsidR="00441FE3">
              <w:rPr>
                <w:rFonts w:ascii="Arial Narrow" w:hAnsi="Arial Narrow"/>
                <w:lang w:val="en-GB" w:eastAsia="de-DE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BA58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-353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68EE" w14:textId="6A6BD164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-1,</w:t>
            </w:r>
            <w:r w:rsidR="009A3DAB">
              <w:rPr>
                <w:rFonts w:ascii="Arial Narrow" w:hAnsi="Arial Narrow"/>
                <w:lang w:val="en-GB" w:eastAsia="de-DE"/>
              </w:rPr>
              <w:t>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5DAF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-1,237</w:t>
            </w:r>
          </w:p>
        </w:tc>
      </w:tr>
      <w:tr w:rsidR="00E13891" w:rsidRPr="00D73FA6" w14:paraId="64EEA8B2" w14:textId="77777777" w:rsidTr="00CF7156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44F8" w14:textId="77777777" w:rsidR="00D73FA6" w:rsidRPr="00D73FA6" w:rsidRDefault="00D73FA6" w:rsidP="00CF7156">
            <w:pPr>
              <w:spacing w:after="0" w:line="240" w:lineRule="auto"/>
              <w:rPr>
                <w:rFonts w:ascii="Arial Narrow" w:hAnsi="Arial Narrow"/>
                <w:b/>
                <w:bCs/>
                <w:lang w:val="en-GB" w:eastAsia="de-DE"/>
              </w:rPr>
            </w:pPr>
            <w:r w:rsidRPr="00D73FA6">
              <w:rPr>
                <w:rFonts w:ascii="Arial Narrow" w:hAnsi="Arial Narrow"/>
                <w:b/>
                <w:bCs/>
                <w:lang w:val="en-GB" w:eastAsia="de-DE"/>
              </w:rPr>
              <w:t>Liquid funds*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9026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C22A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C695" w14:textId="37D96D0A" w:rsidR="00D73FA6" w:rsidRPr="00D73FA6" w:rsidRDefault="009A3DAB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>
              <w:rPr>
                <w:rFonts w:ascii="Arial Narrow" w:hAnsi="Arial Narrow"/>
                <w:lang w:val="en-GB" w:eastAsia="de-DE"/>
              </w:rPr>
              <w:t>27,26</w:t>
            </w:r>
            <w:r w:rsidR="00861CFF">
              <w:rPr>
                <w:rFonts w:ascii="Arial Narrow" w:hAnsi="Arial Narrow"/>
                <w:lang w:val="en-GB" w:eastAsia="de-DE"/>
              </w:rPr>
              <w:t>1</w:t>
            </w:r>
            <w:r w:rsidR="00D73FA6" w:rsidRPr="00D73FA6">
              <w:rPr>
                <w:rFonts w:ascii="Arial Narrow" w:hAnsi="Arial Narrow"/>
                <w:lang w:val="en-GB"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2FBF" w14:textId="77777777" w:rsidR="00D73FA6" w:rsidRPr="00D73FA6" w:rsidRDefault="00D73FA6" w:rsidP="00CF7156">
            <w:pPr>
              <w:spacing w:after="0" w:line="240" w:lineRule="auto"/>
              <w:jc w:val="right"/>
              <w:rPr>
                <w:rFonts w:ascii="Arial Narrow" w:hAnsi="Arial Narrow"/>
                <w:lang w:val="en-GB" w:eastAsia="de-DE"/>
              </w:rPr>
            </w:pPr>
            <w:r w:rsidRPr="00D73FA6">
              <w:rPr>
                <w:rFonts w:ascii="Arial Narrow" w:hAnsi="Arial Narrow"/>
                <w:lang w:val="en-GB" w:eastAsia="de-DE"/>
              </w:rPr>
              <w:t>18,247</w:t>
            </w:r>
          </w:p>
        </w:tc>
      </w:tr>
    </w:tbl>
    <w:p w14:paraId="11A03663" w14:textId="36DE3D66" w:rsidR="008A7283" w:rsidRDefault="00935622" w:rsidP="00874880">
      <w:pPr>
        <w:spacing w:after="0" w:line="240" w:lineRule="auto"/>
        <w:rPr>
          <w:rFonts w:ascii="Arial Narrow" w:hAnsi="Arial Narrow"/>
          <w:lang w:val="en-US"/>
        </w:rPr>
      </w:pPr>
      <w:r w:rsidRPr="00D65EB2">
        <w:rPr>
          <w:rFonts w:ascii="Arial Narrow" w:hAnsi="Arial Narrow"/>
          <w:lang w:val="en-GB"/>
        </w:rPr>
        <w:t>*Including securities at fair value.</w:t>
      </w:r>
    </w:p>
    <w:p w14:paraId="4A8A183C" w14:textId="77777777" w:rsidR="00874880" w:rsidRDefault="00874880" w:rsidP="00874880">
      <w:pPr>
        <w:spacing w:after="0" w:line="240" w:lineRule="auto"/>
        <w:rPr>
          <w:rFonts w:ascii="Arial Narrow" w:hAnsi="Arial Narrow"/>
          <w:lang w:val="en-US"/>
        </w:rPr>
      </w:pPr>
    </w:p>
    <w:p w14:paraId="0FF86ADA" w14:textId="77777777" w:rsidR="00874880" w:rsidRDefault="00874880" w:rsidP="00874880">
      <w:pPr>
        <w:spacing w:after="0" w:line="240" w:lineRule="auto"/>
        <w:rPr>
          <w:rFonts w:ascii="Arial Narrow" w:hAnsi="Arial Narrow"/>
          <w:lang w:val="en-US"/>
        </w:rPr>
      </w:pPr>
    </w:p>
    <w:p w14:paraId="7D1AD0EC" w14:textId="77777777" w:rsidR="00874880" w:rsidRPr="00874880" w:rsidRDefault="00874880" w:rsidP="00874880">
      <w:pPr>
        <w:spacing w:after="0" w:line="240" w:lineRule="auto"/>
        <w:rPr>
          <w:rFonts w:ascii="Arial Narrow" w:hAnsi="Arial Narrow"/>
          <w:b/>
          <w:bCs/>
          <w:lang w:val="en-US"/>
        </w:rPr>
      </w:pPr>
      <w:r w:rsidRPr="00874880">
        <w:rPr>
          <w:rFonts w:ascii="Arial Narrow" w:hAnsi="Arial Narrow"/>
          <w:b/>
          <w:bCs/>
          <w:lang w:val="en-US"/>
        </w:rPr>
        <w:t>For more information:</w:t>
      </w:r>
    </w:p>
    <w:p w14:paraId="3CB4FB77" w14:textId="34E62B60" w:rsidR="00005BC3" w:rsidRPr="00874880" w:rsidRDefault="00610A4F" w:rsidP="00874880">
      <w:pPr>
        <w:spacing w:after="0" w:line="240" w:lineRule="auto"/>
        <w:rPr>
          <w:rFonts w:ascii="Arial Narrow" w:hAnsi="Arial Narrow"/>
          <w:lang w:val="en-US"/>
        </w:rPr>
      </w:pPr>
      <w:r w:rsidRPr="00610A4F">
        <w:rPr>
          <w:rFonts w:ascii="Arial Narrow" w:hAnsi="Arial Narrow"/>
          <w:lang w:val="en-US"/>
        </w:rPr>
        <w:t>Dr Jens Körner (CEO)</w:t>
      </w:r>
      <w:r w:rsidRPr="00610A4F">
        <w:rPr>
          <w:rFonts w:ascii="Arial Narrow" w:hAnsi="Arial Narrow"/>
          <w:lang w:val="en-US"/>
        </w:rPr>
        <w:br/>
      </w:r>
      <w:proofErr w:type="spellStart"/>
      <w:r w:rsidRPr="00610A4F">
        <w:rPr>
          <w:rFonts w:ascii="Arial Narrow" w:hAnsi="Arial Narrow"/>
          <w:lang w:val="en-US"/>
        </w:rPr>
        <w:t>ad</w:t>
      </w:r>
      <w:proofErr w:type="spellEnd"/>
      <w:r w:rsidRPr="00610A4F">
        <w:rPr>
          <w:rFonts w:ascii="Arial Narrow" w:hAnsi="Arial Narrow"/>
          <w:lang w:val="en-US"/>
        </w:rPr>
        <w:t xml:space="preserve"> pepper media International N.V.</w:t>
      </w:r>
      <w:r w:rsidRPr="00610A4F">
        <w:rPr>
          <w:rFonts w:ascii="Arial Narrow" w:hAnsi="Arial Narrow"/>
          <w:lang w:val="en-US"/>
        </w:rPr>
        <w:br/>
        <w:t>+49 (0) 911 929057-0</w:t>
      </w:r>
      <w:r w:rsidRPr="00610A4F">
        <w:rPr>
          <w:rFonts w:ascii="Arial Narrow" w:hAnsi="Arial Narrow"/>
          <w:lang w:val="en-US"/>
        </w:rPr>
        <w:br/>
        <w:t>ir@adpepper.com</w:t>
      </w:r>
      <w:r w:rsidRPr="00610A4F">
        <w:rPr>
          <w:rFonts w:ascii="Arial Narrow" w:hAnsi="Arial Narrow"/>
          <w:lang w:val="en-US"/>
        </w:rPr>
        <w:br/>
      </w:r>
    </w:p>
    <w:sectPr w:rsidR="00005BC3" w:rsidRPr="008748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C3"/>
    <w:rsid w:val="00005BC3"/>
    <w:rsid w:val="00071FB8"/>
    <w:rsid w:val="00075204"/>
    <w:rsid w:val="000807CB"/>
    <w:rsid w:val="000A58B9"/>
    <w:rsid w:val="000C1FEC"/>
    <w:rsid w:val="000D43AB"/>
    <w:rsid w:val="000D5151"/>
    <w:rsid w:val="000E7807"/>
    <w:rsid w:val="001332A5"/>
    <w:rsid w:val="00135BBC"/>
    <w:rsid w:val="00156E3E"/>
    <w:rsid w:val="00192511"/>
    <w:rsid w:val="001D3B0D"/>
    <w:rsid w:val="0024778F"/>
    <w:rsid w:val="002B6300"/>
    <w:rsid w:val="002E5CB3"/>
    <w:rsid w:val="002E7E47"/>
    <w:rsid w:val="00326346"/>
    <w:rsid w:val="00337316"/>
    <w:rsid w:val="00346B12"/>
    <w:rsid w:val="00397AD9"/>
    <w:rsid w:val="003C304A"/>
    <w:rsid w:val="003D39AE"/>
    <w:rsid w:val="00403D55"/>
    <w:rsid w:val="00441FE3"/>
    <w:rsid w:val="00473382"/>
    <w:rsid w:val="004B26DE"/>
    <w:rsid w:val="00511D6F"/>
    <w:rsid w:val="005E7392"/>
    <w:rsid w:val="00610A4F"/>
    <w:rsid w:val="00620010"/>
    <w:rsid w:val="00657AEC"/>
    <w:rsid w:val="006B2D42"/>
    <w:rsid w:val="006C1960"/>
    <w:rsid w:val="006F4DC7"/>
    <w:rsid w:val="007006C9"/>
    <w:rsid w:val="00730E4C"/>
    <w:rsid w:val="007E7BA4"/>
    <w:rsid w:val="00802536"/>
    <w:rsid w:val="00815D9C"/>
    <w:rsid w:val="0085320D"/>
    <w:rsid w:val="00861CFF"/>
    <w:rsid w:val="00874880"/>
    <w:rsid w:val="008A7283"/>
    <w:rsid w:val="00906E06"/>
    <w:rsid w:val="00914A1E"/>
    <w:rsid w:val="00935622"/>
    <w:rsid w:val="009561D8"/>
    <w:rsid w:val="00980D67"/>
    <w:rsid w:val="00982BBD"/>
    <w:rsid w:val="00994476"/>
    <w:rsid w:val="009A3DAB"/>
    <w:rsid w:val="009A6332"/>
    <w:rsid w:val="009B21C5"/>
    <w:rsid w:val="009C07ED"/>
    <w:rsid w:val="009D4259"/>
    <w:rsid w:val="009F626C"/>
    <w:rsid w:val="00A14406"/>
    <w:rsid w:val="00A168EF"/>
    <w:rsid w:val="00A84E95"/>
    <w:rsid w:val="00AB660C"/>
    <w:rsid w:val="00AB72F7"/>
    <w:rsid w:val="00AC0CAC"/>
    <w:rsid w:val="00AC5BC5"/>
    <w:rsid w:val="00B15797"/>
    <w:rsid w:val="00B91D9C"/>
    <w:rsid w:val="00C530DD"/>
    <w:rsid w:val="00CC7CE5"/>
    <w:rsid w:val="00CF7156"/>
    <w:rsid w:val="00D16DD7"/>
    <w:rsid w:val="00D65EB2"/>
    <w:rsid w:val="00D73FA6"/>
    <w:rsid w:val="00DF6264"/>
    <w:rsid w:val="00E13891"/>
    <w:rsid w:val="00E55573"/>
    <w:rsid w:val="00E74E65"/>
    <w:rsid w:val="00F4791B"/>
    <w:rsid w:val="00F9525D"/>
    <w:rsid w:val="1518C939"/>
    <w:rsid w:val="18B1D5C6"/>
    <w:rsid w:val="33D39C2A"/>
    <w:rsid w:val="3792BE37"/>
    <w:rsid w:val="3ACA49CD"/>
    <w:rsid w:val="44385C67"/>
    <w:rsid w:val="4896F03F"/>
    <w:rsid w:val="6B23C5F4"/>
    <w:rsid w:val="7FD8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0651"/>
  <w15:chartTrackingRefBased/>
  <w15:docId w15:val="{643D8D5D-771A-4A9E-B216-0EF57418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61D8"/>
  </w:style>
  <w:style w:type="paragraph" w:styleId="berschrift1">
    <w:name w:val="heading 1"/>
    <w:basedOn w:val="Standard"/>
    <w:next w:val="Standard"/>
    <w:uiPriority w:val="9"/>
    <w:qFormat/>
    <w:rsid w:val="0000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00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005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00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005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00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00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00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00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5B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5B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5BC3"/>
    <w:rPr>
      <w:b/>
      <w:bCs/>
      <w:smallCaps/>
      <w:color w:val="0F4761" w:themeColor="accent1" w:themeShade="BF"/>
      <w:spacing w:val="5"/>
    </w:rPr>
  </w:style>
  <w:style w:type="character" w:customStyle="1" w:styleId="berschrift1Zchn">
    <w:name w:val="Überschrift 1 Zchn"/>
    <w:basedOn w:val="Absatz-Standardschriftart"/>
    <w:uiPriority w:val="9"/>
    <w:rsid w:val="00E13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uiPriority w:val="9"/>
    <w:semiHidden/>
    <w:rsid w:val="00E13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uiPriority w:val="9"/>
    <w:semiHidden/>
    <w:rsid w:val="00E13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uiPriority w:val="9"/>
    <w:semiHidden/>
    <w:rsid w:val="00E138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uiPriority w:val="9"/>
    <w:semiHidden/>
    <w:rsid w:val="00E138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uiPriority w:val="9"/>
    <w:semiHidden/>
    <w:rsid w:val="00E138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uiPriority w:val="9"/>
    <w:semiHidden/>
    <w:rsid w:val="00E138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uiPriority w:val="9"/>
    <w:semiHidden/>
    <w:rsid w:val="00E138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uiPriority w:val="9"/>
    <w:semiHidden/>
    <w:rsid w:val="00E13891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uiPriority w:val="10"/>
    <w:rsid w:val="00E1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uiPriority w:val="11"/>
    <w:rsid w:val="00E13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uiPriority w:val="29"/>
    <w:rsid w:val="00E13891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uiPriority w:val="30"/>
    <w:rsid w:val="00E13891"/>
    <w:rPr>
      <w:i/>
      <w:iCs/>
      <w:color w:val="0F4761" w:themeColor="accent1" w:themeShade="BF"/>
    </w:rPr>
  </w:style>
  <w:style w:type="paragraph" w:customStyle="1" w:styleId="a">
    <w:uiPriority w:val="32"/>
    <w:qFormat/>
    <w:rsid w:val="009561D8"/>
    <w:pPr>
      <w:ind w:left="720"/>
      <w:contextualSpacing/>
    </w:pPr>
  </w:style>
  <w:style w:type="paragraph" w:styleId="berarbeitung">
    <w:name w:val="Revision"/>
    <w:hidden/>
    <w:uiPriority w:val="99"/>
    <w:semiHidden/>
    <w:rsid w:val="00AC5BC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F62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62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62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62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62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C2510-01021</AFM_dms_Zaaknummer>
    <AFM_dms_ZaakEinddatum xmlns="bedada9c-9ff6-4a90-bed1-7f262f8682ad" xsi:nil="true"/>
    <AFM_dms_NaamRelatie xmlns="bedada9c-9ff6-4a90-bed1-7f262f8682ad">ad pepper media International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ad hoc Q3 2025_en.docx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MAR17MELD-955777008-84398</_dlc_DocId>
    <_dlc_DocIdUrl xmlns="5fe4e853-3417-48a7-a9b2-767e16cca7ad">
      <Url>https://afmap.sharepoint.com/sites/afmdms_mar17meldingen/_layouts/15/DocIdRedir.aspx?ID=MAR17MELD-955777008-84398</Url>
      <Description>MAR17MELD-955777008-84398</Description>
    </_dlc_DocIdUrl>
  </documentManagement>
</p:properties>
</file>

<file path=customXml/itemProps1.xml><?xml version="1.0" encoding="utf-8"?>
<ds:datastoreItem xmlns:ds="http://schemas.openxmlformats.org/officeDocument/2006/customXml" ds:itemID="{3D192056-C9A9-46C2-94D4-C9B29AA1038B}"/>
</file>

<file path=customXml/itemProps2.xml><?xml version="1.0" encoding="utf-8"?>
<ds:datastoreItem xmlns:ds="http://schemas.openxmlformats.org/officeDocument/2006/customXml" ds:itemID="{494B7CE4-C6AA-41F0-BC90-D5B2E6508A3F}"/>
</file>

<file path=customXml/itemProps3.xml><?xml version="1.0" encoding="utf-8"?>
<ds:datastoreItem xmlns:ds="http://schemas.openxmlformats.org/officeDocument/2006/customXml" ds:itemID="{53B93AA4-A1B6-419D-BEC8-D94B89848A6F}"/>
</file>

<file path=customXml/itemProps4.xml><?xml version="1.0" encoding="utf-8"?>
<ds:datastoreItem xmlns:ds="http://schemas.openxmlformats.org/officeDocument/2006/customXml" ds:itemID="{7AC7D217-0271-4ACE-8709-EF936B56EFF0}"/>
</file>

<file path=customXml/itemProps5.xml><?xml version="1.0" encoding="utf-8"?>
<ds:datastoreItem xmlns:ds="http://schemas.openxmlformats.org/officeDocument/2006/customXml" ds:itemID="{A6D57B83-5199-4CB6-869F-04CFFEF0EC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Yvonne Rogers</dc:creator>
  <cp:keywords/>
  <dc:description/>
  <cp:lastModifiedBy>Klaudia Talarowska Moutinho</cp:lastModifiedBy>
  <cp:revision>81</cp:revision>
  <dcterms:created xsi:type="dcterms:W3CDTF">2025-10-15T18:20:00Z</dcterms:created>
  <dcterms:modified xsi:type="dcterms:W3CDTF">2025-10-17T13:21:00Z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_dlc_DocIdItemGuid">
    <vt:lpwstr>f18ab9e2-4d51-4620-8204-ffafdaef2927</vt:lpwstr>
  </property>
  <property fmtid="{D5CDD505-2E9C-101B-9397-08002B2CF9AE}" pid="4" name="MediaServiceImageTags">
    <vt:lpwstr/>
  </property>
  <property fmtid="{D5CDD505-2E9C-101B-9397-08002B2CF9AE}" pid="5" name="AFM_dms_Zaaktype">
    <vt:lpwstr>3;#EUIOVW|bd452f78-56ac-4048-8ad6-d473d26cf365</vt:lpwstr>
  </property>
  <property fmtid="{D5CDD505-2E9C-101B-9397-08002B2CF9AE}" pid="6" name="AFM_dms_Retentietermijn">
    <vt:lpwstr/>
  </property>
  <property fmtid="{D5CDD505-2E9C-101B-9397-08002B2CF9AE}" pid="7" name="AFM_dms_Documenttype">
    <vt:lpwstr>4;#Persbericht inkomend|29ae2195-941d-4ea3-be1c-3d43a11ff799</vt:lpwstr>
  </property>
</Properties>
</file>